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w:t>
      </w:r>
    </w:p>
    <w:p>
      <w:pPr>
        <w:spacing w:before="0" w:after="0"/>
        <w:ind w:left="120"/>
        <w:jc w:val="center"/>
      </w:pPr>
      <w:r>
        <w:rPr>
          <w:rFonts w:ascii="Times New Roman" w:hAnsi="Times New Roman"/>
          <w:b w:val="false"/>
          <w:i w:val="false"/>
          <w:color w:val="000000"/>
          <w:sz w:val="21"/>
        </w:rPr>
        <w:t>BUDGET AMENDMENTS AND FUND TRANSFERS</w:t>
      </w:r>
    </w:p>
    <w:p>
      <w:pPr>
        <w:spacing w:before="0" w:after="0"/>
        <w:ind w:left="120"/>
        <w:jc w:val="center"/>
      </w:pPr>
      <w:r>
        <w:rPr>
          <w:rFonts w:ascii="Times New Roman" w:hAnsi="Times New Roman"/>
          <w:b w:val="false"/>
          <w:i w:val="false"/>
          <w:color w:val="000000"/>
          <w:sz w:val="14"/>
        </w:rPr>
        <w:t>[Prior to 11/30/88, see City Finance Committee[230] Ch 2]</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center"/>
      </w:pPr>
      <w:r>
        <w:rPr>
          <w:rFonts w:ascii="Times New Roman" w:hAnsi="Times New Roman"/>
          <w:b w:val="false"/>
          <w:i w:val="false"/>
          <w:color w:val="000000"/>
          <w:sz w:val="22"/>
        </w:rPr>
        <w:t>PREAMBLE</w:t>
      </w:r>
    </w:p>
    <w:p>
      <w:pPr>
        <w:spacing w:before="0" w:after="0"/>
        <w:ind w:left="120"/>
        <w:jc w:val="left"/>
      </w:pPr>
      <w:r>
        <w:rPr>
          <w:rFonts w:ascii="Times New Roman" w:hAnsi="Times New Roman"/>
          <w:b w:val="false"/>
          <w:i w:val="false"/>
          <w:color w:val="000000"/>
          <w:sz w:val="22"/>
        </w:rPr>
        <w:t>Consistent with home rule legislation, the city finance committee encourages as much flexibility as possible in the municipal budget administration. At the same time, it is the responsibility of the city finance committee to require those procedures and processes necessary to ensure adequate notice to citizens of proposed and adopted changes in the local budget and to provide an opportunity for citizen involvement in the reallocation process.</w:t>
      </w:r>
    </w:p>
    <w:p>
      <w:pPr>
        <w:spacing w:before="0" w:after="0"/>
        <w:ind w:left="120"/>
        <w:jc w:val="both"/>
      </w:pPr>
      <w:r>
        <w:rPr>
          <w:rFonts w:ascii="Times New Roman" w:hAnsi="Times New Roman"/>
          <w:b/>
          <w:i w:val="false"/>
          <w:color w:val="000000"/>
          <w:sz w:val="22"/>
        </w:rPr>
        <w:t>545—2.1</w:t>
      </w:r>
      <w:r>
        <w:rPr>
          <w:rFonts w:ascii="Times New Roman" w:hAnsi="Times New Roman"/>
          <w:b/>
          <w:i w:val="false"/>
          <w:color w:val="000000"/>
          <w:sz w:val="22"/>
        </w:rPr>
        <w:t xml:space="preserve">(384,388)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terms when used in the rules of this part have the following meanings: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 </w:t>
      </w:r>
      <w:r>
        <w:rPr>
          <w:rFonts w:ascii="Times New Roman" w:hAnsi="Times New Roman"/>
          <w:b w:val="false"/>
          <w:i w:val="false"/>
          <w:color w:val="000000"/>
          <w:sz w:val="22"/>
        </w:rPr>
        <w:t>means the home rule Act, Acts of the Sixty-fourth General Assembly, chapter 1088, as amended.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“Budget amendment” </w:t>
      </w:r>
      <w:r>
        <w:rPr>
          <w:rFonts w:ascii="Times New Roman" w:hAnsi="Times New Roman"/>
          <w:b w:val="false"/>
          <w:i w:val="false"/>
          <w:color w:val="000000"/>
          <w:sz w:val="22"/>
        </w:rPr>
        <w:t xml:space="preserve">means any change in the appropriations of a city’s budget after the budget has been finally adopted, and that requires preparation and adoption as provided in Iowa Code section </w:t>
      </w:r>
      <w:hyperlink r:id="rId5">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in Iowa Code section </w:t>
      </w:r>
      <w:hyperlink r:id="rId6">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If in these rules the committee has provided that amendments of certain types or up to certain amounts do not require preparation and adoption as provided in Iowa Code section </w:t>
      </w:r>
      <w:hyperlink r:id="rId7">
        <w:r>
          <w:rPr>
            <w:rStyle w:val="Hyperlink"/>
            <w:rFonts w:ascii="Times New Roman" w:hAnsi="Times New Roman"/>
            <w:b w:val="false"/>
            <w:i w:val="false"/>
            <w:color w:val="000000"/>
            <w:sz w:val="22"/>
          </w:rPr>
          <w:t>384.15</w:t>
        </w:r>
      </w:hyperlink>
      <w:r>
        <w:rPr>
          <w:rFonts w:ascii="Times New Roman" w:hAnsi="Times New Roman"/>
          <w:b w:val="false"/>
          <w:i w:val="false"/>
          <w:color w:val="000000"/>
          <w:sz w:val="22"/>
        </w:rPr>
        <w:t xml:space="preserve"> and are not subject to protest as provided in Iowa Code section </w:t>
      </w:r>
      <w:hyperlink r:id="rId8">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 then these types of amendments are not considered to be budget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“Budget appropriation” </w:t>
      </w:r>
      <w:r>
        <w:rPr>
          <w:rFonts w:ascii="Times New Roman" w:hAnsi="Times New Roman"/>
          <w:b w:val="false"/>
          <w:i w:val="false"/>
          <w:color w:val="000000"/>
          <w:sz w:val="22"/>
        </w:rPr>
        <w:t>means the allocation of the total appropriation to each program for the following fiscal year, as provided for by a city’s budget as finally adopted. All appropriations shall be allocated to one or more of the nine programs as defined in this rule.</w:t>
      </w:r>
    </w:p>
    <w:p>
      <w:pPr>
        <w:spacing w:before="0" w:after="0"/>
        <w:ind w:left="120"/>
        <w:jc w:val="both"/>
      </w:pPr>
      <w:r>
        <w:rPr>
          <w:rFonts w:ascii="Times New Roman" w:hAnsi="Times New Roman"/>
          <w:b w:val="false"/>
          <w:i w:val="false"/>
          <w:color w:val="000000"/>
          <w:sz w:val="22"/>
        </w:rPr>
        <w:t xml:space="preserve">Any expenditure authorized in Iowa Code sections </w:t>
      </w:r>
      <w:hyperlink r:id="rId9">
        <w:r>
          <w:rPr>
            <w:rStyle w:val="Hyperlink"/>
            <w:rFonts w:ascii="Times New Roman" w:hAnsi="Times New Roman"/>
            <w:b w:val="false"/>
            <w:i w:val="false"/>
            <w:color w:val="000000"/>
            <w:sz w:val="22"/>
          </w:rPr>
          <w:t>384.23 to 384.94</w:t>
        </w:r>
      </w:hyperlink>
      <w:r>
        <w:rPr>
          <w:rFonts w:ascii="Times New Roman" w:hAnsi="Times New Roman"/>
          <w:b w:val="false"/>
          <w:i w:val="false"/>
          <w:color w:val="000000"/>
          <w:sz w:val="22"/>
        </w:rPr>
        <w:t xml:space="preserve"> shall be deemed appropriated.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“Detailed budget” </w:t>
      </w:r>
      <w:r>
        <w:rPr>
          <w:rFonts w:ascii="Times New Roman" w:hAnsi="Times New Roman"/>
          <w:b w:val="false"/>
          <w:i w:val="false"/>
          <w:color w:val="000000"/>
          <w:sz w:val="22"/>
        </w:rPr>
        <w:t>shall mean documenting revenues and transfer in by sources and funds, and documenting expenditures and transfers out by funds, functions and objects.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w:t>
      </w:r>
      <w:r>
        <w:rPr>
          <w:rFonts w:ascii="Times New Roman" w:hAnsi="Times New Roman"/>
          <w:b w:val="false"/>
          <w:i w:val="false"/>
          <w:color w:val="000000"/>
          <w:sz w:val="22"/>
        </w:rPr>
        <w:t>means a fiscal and accounting entity with a self-balancing set of accounts recording cash and other financial resources, together with all related liabilities and residual equities or balances, and changes therein, which are segregated for the purpose of carrying on specific activities or attaining certain objectives in accordance with special regulations, restrictions or limitations.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“Fund transfer resolution” </w:t>
      </w:r>
      <w:r>
        <w:rPr>
          <w:rFonts w:ascii="Times New Roman" w:hAnsi="Times New Roman"/>
          <w:b w:val="false"/>
          <w:i w:val="false"/>
          <w:color w:val="000000"/>
          <w:sz w:val="22"/>
        </w:rPr>
        <w:t xml:space="preserve">means a resolution of the city council which must be passed to allow for transfers between funds. A fund transfer resolution must be completed for all transfers between funds and must include a clear statement of reason or purpose for the transfer, the name of the fund from which the transfer is originating, the name of the fund into which the transfer is to be received, and the dollar amount to be transferred. For transfers of utility surpluses outlined in subrule 2.5(5), the calculation proving the surplus must also be shown in the resolution. Intrafund transfers do not require a fund transfer resolution. Multiple transfers between funds may be approved in one resolution, so long as each transfer’s purpose, originating fund or subfund, and receiving fund or subfund, and the amount of transferred dollars are separately identified. Fund transfer resolutions may also be included in budget or budget amendment adoption resolutions, so long as each transfer’s purpose, originating fund or subfund and receiving fund or subfund, and the amount of transferred dollars are separately identified.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“Intrafund transfer” </w:t>
      </w:r>
      <w:r>
        <w:rPr>
          <w:rFonts w:ascii="Times New Roman" w:hAnsi="Times New Roman"/>
          <w:b w:val="false"/>
          <w:i w:val="false"/>
          <w:color w:val="000000"/>
          <w:sz w:val="22"/>
        </w:rPr>
        <w:t>means a transfer between accounts or subfunds within a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any one of the following nine major functions of public service that the city finance committee requires a city to use in defining the city’s program structure: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Public safety;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Public works;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Health and social services;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Culture and recreation;</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Community and economic development;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General government;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Debt service;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Capital projects;</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Business-type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“Transfers between funds” </w:t>
      </w:r>
      <w:r>
        <w:rPr>
          <w:rFonts w:ascii="Times New Roman" w:hAnsi="Times New Roman"/>
          <w:b w:val="false"/>
          <w:i w:val="false"/>
          <w:color w:val="000000"/>
          <w:sz w:val="22"/>
        </w:rPr>
        <w:t>means the transfer of amounts from one fund to another fund.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4334C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545—2.2</w:t>
      </w:r>
      <w:r>
        <w:rPr>
          <w:rFonts w:ascii="Times New Roman" w:hAnsi="Times New Roman"/>
          <w:b/>
          <w:i w:val="false"/>
          <w:color w:val="000000"/>
          <w:sz w:val="22"/>
        </w:rPr>
        <w:t xml:space="preserve">(384,388) </w:t>
      </w:r>
      <w:r>
        <w:rPr>
          <w:rFonts w:ascii="Times New Roman" w:hAnsi="Times New Roman"/>
          <w:b/>
          <w:i w:val="false"/>
          <w:color w:val="000000"/>
          <w:sz w:val="22"/>
        </w:rPr>
        <w:t xml:space="preserve">Appropriation of unanticipated amount. </w:t>
      </w:r>
      <w:r>
        <w:rPr>
          <w:rFonts w:ascii="Times New Roman" w:hAnsi="Times New Roman"/>
          <w:b w:val="false"/>
          <w:i w:val="false"/>
          <w:color w:val="000000"/>
          <w:sz w:val="22"/>
        </w:rPr>
        <w:t xml:space="preserve">Budget amendments to the adopted city budget to permit the appropriation and expenditure of unencumbered and unanticipated balances, or amounts anticipated to be available from sources other than property taxes but which have not been appropriated in the adopted budget shall be prepared as provided in Iowa Code section </w:t>
      </w:r>
      <w:hyperlink r:id="rId10">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11">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adopted budget amendments to appropriate and expend unanticipated amounts must be certified to the auditor of the county or counties where the city is located and to the director of the department of management.</w:t>
      </w:r>
    </w:p>
    <w:p>
      <w:pPr>
        <w:spacing w:before="0" w:after="0"/>
        <w:ind w:left="120"/>
        <w:jc w:val="both"/>
      </w:pPr>
      <w:r>
        <w:rPr>
          <w:rFonts w:ascii="Times New Roman" w:hAnsi="Times New Roman"/>
          <w:b/>
          <w:i w:val="false"/>
          <w:color w:val="000000"/>
          <w:sz w:val="22"/>
        </w:rPr>
        <w:t>545—2.3</w:t>
      </w:r>
      <w:r>
        <w:rPr>
          <w:rFonts w:ascii="Times New Roman" w:hAnsi="Times New Roman"/>
          <w:b/>
          <w:i w:val="false"/>
          <w:color w:val="000000"/>
          <w:sz w:val="22"/>
        </w:rPr>
        <w:t xml:space="preserve">(384,388) </w:t>
      </w:r>
      <w:r>
        <w:rPr>
          <w:rFonts w:ascii="Times New Roman" w:hAnsi="Times New Roman"/>
          <w:b/>
          <w:i w:val="false"/>
          <w:color w:val="000000"/>
          <w:sz w:val="22"/>
        </w:rPr>
        <w:t xml:space="preserve">Transfers between programs. </w:t>
      </w:r>
      <w:r>
        <w:rPr>
          <w:rFonts w:ascii="Times New Roman" w:hAnsi="Times New Roman"/>
          <w:b w:val="false"/>
          <w:i w:val="false"/>
          <w:color w:val="000000"/>
          <w:sz w:val="22"/>
        </w:rPr>
        <w:t xml:space="preserve">Except as specifically provided elsewhere in these rules, all appropriation transfers between programs are budget amendments and shall be prepared as provided in Iowa Code section </w:t>
      </w:r>
      <w:hyperlink r:id="rId12">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13">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adopted budget amendments to permit the transfer of adopted budget appropriations between programs must be certified to the auditor of the county or counties where the city is located and to the director of the department of management.</w:t>
      </w:r>
    </w:p>
    <w:p>
      <w:pPr>
        <w:spacing w:before="210" w:after="0"/>
        <w:ind w:left="120"/>
        <w:jc w:val="both"/>
      </w:pPr>
      <w:r>
        <w:rPr>
          <w:rFonts w:ascii="Times New Roman" w:hAnsi="Times New Roman"/>
          <w:b/>
          <w:i w:val="false"/>
          <w:color w:val="000000"/>
          <w:sz w:val="22"/>
        </w:rPr>
        <w:t>545—2.4</w:t>
      </w:r>
      <w:r>
        <w:rPr>
          <w:rFonts w:ascii="Times New Roman" w:hAnsi="Times New Roman"/>
          <w:b/>
          <w:i w:val="false"/>
          <w:color w:val="000000"/>
          <w:sz w:val="22"/>
        </w:rPr>
        <w:t xml:space="preserve">(384,388) </w:t>
      </w:r>
      <w:r>
        <w:rPr>
          <w:rFonts w:ascii="Times New Roman" w:hAnsi="Times New Roman"/>
          <w:b/>
          <w:i w:val="false"/>
          <w:color w:val="000000"/>
          <w:sz w:val="22"/>
        </w:rPr>
        <w:t xml:space="preserve">Transfers within programs. </w:t>
      </w:r>
      <w:r>
        <w:rPr>
          <w:rFonts w:ascii="Times New Roman" w:hAnsi="Times New Roman"/>
          <w:b w:val="false"/>
          <w:i w:val="false"/>
          <w:color w:val="000000"/>
          <w:sz w:val="22"/>
        </w:rPr>
        <w:t xml:space="preserve">Transfers within programs are not budget amendments within the meaning of Iowa Code section </w:t>
      </w:r>
      <w:hyperlink r:id="rId14">
        <w:r>
          <w:rPr>
            <w:rStyle w:val="Hyperlink"/>
            <w:rFonts w:ascii="Times New Roman" w:hAnsi="Times New Roman"/>
            <w:b w:val="false"/>
            <w:i w:val="false"/>
            <w:color w:val="000000"/>
            <w:sz w:val="22"/>
          </w:rPr>
          <w:t>348.18</w:t>
        </w:r>
      </w:hyperlink>
      <w:r>
        <w:rPr>
          <w:rFonts w:ascii="Times New Roman" w:hAnsi="Times New Roman"/>
          <w:b w:val="false"/>
          <w:i w:val="false"/>
          <w:color w:val="000000"/>
          <w:sz w:val="22"/>
        </w:rPr>
        <w:t>. It is the responsibility of the governing body of each city to provide its own written rules for transfers within programs.</w:t>
      </w:r>
    </w:p>
    <w:p>
      <w:pPr>
        <w:spacing w:before="0" w:after="0"/>
        <w:ind w:left="120"/>
        <w:jc w:val="both"/>
      </w:pPr>
      <w:r>
        <w:rPr>
          <w:rFonts w:ascii="Times New Roman" w:hAnsi="Times New Roman"/>
          <w:b/>
          <w:i w:val="false"/>
          <w:color w:val="000000"/>
          <w:sz w:val="22"/>
        </w:rPr>
        <w:t>545—2.5</w:t>
      </w:r>
      <w:r>
        <w:rPr>
          <w:rFonts w:ascii="Times New Roman" w:hAnsi="Times New Roman"/>
          <w:b/>
          <w:i w:val="false"/>
          <w:color w:val="000000"/>
          <w:sz w:val="22"/>
        </w:rPr>
        <w:t xml:space="preserve">(384,388) </w:t>
      </w:r>
      <w:r>
        <w:rPr>
          <w:rFonts w:ascii="Times New Roman" w:hAnsi="Times New Roman"/>
          <w:b/>
          <w:i w:val="false"/>
          <w:color w:val="000000"/>
          <w:sz w:val="22"/>
        </w:rPr>
        <w:t xml:space="preserve">Fund transfers.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w:t>
      </w:r>
      <w:r>
        <w:rPr>
          <w:rFonts w:ascii="Times New Roman" w:hAnsi="Times New Roman"/>
          <w:b w:val="false"/>
          <w:i w:val="false"/>
          <w:color w:val="000000"/>
          <w:sz w:val="22"/>
        </w:rPr>
        <w:t> </w:t>
      </w:r>
      <w:r>
        <w:rPr>
          <w:rFonts w:ascii="Times New Roman" w:hAnsi="Times New Roman"/>
          <w:b w:val="false"/>
          <w:i/>
          <w:color w:val="000000"/>
          <w:sz w:val="22"/>
        </w:rPr>
        <w:t xml:space="preserve">General provisions. </w:t>
      </w:r>
      <w:r>
        <w:rPr>
          <w:rFonts w:ascii="Times New Roman" w:hAnsi="Times New Roman"/>
          <w:b w:val="false"/>
          <w:i w:val="false"/>
          <w:color w:val="000000"/>
          <w:sz w:val="22"/>
        </w:rPr>
        <w:t xml:space="preserve">All transfers of moneys between funds found in the city budget forms must be approved by a fund transfer resolution. Transfers between funds in one program are types of amendments that do not require preparation and adoption as provided in Iowa Code section </w:t>
      </w:r>
      <w:hyperlink r:id="rId15">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are not subject to protest as provided in Iowa Code section </w:t>
      </w:r>
      <w:hyperlink r:id="rId16">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 but such transfers must comply with the state laws regarding the funds and the following subrules: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2.5(2)</w:t>
      </w:r>
      <w:r>
        <w:rPr>
          <w:rFonts w:ascii="Times New Roman" w:hAnsi="Times New Roman"/>
          <w:b w:val="false"/>
          <w:i w:val="false"/>
          <w:color w:val="000000"/>
          <w:sz w:val="22"/>
        </w:rPr>
        <w:t> </w:t>
      </w:r>
      <w:r>
        <w:rPr>
          <w:rFonts w:ascii="Times New Roman" w:hAnsi="Times New Roman"/>
          <w:b w:val="false"/>
          <w:i/>
          <w:color w:val="000000"/>
          <w:sz w:val="22"/>
        </w:rPr>
        <w:t xml:space="preserve">Emergency fund. </w:t>
      </w:r>
      <w:r>
        <w:rPr>
          <w:rFonts w:ascii="Times New Roman" w:hAnsi="Times New Roman"/>
          <w:b w:val="false"/>
          <w:i w:val="false"/>
          <w:color w:val="000000"/>
          <w:sz w:val="22"/>
        </w:rPr>
        <w:t>No transfer may be made from any fund to the emergency 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2.5(3)</w:t>
      </w:r>
      <w:r>
        <w:rPr>
          <w:rFonts w:ascii="Times New Roman" w:hAnsi="Times New Roman"/>
          <w:b w:val="false"/>
          <w:i w:val="false"/>
          <w:color w:val="000000"/>
          <w:sz w:val="22"/>
        </w:rPr>
        <w:t> </w:t>
      </w:r>
      <w:r>
        <w:rPr>
          <w:rFonts w:ascii="Times New Roman" w:hAnsi="Times New Roman"/>
          <w:b w:val="false"/>
          <w:i/>
          <w:color w:val="000000"/>
          <w:sz w:val="22"/>
        </w:rPr>
        <w:t xml:space="preserve">Debt service fund. </w:t>
      </w:r>
      <w:r>
        <w:rPr>
          <w:rFonts w:ascii="Times New Roman" w:hAnsi="Times New Roman"/>
          <w:b w:val="false"/>
          <w:i w:val="false"/>
          <w:color w:val="000000"/>
          <w:sz w:val="22"/>
        </w:rPr>
        <w:t xml:space="preserve">Except where specifically prohibited by state law, moneys may be transferred from any other city fund to the debt service fund to meet outstanding principal and interest. Such transfers must be authorized by the original budget or a budget amendment which has been adopted as provided in Iowa Code section </w:t>
      </w:r>
      <w:hyperlink r:id="rId17">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18">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2.5(4)</w:t>
      </w:r>
      <w:r>
        <w:rPr>
          <w:rFonts w:ascii="Times New Roman" w:hAnsi="Times New Roman"/>
          <w:b w:val="false"/>
          <w:i w:val="false"/>
          <w:color w:val="000000"/>
          <w:sz w:val="22"/>
        </w:rPr>
        <w:t> </w:t>
      </w:r>
      <w:r>
        <w:rPr>
          <w:rFonts w:ascii="Times New Roman" w:hAnsi="Times New Roman"/>
          <w:b w:val="false"/>
          <w:i/>
          <w:color w:val="000000"/>
          <w:sz w:val="22"/>
        </w:rPr>
        <w:t xml:space="preserve">Capital improvements reserve fund. </w:t>
      </w:r>
      <w:r>
        <w:rPr>
          <w:rFonts w:ascii="Times New Roman" w:hAnsi="Times New Roman"/>
          <w:b w:val="false"/>
          <w:i w:val="false"/>
          <w:color w:val="000000"/>
          <w:sz w:val="22"/>
        </w:rPr>
        <w:t xml:space="preserve">Except where specifically prohibited by state law, moneys may be transferred from any city fund to the capital improvements reserve fund for purposes specified in Iowa Code section </w:t>
      </w:r>
      <w:hyperlink r:id="rId19">
        <w:r>
          <w:rPr>
            <w:rStyle w:val="Hyperlink"/>
            <w:rFonts w:ascii="Times New Roman" w:hAnsi="Times New Roman"/>
            <w:b w:val="false"/>
            <w:i w:val="false"/>
            <w:color w:val="000000"/>
            <w:sz w:val="22"/>
          </w:rPr>
          <w:t>384.7</w:t>
        </w:r>
      </w:hyperlink>
      <w:r>
        <w:rPr>
          <w:rFonts w:ascii="Times New Roman" w:hAnsi="Times New Roman"/>
          <w:b w:val="false"/>
          <w:i w:val="false"/>
          <w:color w:val="000000"/>
          <w:sz w:val="22"/>
        </w:rPr>
        <w:t xml:space="preserve">. Such transfers must be authorized by the original budget or a budget amendment which has been adopted as provided in Iowa Code section </w:t>
      </w:r>
      <w:hyperlink r:id="rId20">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 xml:space="preserve"> and subject to protest as provided in Iowa Code section </w:t>
      </w:r>
      <w:hyperlink r:id="rId21">
        <w:r>
          <w:rPr>
            <w:rStyle w:val="Hyperlink"/>
            <w:rFonts w:ascii="Times New Roman" w:hAnsi="Times New Roman"/>
            <w:b w:val="false"/>
            <w:i w:val="false"/>
            <w:color w:val="000000"/>
            <w:sz w:val="22"/>
          </w:rPr>
          <w:t>384.19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w:t>
      </w:r>
      <w:r>
        <w:rPr>
          <w:rFonts w:ascii="Times New Roman" w:hAnsi="Times New Roman"/>
          <w:b w:val="false"/>
          <w:i w:val="false"/>
          <w:color w:val="000000"/>
          <w:sz w:val="22"/>
        </w:rPr>
        <w:t> </w:t>
      </w:r>
      <w:r>
        <w:rPr>
          <w:rFonts w:ascii="Times New Roman" w:hAnsi="Times New Roman"/>
          <w:b w:val="false"/>
          <w:i/>
          <w:color w:val="000000"/>
          <w:sz w:val="22"/>
        </w:rPr>
        <w:t xml:space="preserve">City utility fund and city enterprise fund. </w:t>
      </w:r>
      <w:r>
        <w:rPr>
          <w:rFonts w:ascii="Times New Roman" w:hAnsi="Times New Roman"/>
          <w:b w:val="false"/>
          <w:i w:val="false"/>
          <w:color w:val="000000"/>
          <w:sz w:val="22"/>
        </w:rPr>
        <w:t>Any governing body of a city utility, combined utility system, city enterprise, or combined city enterprise which has a surplus in its fund may transfer such surpluses to any other city fund, except the emergency fund, by resolution of the appropriate governing body. For the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surplus may exist only after all required transfers have been made to any restricted accounts in accordance with the terms and provisions of any revenue bonds of loan agreements relating to the utility or enterprise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surplus shall be defined as the cash balance in the operating account or the unrestricted net position calculated in accordance with GAAP, after adding back the net pension and other postemployment benefits liabilities and the related deferred inflows of resources and deducting the related deferred outflows of resources, in excess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amount of the expenses of disbursements for operating and maintaining the utility or enterprise for the preceding three months,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amount necessary to make all required transfers to restricted accounts for the succeeding three months.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2811C</w:t>
      </w:r>
      <w:r>
        <w:rPr>
          <w:rFonts w:ascii="Times New Roman" w:hAnsi="Times New Roman"/>
          <w:b w:val="false"/>
          <w:i w:val="false"/>
          <w:color w:val="000000"/>
          <w:sz w:val="16"/>
        </w:rPr>
        <w:t>, IAB 11/9/16, effective 12/14/16</w:t>
      </w:r>
      <w:r>
        <w:rPr>
          <w:rFonts w:ascii="Times New Roman" w:hAnsi="Times New Roman"/>
          <w:b w:val="false"/>
          <w:i w:val="false"/>
          <w:color w:val="000000"/>
          <w:sz w:val="16"/>
        </w:rPr>
        <w:t xml:space="preserve">; </w:t>
      </w:r>
      <w:r>
        <w:rPr>
          <w:rFonts w:ascii="Times New Roman" w:hAnsi="Times New Roman"/>
          <w:b/>
          <w:i w:val="false"/>
          <w:color w:val="000000"/>
          <w:sz w:val="16"/>
        </w:rPr>
        <w:t>ARC 4334C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22">
        <w:r>
          <w:rPr>
            <w:rStyle w:val="Hyperlink"/>
            <w:rFonts w:ascii="Times New Roman" w:hAnsi="Times New Roman"/>
            <w:b w:val="false"/>
            <w:i w:val="false"/>
            <w:color w:val="000000"/>
            <w:sz w:val="22"/>
          </w:rPr>
          <w:t>384</w:t>
        </w:r>
      </w:hyperlink>
      <w:r>
        <w:rPr>
          <w:rFonts w:ascii="Times New Roman" w:hAnsi="Times New Roman"/>
          <w:b w:val="false"/>
          <w:i w:val="false"/>
          <w:color w:val="000000"/>
          <w:sz w:val="22"/>
        </w:rPr>
        <w:t xml:space="preserve"> and </w:t>
      </w:r>
      <w:hyperlink r:id="rId23">
        <w:r>
          <w:rPr>
            <w:rStyle w:val="Hyperlink"/>
            <w:rFonts w:ascii="Times New Roman" w:hAnsi="Times New Roman"/>
            <w:b w:val="false"/>
            <w:i w:val="false"/>
            <w:color w:val="000000"/>
            <w:sz w:val="22"/>
          </w:rPr>
          <w:t>388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11/4/74]</w:t>
      </w:r>
    </w:p>
    <w:p>
      <w:pPr>
        <w:spacing w:before="0" w:after="0"/>
        <w:ind w:left="120"/>
        <w:jc w:val="center"/>
      </w:pPr>
      <w:r>
        <w:rPr>
          <w:rFonts w:ascii="Times New Roman" w:hAnsi="Times New Roman"/>
          <w:b w:val="false"/>
          <w:i w:val="false"/>
          <w:color w:val="000000"/>
          <w:sz w:val="21"/>
        </w:rPr>
        <w:t>[Amendment filed 10/10/75, Notice 8/25/75—published 10/20/75, effective 11/24/75]</w:t>
      </w:r>
    </w:p>
    <w:p>
      <w:pPr>
        <w:spacing w:before="0" w:after="0"/>
        <w:ind w:left="120"/>
        <w:jc w:val="center"/>
      </w:pPr>
      <w:r>
        <w:rPr>
          <w:rFonts w:ascii="Times New Roman" w:hAnsi="Times New Roman"/>
          <w:b w:val="false"/>
          <w:i w:val="false"/>
          <w:color w:val="000000"/>
          <w:sz w:val="21"/>
        </w:rPr>
        <w:t>[Filed emergency 12/23/83 after Notice of 10/26/83—published 1/18/84, effective 12/23/83]</w:t>
      </w:r>
    </w:p>
    <w:p>
      <w:pPr>
        <w:spacing w:before="0" w:after="0"/>
        <w:ind w:left="120"/>
        <w:jc w:val="center"/>
      </w:pPr>
      <w:r>
        <w:rPr>
          <w:rFonts w:ascii="Times New Roman" w:hAnsi="Times New Roman"/>
          <w:b w:val="false"/>
          <w:i w:val="false"/>
          <w:color w:val="000000"/>
          <w:sz w:val="21"/>
        </w:rPr>
        <w:t>[Filed 11/3/88, Notice 5/4/88—published 11/30/88, effective 1/4/89]</w:t>
      </w:r>
    </w:p>
    <w:p>
      <w:pPr>
        <w:spacing w:before="0" w:after="0"/>
        <w:ind w:left="120"/>
        <w:jc w:val="center"/>
      </w:pPr>
      <w:r>
        <w:rPr>
          <w:rFonts w:ascii="Times New Roman" w:hAnsi="Times New Roman"/>
          <w:b w:val="false"/>
          <w:i w:val="false"/>
          <w:color w:val="000000"/>
          <w:sz w:val="21"/>
        </w:rPr>
        <w:t>[Filed emergency 10/2/02—published 10/30/02, effective 1/1/03]</w:t>
      </w:r>
    </w:p>
    <w:p>
      <w:pPr>
        <w:spacing w:before="0" w:after="0"/>
        <w:ind w:left="120"/>
        <w:jc w:val="center"/>
      </w:pPr>
      <w:r>
        <w:rPr>
          <w:rFonts w:ascii="Times New Roman" w:hAnsi="Times New Roman"/>
          <w:b w:val="false"/>
          <w:i w:val="false"/>
          <w:color w:val="000000"/>
          <w:sz w:val="21"/>
        </w:rPr>
        <w:t>[Filed ARC 2811C</w:t>
      </w:r>
      <w:r>
        <w:rPr>
          <w:rFonts w:ascii="Times New Roman" w:hAnsi="Times New Roman"/>
          <w:b w:val="false"/>
          <w:i w:val="false"/>
          <w:color w:val="000000"/>
          <w:sz w:val="21"/>
        </w:rPr>
        <w:t xml:space="preserve"> (Notice ARC 2687C, IAB 8/31/16)</w:t>
      </w:r>
      <w:r>
        <w:rPr>
          <w:rFonts w:ascii="Times New Roman" w:hAnsi="Times New Roman"/>
          <w:b w:val="false"/>
          <w:i w:val="false"/>
          <w:color w:val="000000"/>
          <w:sz w:val="21"/>
        </w:rPr>
        <w:t>, IAB 11/9/16, effective 12/14/16]</w:t>
      </w:r>
    </w:p>
    <w:p>
      <w:pPr>
        <w:spacing w:before="0" w:after="0"/>
        <w:ind w:left="120"/>
        <w:jc w:val="center"/>
      </w:pPr>
      <w:r>
        <w:rPr>
          <w:rFonts w:ascii="Times New Roman" w:hAnsi="Times New Roman"/>
          <w:b w:val="false"/>
          <w:i w:val="false"/>
          <w:color w:val="000000"/>
          <w:sz w:val="21"/>
        </w:rPr>
        <w:t>[Filed ARC 4334C</w:t>
      </w:r>
      <w:r>
        <w:rPr>
          <w:rFonts w:ascii="Times New Roman" w:hAnsi="Times New Roman"/>
          <w:b w:val="false"/>
          <w:i w:val="false"/>
          <w:color w:val="000000"/>
          <w:sz w:val="21"/>
        </w:rPr>
        <w:t xml:space="preserve"> (Notice ARC 4234C, IAB 1/16/19)</w:t>
      </w:r>
      <w:r>
        <w:rPr>
          <w:rFonts w:ascii="Times New Roman" w:hAnsi="Times New Roman"/>
          <w:b w:val="false"/>
          <w:i w:val="false"/>
          <w:color w:val="000000"/>
          <w:sz w:val="21"/>
        </w:rPr>
        <w:t>, IAB 3/13/19, effective 4/17/19]</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84.16.pdf" Type="http://schemas.openxmlformats.org/officeDocument/2006/relationships/hyperlink" Id="rId5"/>
    <Relationship TargetMode="External" Target="https://www.legis.iowa.gov/docs/ico/chapter/384.19.pdf" Type="http://schemas.openxmlformats.org/officeDocument/2006/relationships/hyperlink" Id="rId6"/>
    <Relationship TargetMode="External" Target="https://www.legis.iowa.gov/docs/ico/chapter/384.15.pdf" Type="http://schemas.openxmlformats.org/officeDocument/2006/relationships/hyperlink" Id="rId7"/>
    <Relationship TargetMode="External" Target="https://www.legis.iowa.gov/docs/ico/chapter/384.19.pdf" Type="http://schemas.openxmlformats.org/officeDocument/2006/relationships/hyperlink" Id="rId8"/>
    <Relationship TargetMode="External" Target="https://www.legis.iowa.gov/docs/ico/chapter/384.23-94.pdf" Type="http://schemas.openxmlformats.org/officeDocument/2006/relationships/hyperlink" Id="rId9"/>
    <Relationship TargetMode="External" Target="https://www.legis.iowa.gov/docs/ico/chapter/384.16.pdf" Type="http://schemas.openxmlformats.org/officeDocument/2006/relationships/hyperlink" Id="rId10"/>
    <Relationship TargetMode="External" Target="https://www.legis.iowa.gov/docs/ico/chapter/384.19.pdf" Type="http://schemas.openxmlformats.org/officeDocument/2006/relationships/hyperlink" Id="rId11"/>
    <Relationship TargetMode="External" Target="https://www.legis.iowa.gov/docs/ico/chapter/384.16.pdf" Type="http://schemas.openxmlformats.org/officeDocument/2006/relationships/hyperlink" Id="rId12"/>
    <Relationship TargetMode="External" Target="https://www.legis.iowa.gov/docs/ico/chapter/384.19.pdf" Type="http://schemas.openxmlformats.org/officeDocument/2006/relationships/hyperlink" Id="rId13"/>
    <Relationship TargetMode="External" Target="https://www.legis.iowa.gov/docs/ico/chapter/348.18.pdf" Type="http://schemas.openxmlformats.org/officeDocument/2006/relationships/hyperlink" Id="rId14"/>
    <Relationship TargetMode="External" Target="https://www.legis.iowa.gov/docs/ico/chapter/384.16.pdf" Type="http://schemas.openxmlformats.org/officeDocument/2006/relationships/hyperlink" Id="rId15"/>
    <Relationship TargetMode="External" Target="https://www.legis.iowa.gov/docs/ico/chapter/384.19.pdf" Type="http://schemas.openxmlformats.org/officeDocument/2006/relationships/hyperlink" Id="rId16"/>
    <Relationship TargetMode="External" Target="https://www.legis.iowa.gov/docs/ico/chapter/384.16.pdf" Type="http://schemas.openxmlformats.org/officeDocument/2006/relationships/hyperlink" Id="rId17"/>
    <Relationship TargetMode="External" Target="https://www.legis.iowa.gov/docs/ico/chapter/384.19.pdf" Type="http://schemas.openxmlformats.org/officeDocument/2006/relationships/hyperlink" Id="rId18"/>
    <Relationship TargetMode="External" Target="https://www.legis.iowa.gov/docs/ico/chapter/384.7.pdf" Type="http://schemas.openxmlformats.org/officeDocument/2006/relationships/hyperlink" Id="rId19"/>
    <Relationship TargetMode="External" Target="https://www.legis.iowa.gov/docs/ico/chapter/384.16.pdf" Type="http://schemas.openxmlformats.org/officeDocument/2006/relationships/hyperlink" Id="rId20"/>
    <Relationship TargetMode="External" Target="https://www.legis.iowa.gov/docs/ico/chapter/384.19.pdf" Type="http://schemas.openxmlformats.org/officeDocument/2006/relationships/hyperlink" Id="rId21"/>
    <Relationship TargetMode="External" Target="https://www.legis.iowa.gov/docs/ico/chapter/384.pdf" Type="http://schemas.openxmlformats.org/officeDocument/2006/relationships/hyperlink" Id="rId22"/>
    <Relationship TargetMode="External" Target="https://www.legis.iowa.gov/docs/ico/chapter/388.pdf" Type="http://schemas.openxmlformats.org/officeDocument/2006/relationships/hyperlink" Id="rId2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