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8/31/94, see 705—Ch 7]</w:t>
      </w:r>
    </w:p>
    <w:p>
      <w:pPr>
        <w:spacing w:before="0" w:after="0"/>
        <w:ind w:left="120"/>
        <w:jc w:val="center"/>
      </w:pPr>
      <w:r>
        <w:rPr>
          <w:rFonts w:ascii="Times New Roman" w:hAnsi="Times New Roman"/>
          <w:b w:val="false"/>
          <w:i w:val="false"/>
          <w:color w:val="000000"/>
          <w:sz w:val="14"/>
        </w:rPr>
        <w:t>[Prior to 9/17/03, see 705—Ch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531—5.1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related to lottery licensees and lottery licenses.</w:t>
      </w:r>
    </w:p>
    <w:p>
      <w:pPr>
        <w:spacing w:before="0" w:after="0"/>
        <w:ind w:left="120"/>
        <w:jc w:val="both"/>
      </w:pPr>
      <w:r>
        <w:rPr>
          <w:rFonts w:ascii="Times New Roman" w:hAnsi="Times New Roman"/>
          <w:b/>
          <w:i w:val="false"/>
          <w:color w:val="000000"/>
          <w:sz w:val="22"/>
        </w:rPr>
        <w:t>531—5.2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or otherwise electronically providing a copy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531—5.3</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board.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4814C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12/18/19</w:t>
      </w:r>
      <w:r>
        <w:rPr>
          <w:rFonts w:ascii="Times New Roman" w:hAnsi="Times New Roman"/>
          <w:b w:val="false"/>
          <w:i w:val="false"/>
          <w:color w:val="000000"/>
          <w:sz w:val="22"/>
        </w:rPr>
        <w:t xml:space="preserve">, effective 1/22/20. </w:t>
      </w:r>
    </w:p>
    <w:p>
      <w:pPr>
        <w:spacing w:before="0" w:after="0"/>
        <w:ind w:left="120"/>
        <w:jc w:val="both"/>
      </w:pPr>
      <w:r>
        <w:rPr>
          <w:rFonts w:ascii="Times New Roman" w:hAnsi="Times New Roman"/>
          <w:b/>
          <w:i w:val="false"/>
          <w:color w:val="000000"/>
          <w:sz w:val="22"/>
        </w:rPr>
        <w:t>531—5.4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i w:val="false"/>
          <w:color w:val="000000"/>
          <w:sz w:val="22"/>
        </w:rPr>
        <w:t>531—5.5</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531—5.6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or electronic service as permitted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lottery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lottery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531—5.7</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and appeals must file a written request within 20 days after service of a notice of hearing that identifies or describes the presiding officer as the agency head or members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chief executive officer of the lottery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agency nor any officer of the agency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chief executive officer of the lottery shall issue a written ruling specifying the grounds for its decision within 20 days after a request for an administrative law judge is filed. If the ruling is contingent upon the availability of an administrative law judge,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lottery. A party must seek any available appeal with the lottery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chief executive officer or a designee, when reviewing a proposed decision upon appeal to the lottery,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531—5.8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531—5.9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9">
        <w:r>
          <w:rPr>
            <w:rStyle w:val="Hyperlink"/>
            <w:rFonts w:ascii="Times New Roman" w:hAnsi="Times New Roman"/>
            <w:b w:val="false"/>
            <w:i w:val="false"/>
            <w:color w:val="000000"/>
            <w:sz w:val="22"/>
          </w:rPr>
          <w:t>5.9(3)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grounds, including those listed in subrule </w:t>
      </w:r>
      <w:hyperlink r:id="rId11">
        <w:r>
          <w:rPr>
            <w:rStyle w:val="Hyperlink"/>
            <w:rFonts w:ascii="Times New Roman" w:hAnsi="Times New Roman"/>
            <w:b w:val="false"/>
            <w:i w:val="false"/>
            <w:color w:val="000000"/>
            <w:sz w:val="22"/>
          </w:rPr>
          <w:t>5.9(1)</w:t>
        </w:r>
      </w:hyperlink>
      <w:r>
        <w:rPr>
          <w:rFonts w:ascii="Times New Roman" w:hAnsi="Times New Roman"/>
          <w:b w:val="false"/>
          <w:i w:val="false"/>
          <w:color w:val="000000"/>
          <w:sz w:val="22"/>
        </w:rPr>
        <w:t xml:space="preserve">, the party shall file a motion supported by an affidavit pursuant to Iowa Code subsection </w:t>
      </w:r>
      <w:hyperlink r:id="rId1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rule interlocutory appeal under </w:t>
      </w:r>
      <w:hyperlink r:id="rId13">
        <w:r>
          <w:rPr>
            <w:rStyle w:val="Hyperlink"/>
            <w:rFonts w:ascii="Times New Roman" w:hAnsi="Times New Roman"/>
            <w:b w:val="false"/>
            <w:i w:val="false"/>
            <w:color w:val="000000"/>
            <w:sz w:val="22"/>
          </w:rPr>
          <w:t>531—5.25(17A)</w:t>
        </w:r>
      </w:hyperlink>
      <w:r>
        <w:rPr>
          <w:rFonts w:ascii="Times New Roman" w:hAnsi="Times New Roman"/>
          <w:b w:val="false"/>
          <w:i w:val="false"/>
          <w:color w:val="000000"/>
          <w:sz w:val="22"/>
        </w:rPr>
        <w:t xml:space="preserve"> and seek a stay under rule </w:t>
      </w:r>
      <w:hyperlink r:id="rId14">
        <w:r>
          <w:rPr>
            <w:rStyle w:val="Hyperlink"/>
            <w:rFonts w:ascii="Times New Roman" w:hAnsi="Times New Roman"/>
            <w:b w:val="false"/>
            <w:i w:val="false"/>
            <w:color w:val="000000"/>
            <w:sz w:val="22"/>
          </w:rPr>
          <w:t>531—5.29(17A)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531—5.10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531—5.11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laws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which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531—5.12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subsection </w:t>
      </w:r>
      <w:hyperlink r:id="rId1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or by electronic service as permitted by the presiding officer and the Iowa Rules of Civil Procedure. Service by paper or electronic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 All pleadings, motions, documents or other papers that are required to be served upon a party shall be filed simultaneously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presiding officer, delivered to an established courier service for immediate delivery to the presiding officer, delivered via electronic mail or fax, or mailed by first-class mail or state interoffice mail to the presiding officer,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 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531—5.13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 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16">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531—5.14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531—5.15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lottery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lottery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17">
        <w:r>
          <w:rPr>
            <w:rStyle w:val="Hyperlink"/>
            <w:rFonts w:ascii="Times New Roman" w:hAnsi="Times New Roman"/>
            <w:b w:val="false"/>
            <w:i w:val="false"/>
            <w:color w:val="000000"/>
            <w:sz w:val="22"/>
          </w:rPr>
          <w:t>531—5.28(17A)</w:t>
        </w:r>
      </w:hyperlink>
      <w:r>
        <w:rPr>
          <w:rFonts w:ascii="Times New Roman" w:hAnsi="Times New Roman"/>
          <w:b w:val="false"/>
          <w:i w:val="false"/>
          <w:color w:val="000000"/>
          <w:sz w:val="22"/>
        </w:rPr>
        <w:t xml:space="preserve"> and appeal pursuant to rule </w:t>
      </w:r>
      <w:hyperlink r:id="rId18">
        <w:r>
          <w:rPr>
            <w:rStyle w:val="Hyperlink"/>
            <w:rFonts w:ascii="Times New Roman" w:hAnsi="Times New Roman"/>
            <w:b w:val="false"/>
            <w:i w:val="false"/>
            <w:color w:val="000000"/>
            <w:sz w:val="22"/>
          </w:rPr>
          <w:t>531—5.27(17A)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531—5.16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15 days prior to the hearing date. A prehearing conference shall be scheduled not less than 10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19">
        <w:r>
          <w:rPr>
            <w:rStyle w:val="Hyperlink"/>
            <w:rFonts w:ascii="Times New Roman" w:hAnsi="Times New Roman"/>
            <w:b w:val="false"/>
            <w:i w:val="false"/>
            <w:color w:val="000000"/>
            <w:sz w:val="22"/>
          </w:rPr>
          <w:t>5.16(2)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531—5.17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531—5.18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agency rules. Unless otherwise provided, a withdrawal shall be with prejudice.</w:t>
      </w:r>
    </w:p>
    <w:p>
      <w:pPr>
        <w:spacing w:before="0" w:after="0"/>
        <w:ind w:left="120"/>
        <w:jc w:val="both"/>
      </w:pPr>
      <w:r>
        <w:rPr>
          <w:rFonts w:ascii="Times New Roman" w:hAnsi="Times New Roman"/>
          <w:b/>
          <w:i w:val="false"/>
          <w:color w:val="000000"/>
          <w:sz w:val="22"/>
        </w:rPr>
        <w:t>531—5.19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531—5.20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531—5.21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531—5.22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20">
        <w:r>
          <w:rPr>
            <w:rStyle w:val="Hyperlink"/>
            <w:rFonts w:ascii="Times New Roman" w:hAnsi="Times New Roman"/>
            <w:b w:val="false"/>
            <w:i w:val="false"/>
            <w:color w:val="000000"/>
            <w:sz w:val="22"/>
          </w:rPr>
          <w:t>531—5.27(17A)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1">
        <w:r>
          <w:rPr>
            <w:rStyle w:val="Hyperlink"/>
            <w:rFonts w:ascii="Times New Roman" w:hAnsi="Times New Roman"/>
            <w:b w:val="false"/>
            <w:i w:val="false"/>
            <w:color w:val="000000"/>
            <w:sz w:val="22"/>
          </w:rPr>
          <w:t>531—5.25(17A)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2">
        <w:r>
          <w:rPr>
            <w:rStyle w:val="Hyperlink"/>
            <w:rFonts w:ascii="Times New Roman" w:hAnsi="Times New Roman"/>
            <w:b w:val="false"/>
            <w:i w:val="false"/>
            <w:color w:val="000000"/>
            <w:sz w:val="22"/>
          </w:rPr>
          <w:t>531—5.29(17A)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531—5.23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communications,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lottery or seeking the advice or help of persons other than those with a personal interest in, or those engaged in personally investigating as defined in subrule </w:t>
      </w:r>
      <w:hyperlink r:id="rId23">
        <w:r>
          <w:rPr>
            <w:rStyle w:val="Hyperlink"/>
            <w:rFonts w:ascii="Times New Roman" w:hAnsi="Times New Roman"/>
            <w:b w:val="false"/>
            <w:i w:val="false"/>
            <w:color w:val="000000"/>
            <w:sz w:val="22"/>
          </w:rPr>
          <w:t>5.9(2)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4">
        <w:r>
          <w:rPr>
            <w:rStyle w:val="Hyperlink"/>
            <w:rFonts w:ascii="Times New Roman" w:hAnsi="Times New Roman"/>
            <w:b w:val="false"/>
            <w:i w:val="false"/>
            <w:color w:val="000000"/>
            <w:sz w:val="22"/>
          </w:rPr>
          <w:t>531—5.12(17A)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other persons may be present in deliberations or otherwise advise the presiding officer without notice or opportunity for parties to participate as long as they are not disqualified from participating in the making of a proposed or final decision under any provision of law and they comply with subrule </w:t>
      </w:r>
      <w:hyperlink r:id="rId25">
        <w:r>
          <w:rPr>
            <w:rStyle w:val="Hyperlink"/>
            <w:rFonts w:ascii="Times New Roman" w:hAnsi="Times New Roman"/>
            <w:b w:val="false"/>
            <w:i w:val="false"/>
            <w:color w:val="000000"/>
            <w:sz w:val="22"/>
          </w:rPr>
          <w:t>5.23(1)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26">
        <w:r>
          <w:rPr>
            <w:rStyle w:val="Hyperlink"/>
            <w:rFonts w:ascii="Times New Roman" w:hAnsi="Times New Roman"/>
            <w:b w:val="false"/>
            <w:i w:val="false"/>
            <w:color w:val="000000"/>
            <w:sz w:val="22"/>
          </w:rPr>
          <w:t>531—5.17(17A)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7">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lottery. Violation of ex parte communication prohibitions by agency personnel shall be reported to the chief executive officer of the lottery for possible sanctions including censure, suspension, dismissal, or other disciplinary action.</w:t>
      </w:r>
    </w:p>
    <w:p>
      <w:pPr>
        <w:spacing w:before="0" w:after="0"/>
        <w:ind w:left="120"/>
        <w:jc w:val="both"/>
      </w:pPr>
      <w:r>
        <w:rPr>
          <w:rFonts w:ascii="Times New Roman" w:hAnsi="Times New Roman"/>
          <w:b/>
          <w:i w:val="false"/>
          <w:color w:val="000000"/>
          <w:sz w:val="22"/>
        </w:rPr>
        <w:t>531—5.24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costs. </w:t>
      </w:r>
      <w:r>
        <w:rPr>
          <w:rFonts w:ascii="Times New Roman" w:hAnsi="Times New Roman"/>
          <w:b w:val="false"/>
          <w:i w:val="false"/>
          <w:color w:val="000000"/>
          <w:sz w:val="22"/>
        </w:rPr>
        <w:t>Upon request, the Iowa lottery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 rather than by electronic means shall bear the cost of that recordation, unless otherwise provided by law.</w:t>
      </w:r>
    </w:p>
    <w:p>
      <w:pPr>
        <w:spacing w:before="0" w:after="0"/>
        <w:ind w:left="120"/>
        <w:jc w:val="both"/>
      </w:pPr>
      <w:r>
        <w:rPr>
          <w:rFonts w:ascii="Times New Roman" w:hAnsi="Times New Roman"/>
          <w:b/>
          <w:i w:val="false"/>
          <w:color w:val="000000"/>
          <w:sz w:val="22"/>
        </w:rPr>
        <w:t>531—5.25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sua sponte, the chief executive officer may review an interlocutory order of the presiding officer. In determining whether to do so, the chief executive officer shall weigh the extent to which the chief executive officer’s granting of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531—5.26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When the chief executive officer presides over the reception of evidence at the hearing, the chief executive officer’s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chief executive officer does not preside at the reception of evidence, the presiding officer shall make a proposed decision. The proposed decision becomes the final decision of the agency without further proceedings unless there is an appeal to, or review on motion of, the chief executive officer within the time provided in rule </w:t>
      </w:r>
      <w:hyperlink r:id="rId28">
        <w:r>
          <w:rPr>
            <w:rStyle w:val="Hyperlink"/>
            <w:rFonts w:ascii="Times New Roman" w:hAnsi="Times New Roman"/>
            <w:b w:val="false"/>
            <w:i w:val="false"/>
            <w:color w:val="000000"/>
            <w:sz w:val="22"/>
          </w:rPr>
          <w:t>531—5.27(17A)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531—5.27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chief executive officer of the lottery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chief executive officer may initiate review of a proposed decision on the chief executive officer’s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Iowa lottery.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chief executive officer may remand a case to the presiding officer for further hearing or may personally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chief executive officer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chief executive officer may resolve the appeal on the briefs or provide an opportunity for oral argument. The chief executive officer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531—5.28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subrule </w:t>
      </w:r>
      <w:hyperlink r:id="rId29">
        <w:r>
          <w:rPr>
            <w:rStyle w:val="Hyperlink"/>
            <w:rFonts w:ascii="Times New Roman" w:hAnsi="Times New Roman"/>
            <w:b w:val="false"/>
            <w:i w:val="false"/>
            <w:color w:val="000000"/>
            <w:sz w:val="22"/>
          </w:rPr>
          <w:t>5.27(4)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Iowa lottery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Iowa lottery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ind w:left="120"/>
        <w:jc w:val="both"/>
      </w:pPr>
      <w:r>
        <w:rPr>
          <w:rFonts w:ascii="Times New Roman" w:hAnsi="Times New Roman"/>
          <w:b/>
          <w:i w:val="false"/>
          <w:color w:val="000000"/>
          <w:sz w:val="22"/>
        </w:rPr>
        <w:t>531—5.29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lottery for a stay of an order issued in that proceeding or for other temporary remedies, pending review by the agency. The petition shall be filed with the notice of appeal and shall state the reasons justifying a stay or other temporary remedy. The chief executive officer of the lottery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lottery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chief executive officer or presiding officer shall consider the factors listed in Iowa Code section </w:t>
      </w:r>
      <w:hyperlink r:id="rId30">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lottery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531—5.30</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531—5.31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lottery may issue a written order in compliance with Iowa Code section </w:t>
      </w:r>
      <w:hyperlink r:id="rId31">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lottery by emergency adjudicative order. Before issuing an emergency adjudicative order the lottery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lottery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lottery’s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agency proceedings are scheduled for completion. After issuance of an emergency adjudicative order, continuance of further agency proceedings to a later date will be granted only in compelling circumstances upon application in writing.</w:t>
      </w:r>
    </w:p>
    <w:p>
      <w:pPr>
        <w:spacing w:before="210" w:after="0"/>
        <w:ind w:left="120"/>
        <w:jc w:val="both"/>
      </w:pPr>
      <w:r>
        <w:rPr>
          <w:rFonts w:ascii="Times New Roman" w:hAnsi="Times New Roman"/>
          <w:b/>
          <w:i w:val="false"/>
          <w:color w:val="000000"/>
          <w:sz w:val="22"/>
        </w:rPr>
        <w:t>531—5.32</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agency in its discretion may refuse to give effect to such a waiver when it deems the waiver to be inconsistent with the public interest.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Supplement section </w:t>
      </w:r>
      <w:hyperlink r:id="rId33">
        <w:r>
          <w:rPr>
            <w:rStyle w:val="Hyperlink"/>
            <w:rFonts w:ascii="Times New Roman" w:hAnsi="Times New Roman"/>
            <w:b w:val="false"/>
            <w:i w:val="false"/>
            <w:color w:val="000000"/>
            <w:sz w:val="22"/>
          </w:rPr>
          <w:t>99G.27(3)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emergency 12/23/86—published 1/14/87, effective 12/26/86]</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ARC 1954C</w:t>
      </w:r>
      <w:r>
        <w:rPr>
          <w:rFonts w:ascii="Times New Roman" w:hAnsi="Times New Roman"/>
          <w:b w:val="false"/>
          <w:i w:val="false"/>
          <w:color w:val="000000"/>
          <w:sz w:val="21"/>
        </w:rPr>
        <w:t xml:space="preserve"> (Notice ARC 1847C, IAB 2/4/15)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4814C</w:t>
      </w:r>
      <w:r>
        <w:rPr>
          <w:rFonts w:ascii="Times New Roman" w:hAnsi="Times New Roman"/>
          <w:b w:val="false"/>
          <w:i w:val="false"/>
          <w:color w:val="000000"/>
          <w:sz w:val="21"/>
        </w:rPr>
        <w:t xml:space="preserve"> (Notice ARC 4563C, IAB 7/31/19)</w:t>
      </w:r>
      <w:r>
        <w:rPr>
          <w:rFonts w:ascii="Times New Roman" w:hAnsi="Times New Roman"/>
          <w:b w:val="false"/>
          <w:i w:val="false"/>
          <w:color w:val="000000"/>
          <w:sz w:val="21"/>
        </w:rPr>
        <w:t>, IAB 12/18/19, effective 1/22/20]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531.5.9.pdf" Type="http://schemas.openxmlformats.org/officeDocument/2006/relationships/hyperlink" Id="rId9"/>
    <Relationship TargetMode="External" Target="https://www.legis.iowa.gov/docs/iac/rule/531.5.23.pdf" Type="http://schemas.openxmlformats.org/officeDocument/2006/relationships/hyperlink" Id="rId10"/>
    <Relationship TargetMode="External" Target="https://www.legis.iowa.gov/docs/iac/rule/531.5.9.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531.5.25.pdf" Type="http://schemas.openxmlformats.org/officeDocument/2006/relationships/hyperlink" Id="rId13"/>
    <Relationship TargetMode="External" Target="https://www.legis.iowa.gov/docs/iac/rule/531.5.29.pdf" Type="http://schemas.openxmlformats.org/officeDocument/2006/relationships/hyperlink" Id="rId14"/>
    <Relationship TargetMode="External" Target="https://www.legis.iowa.gov/docs/ico/chapter/17A.16.pdf" Type="http://schemas.openxmlformats.org/officeDocument/2006/relationships/hyperlink" Id="rId15"/>
    <Relationship TargetMode="External" Target="https://www.legis.iowa.gov/docs/iac/rule/531.5.13.pdf" Type="http://schemas.openxmlformats.org/officeDocument/2006/relationships/hyperlink" Id="rId16"/>
    <Relationship TargetMode="External" Target="https://www.legis.iowa.gov/docs/iac/rule/531.5.28.pdf" Type="http://schemas.openxmlformats.org/officeDocument/2006/relationships/hyperlink" Id="rId17"/>
    <Relationship TargetMode="External" Target="https://www.legis.iowa.gov/docs/iac/rule/531.5.27.pdf" Type="http://schemas.openxmlformats.org/officeDocument/2006/relationships/hyperlink" Id="rId18"/>
    <Relationship TargetMode="External" Target="https://www.legis.iowa.gov/docs/iac/rule/531.5.16.pdf" Type="http://schemas.openxmlformats.org/officeDocument/2006/relationships/hyperlink" Id="rId19"/>
    <Relationship TargetMode="External" Target="https://www.legis.iowa.gov/docs/iac/rule/531.5.27.pdf" Type="http://schemas.openxmlformats.org/officeDocument/2006/relationships/hyperlink" Id="rId20"/>
    <Relationship TargetMode="External" Target="https://www.legis.iowa.gov/docs/iac/rule/531.5.25.pdf" Type="http://schemas.openxmlformats.org/officeDocument/2006/relationships/hyperlink" Id="rId21"/>
    <Relationship TargetMode="External" Target="https://www.legis.iowa.gov/docs/iac/rule/531.5.29.pdf" Type="http://schemas.openxmlformats.org/officeDocument/2006/relationships/hyperlink" Id="rId22"/>
    <Relationship TargetMode="External" Target="https://www.legis.iowa.gov/docs/iac/rule/531.5.9.pdf" Type="http://schemas.openxmlformats.org/officeDocument/2006/relationships/hyperlink" Id="rId23"/>
    <Relationship TargetMode="External" Target="https://www.legis.iowa.gov/docs/iac/rule/531.5.12.pdf" Type="http://schemas.openxmlformats.org/officeDocument/2006/relationships/hyperlink" Id="rId24"/>
    <Relationship TargetMode="External" Target="https://www.legis.iowa.gov/docs/iac/rule/531.5.23.pdf" Type="http://schemas.openxmlformats.org/officeDocument/2006/relationships/hyperlink" Id="rId25"/>
    <Relationship TargetMode="External" Target="https://www.legis.iowa.gov/docs/iac/rule/531.5.17.pdf" Type="http://schemas.openxmlformats.org/officeDocument/2006/relationships/hyperlink" Id="rId26"/>
    <Relationship TargetMode="External" Target="https://www.legis.iowa.gov/docs/ico/chapter/17A.13.pdf" Type="http://schemas.openxmlformats.org/officeDocument/2006/relationships/hyperlink" Id="rId27"/>
    <Relationship TargetMode="External" Target="https://www.legis.iowa.gov/docs/iac/rule/531.5.27.pdf" Type="http://schemas.openxmlformats.org/officeDocument/2006/relationships/hyperlink" Id="rId28"/>
    <Relationship TargetMode="External" Target="https://www.legis.iowa.gov/docs/iac/rule/531.5.27.pdf" Type="http://schemas.openxmlformats.org/officeDocument/2006/relationships/hyperlink" Id="rId29"/>
    <Relationship TargetMode="External" Target="https://www.legis.iowa.gov/docs/ico/chapter/17A.19.pdf" Type="http://schemas.openxmlformats.org/officeDocument/2006/relationships/hyperlink" Id="rId30"/>
    <Relationship TargetMode="External" Target="https://www.legis.iowa.gov/docs/ico/chapter/17A.18.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99G.27.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