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WAIVER RULES</w:t>
      </w:r>
    </w:p>
    <w:p>
      <w:pPr>
        <w:spacing w:before="0" w:after="0"/>
        <w:ind w:left="120"/>
        <w:jc w:val="center"/>
      </w:pPr>
      <w:r>
        <w:rPr>
          <w:rFonts w:ascii="Times New Roman" w:hAnsi="Times New Roman"/>
          <w:b w:val="false"/>
          <w:i w:val="false"/>
          <w:color w:val="000000"/>
          <w:sz w:val="14"/>
        </w:rPr>
        <w:t>[Prior to 9/17/03, see 705—Ch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531—4.1</w:t>
      </w:r>
      <w:r>
        <w:rPr>
          <w:rFonts w:ascii="Times New Roman" w:hAnsi="Times New Roman"/>
          <w:b/>
          <w:i w:val="false"/>
          <w:color w:val="000000"/>
          <w:sz w:val="22"/>
        </w:rPr>
        <w:t xml:space="preserve">(99G)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These rules outline a uniform process for the granting of waivers from rules adopted by the Iowa lottery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5991C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531—4.2</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 </w:t>
      </w:r>
      <w:r>
        <w:rPr>
          <w:rFonts w:ascii="Times New Roman" w:hAnsi="Times New Roman"/>
          <w:b w:val="false"/>
          <w:i w:val="false"/>
          <w:color w:val="000000"/>
          <w:sz w:val="22"/>
        </w:rPr>
        <w:t>For purposes of this chapter, “a waiver” means action by the lottery authority board that suspends in whole or in part the requirements or provisions of a rule as applied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5991C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531—4.3</w:t>
      </w:r>
      <w:r>
        <w:rPr>
          <w:rFonts w:ascii="Times New Roman" w:hAnsi="Times New Roman"/>
          <w:b/>
          <w:i w:val="false"/>
          <w:color w:val="000000"/>
          <w:sz w:val="22"/>
        </w:rPr>
        <w:t xml:space="preserve">(99G)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lottery authority board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210" w:after="0"/>
        <w:ind w:left="120"/>
        <w:jc w:val="both"/>
      </w:pPr>
      <w:r>
        <w:rPr>
          <w:rFonts w:ascii="Times New Roman" w:hAnsi="Times New Roman"/>
          <w:b/>
          <w:i w:val="false"/>
          <w:color w:val="000000"/>
          <w:sz w:val="22"/>
        </w:rPr>
        <w:t>531—4.4</w:t>
      </w:r>
      <w:r>
        <w:rPr>
          <w:rFonts w:ascii="Times New Roman" w:hAnsi="Times New Roman"/>
          <w:b/>
          <w:i w:val="false"/>
          <w:color w:val="000000"/>
          <w:sz w:val="22"/>
        </w:rPr>
        <w:t xml:space="preserve">(99G) </w:t>
      </w:r>
      <w:r>
        <w:rPr>
          <w:rFonts w:ascii="Times New Roman" w:hAnsi="Times New Roman"/>
          <w:b/>
          <w:i w:val="false"/>
          <w:color w:val="000000"/>
          <w:sz w:val="22"/>
        </w:rPr>
        <w:t xml:space="preserve">Applicability of chapter. </w:t>
      </w:r>
      <w:r>
        <w:rPr>
          <w:rFonts w:ascii="Times New Roman" w:hAnsi="Times New Roman"/>
          <w:b w:val="false"/>
          <w:i w:val="false"/>
          <w:color w:val="000000"/>
          <w:sz w:val="22"/>
        </w:rPr>
        <w:t>The lottery authority board may grant a waiver from a rule only if the board has jurisdiction over the rule and the requested waiver is consistent with applicable statutes, constitutional provisions, or other provisions of law. The board may not waive requirements created or imposed by statute.</w:t>
      </w:r>
    </w:p>
    <w:p>
      <w:pPr>
        <w:spacing w:before="0" w:after="0"/>
        <w:ind w:left="120"/>
        <w:jc w:val="both"/>
      </w:pPr>
      <w:r>
        <w:rPr>
          <w:rFonts w:ascii="Times New Roman" w:hAnsi="Times New Roman"/>
          <w:b/>
          <w:i w:val="false"/>
          <w:color w:val="000000"/>
          <w:sz w:val="22"/>
        </w:rPr>
        <w:t>531—4.5</w:t>
      </w:r>
      <w:r>
        <w:rPr>
          <w:rFonts w:ascii="Times New Roman" w:hAnsi="Times New Roman"/>
          <w:b/>
          <w:i w:val="false"/>
          <w:color w:val="000000"/>
          <w:sz w:val="22"/>
        </w:rPr>
        <w:t xml:space="preserve">(99G)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rule </w:t>
      </w:r>
      <w:hyperlink r:id="rId5">
        <w:r>
          <w:rPr>
            <w:rStyle w:val="Hyperlink"/>
            <w:rFonts w:ascii="Times New Roman" w:hAnsi="Times New Roman"/>
            <w:b w:val="false"/>
            <w:i w:val="false"/>
            <w:color w:val="000000"/>
            <w:sz w:val="22"/>
          </w:rPr>
          <w:t>531—5.6</w:t>
        </w:r>
      </w:hyperlink>
      <w:r>
        <w:rPr>
          <w:rFonts w:ascii="Times New Roman" w:hAnsi="Times New Roman"/>
          <w:b w:val="false"/>
          <w:i w:val="false"/>
          <w:color w:val="000000"/>
          <w:sz w:val="22"/>
        </w:rPr>
        <w:t>(17A), the board may in its sole discretion issue an order waiving in whole or in part the requirements of a rule if the board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equivalent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5991C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531—4.6</w:t>
      </w:r>
      <w:r>
        <w:rPr>
          <w:rFonts w:ascii="Times New Roman" w:hAnsi="Times New Roman"/>
          <w:b/>
          <w:i w:val="false"/>
          <w:color w:val="000000"/>
          <w:sz w:val="22"/>
        </w:rPr>
        <w:t xml:space="preserve">(99G)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If the petition relates to a license application, the petition shall be made in accordance with the filing requirements for the license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may be submitted to the board’s executive secretary.</w:t>
      </w:r>
    </w:p>
    <w:p>
      <w:pPr>
        <w:spacing w:before="0" w:after="0"/>
        <w:ind w:left="120"/>
        <w:jc w:val="both"/>
      </w:pPr>
      <w:r>
        <w:rPr>
          <w:rFonts w:ascii="Times New Roman" w:hAnsi="Times New Roman"/>
          <w:b/>
          <w:i w:val="false"/>
          <w:color w:val="000000"/>
          <w:sz w:val="22"/>
        </w:rPr>
        <w:t>531—4.7</w:t>
      </w:r>
      <w:r>
        <w:rPr>
          <w:rFonts w:ascii="Times New Roman" w:hAnsi="Times New Roman"/>
          <w:b/>
          <w:i w:val="false"/>
          <w:color w:val="000000"/>
          <w:sz w:val="22"/>
        </w:rPr>
        <w:t xml:space="preserve">(99G)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or entity for which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rule </w:t>
      </w:r>
      <w:hyperlink r:id="rId6">
        <w:r>
          <w:rPr>
            <w:rStyle w:val="Hyperlink"/>
            <w:rFonts w:ascii="Times New Roman" w:hAnsi="Times New Roman"/>
            <w:b w:val="false"/>
            <w:i w:val="false"/>
            <w:color w:val="000000"/>
            <w:sz w:val="22"/>
          </w:rPr>
          <w:t>531—4.5</w:t>
        </w:r>
      </w:hyperlink>
      <w:r>
        <w:rPr>
          <w:rFonts w:ascii="Times New Roman" w:hAnsi="Times New Roman"/>
          <w:b w:val="false"/>
          <w:i w:val="false"/>
          <w:color w:val="000000"/>
          <w:sz w:val="22"/>
        </w:rPr>
        <w:t>(99G).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board and the petitioner relating to the activity or license affected by the proposed waiver, including a description of each affected license held by the requester, any notices of violation, contested case hearings, or investigative reports relating to the activity or license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board’s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petition to furnish the board with information relevant to the waiver.</w:t>
      </w:r>
    </w:p>
    <w:p>
      <w:pPr>
        <w:spacing w:before="210" w:after="0"/>
        <w:ind w:left="120"/>
        <w:jc w:val="both"/>
      </w:pPr>
      <w:r>
        <w:rPr>
          <w:rFonts w:ascii="Times New Roman" w:hAnsi="Times New Roman"/>
          <w:b/>
          <w:i w:val="false"/>
          <w:color w:val="000000"/>
          <w:sz w:val="22"/>
        </w:rPr>
        <w:t>531—4.8</w:t>
      </w:r>
      <w:r>
        <w:rPr>
          <w:rFonts w:ascii="Times New Roman" w:hAnsi="Times New Roman"/>
          <w:b/>
          <w:i w:val="false"/>
          <w:color w:val="000000"/>
          <w:sz w:val="22"/>
        </w:rPr>
        <w:t xml:space="preserve">(99G)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a quorum of the board.</w:t>
      </w:r>
    </w:p>
    <w:p>
      <w:pPr>
        <w:spacing w:before="210" w:after="0"/>
        <w:ind w:left="120"/>
        <w:jc w:val="both"/>
      </w:pPr>
      <w:r>
        <w:rPr>
          <w:rFonts w:ascii="Times New Roman" w:hAnsi="Times New Roman"/>
          <w:b/>
          <w:i w:val="false"/>
          <w:color w:val="000000"/>
          <w:sz w:val="22"/>
        </w:rPr>
        <w:t>531—4.9</w:t>
      </w:r>
      <w:r>
        <w:rPr>
          <w:rFonts w:ascii="Times New Roman" w:hAnsi="Times New Roman"/>
          <w:b/>
          <w:i w:val="false"/>
          <w:color w:val="000000"/>
          <w:sz w:val="22"/>
        </w:rPr>
        <w:t xml:space="preserve">(99G)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upon receipt. The board shall ensure that notice of the pendency of the petition and a concise summary of its contents have been provided to all persons to whom notice is required by any provision of law within 30 days of the receipt of the petition. In addition, the board may give notice to other persons. To accomplish this notice provision, the board may require the petitioner to serve notice on all persons to whom notice is required by any provision of law and provide a written statement to the board attesting that notice has been provided.</w:t>
      </w:r>
    </w:p>
    <w:p>
      <w:pPr>
        <w:spacing w:before="210" w:after="0"/>
        <w:ind w:left="120"/>
        <w:jc w:val="both"/>
      </w:pPr>
      <w:r>
        <w:rPr>
          <w:rFonts w:ascii="Times New Roman" w:hAnsi="Times New Roman"/>
          <w:b/>
          <w:i w:val="false"/>
          <w:color w:val="000000"/>
          <w:sz w:val="22"/>
        </w:rPr>
        <w:t>531—4.10</w:t>
      </w:r>
      <w:r>
        <w:rPr>
          <w:rFonts w:ascii="Times New Roman" w:hAnsi="Times New Roman"/>
          <w:b/>
          <w:i w:val="false"/>
          <w:color w:val="000000"/>
          <w:sz w:val="22"/>
        </w:rPr>
        <w:t xml:space="preserve">(99G)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board so provides by rule or order or is required to do so by statute.</w:t>
      </w:r>
    </w:p>
    <w:p>
      <w:pPr>
        <w:spacing w:before="0" w:after="0"/>
        <w:ind w:left="120"/>
        <w:jc w:val="both"/>
      </w:pPr>
      <w:r>
        <w:rPr>
          <w:rFonts w:ascii="Times New Roman" w:hAnsi="Times New Roman"/>
          <w:b/>
          <w:i w:val="false"/>
          <w:color w:val="000000"/>
          <w:sz w:val="22"/>
        </w:rPr>
        <w:t>531—4.11</w:t>
      </w:r>
      <w:r>
        <w:rPr>
          <w:rFonts w:ascii="Times New Roman" w:hAnsi="Times New Roman"/>
          <w:b/>
          <w:i w:val="false"/>
          <w:color w:val="000000"/>
          <w:sz w:val="22"/>
        </w:rPr>
        <w:t xml:space="preserve">(99G)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The board shall evaluate each fact based on the unique, individual circumstances set out in the petition for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531—4.12</w:t>
      </w:r>
      <w:r>
        <w:rPr>
          <w:rFonts w:ascii="Times New Roman" w:hAnsi="Times New Roman"/>
          <w:b/>
          <w:i w:val="false"/>
          <w:color w:val="000000"/>
          <w:sz w:val="22"/>
        </w:rPr>
        <w:t xml:space="preserve">(99G)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waiver petitions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531—4.13</w:t>
      </w:r>
      <w:r>
        <w:rPr>
          <w:rFonts w:ascii="Times New Roman" w:hAnsi="Times New Roman"/>
          <w:b/>
          <w:i w:val="false"/>
          <w:color w:val="000000"/>
          <w:sz w:val="22"/>
        </w:rPr>
        <w:t xml:space="preserve">(99G)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board shall make a submission on the Internet site established pursuant to Iowa Code section </w:t>
      </w:r>
      <w:hyperlink r:id="rId1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identifying the rules for which a waiver has been granted or denied, the number of times a waiver was granted or denied for each rule, a citation to the statutory provisions implemented by the rules, and a general summary of the reasons justifying the board’s actions on waiver requests. If practicable, the report shall detail the extent to which the granting of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5991C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531—4.14</w:t>
      </w:r>
      <w:r>
        <w:rPr>
          <w:rFonts w:ascii="Times New Roman" w:hAnsi="Times New Roman"/>
          <w:b/>
          <w:i w:val="false"/>
          <w:color w:val="000000"/>
          <w:sz w:val="22"/>
        </w:rPr>
        <w:t xml:space="preserve">(99G)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substantially equivalent means for ensuring that the public health, safety and welfare will be adequately protected after issuance of the waiver order have been demonstrated to be insufficient; or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531—4.15</w:t>
      </w:r>
      <w:r>
        <w:rPr>
          <w:rFonts w:ascii="Times New Roman" w:hAnsi="Times New Roman"/>
          <w:b/>
          <w:i w:val="false"/>
          <w:color w:val="000000"/>
          <w:sz w:val="22"/>
        </w:rPr>
        <w:t xml:space="preserve">(99G)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531—4.16</w:t>
      </w:r>
      <w:r>
        <w:rPr>
          <w:rFonts w:ascii="Times New Roman" w:hAnsi="Times New Roman"/>
          <w:b/>
          <w:i w:val="false"/>
          <w:color w:val="000000"/>
          <w:sz w:val="22"/>
        </w:rPr>
        <w:t xml:space="preserve">(99G)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531—4.17</w:t>
      </w:r>
      <w:r>
        <w:rPr>
          <w:rFonts w:ascii="Times New Roman" w:hAnsi="Times New Roman"/>
          <w:b/>
          <w:i w:val="false"/>
          <w:color w:val="000000"/>
          <w:sz w:val="22"/>
        </w:rPr>
        <w:t xml:space="preserve">(99G)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to grant or deny a waiver petition may be taken in accordance with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Number 11</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7/11/01, Notice 2/21/01—published 8/8/01, effective 9/12/01]</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ARC 5991C</w:t>
      </w:r>
      <w:r>
        <w:rPr>
          <w:rFonts w:ascii="Times New Roman" w:hAnsi="Times New Roman"/>
          <w:b w:val="false"/>
          <w:i w:val="false"/>
          <w:color w:val="000000"/>
          <w:sz w:val="21"/>
        </w:rPr>
        <w:t xml:space="preserve"> (Notice ARC 5816C, IAB 7/28/21)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31.5.6.pdf" Type="http://schemas.openxmlformats.org/officeDocument/2006/relationships/hyperlink" Id="rId5"/>
    <Relationship TargetMode="External" Target="https://www.legis.iowa.gov/docs/iac/rule/531.4.5.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9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99G.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