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PROCEDURE FOR RULE MAKING</w:t>
      </w:r>
    </w:p>
    <w:p>
      <w:pPr>
        <w:spacing w:before="0" w:after="0"/>
        <w:ind w:left="120"/>
        <w:jc w:val="center"/>
      </w:pPr>
      <w:r>
        <w:rPr>
          <w:rFonts w:ascii="Times New Roman" w:hAnsi="Times New Roman"/>
          <w:b w:val="false"/>
          <w:i w:val="false"/>
          <w:color w:val="000000"/>
          <w:sz w:val="14"/>
        </w:rPr>
        <w:t>[Prior to 9/17/03, see 705—Ch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531—3.1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Iowa lottery authority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531—3.2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lottery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lottery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531—3.3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lottery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lottery. For each anticipated rule-making proceeding the docket shall contain a listing of the precise subject matter which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lottery of that possible rule. The lottery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531—3.4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lottery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lottery shall include in the notice a statement fully describing the specific subject matter of the omitted portion of the text of the proposed rule, the specific issues to be addressed by that omitted text of the proposed rule, and the range of possible choices being considered by the lottery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lottery a written request indicating the name and address to which such notices should be sent. Within seven days after submission of a Notice of Intended Action to the administrative rules coordinator for publication in the Iowa Administrative Bulletin, the lottery shall mail or electronically transmit a copy of that notice to subscribers who have filed a written request for either mailing or electronic transmittal with the lottery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six months.</w:t>
      </w:r>
    </w:p>
    <w:p>
      <w:pPr>
        <w:spacing w:before="0" w:after="0"/>
        <w:ind w:left="120"/>
        <w:jc w:val="both"/>
      </w:pPr>
      <w:r>
        <w:rPr>
          <w:rFonts w:ascii="Times New Roman" w:hAnsi="Times New Roman"/>
          <w:b/>
          <w:i w:val="false"/>
          <w:color w:val="000000"/>
          <w:sz w:val="22"/>
        </w:rPr>
        <w:t>531—3.5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Iowa Lottery Authority, 13001 University Avenue, Clive, Iowa 50325-8225,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lottery may, at any time, schedule an oral proceeding on a proposed rule. The lottery shall schedule an oral proceeding on a proposed rule if, within 20 days after the published Notice of Intended Action, a written request for an opportunity to make oral presentations is submitted to the lottery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person and include the address and telephone number of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lottery authority board, a member of the lottery authority board, or another person designated by the lottery authority board who will be familiar with the substance of the proposed rule, shall preside at the oral proceeding on a proposed rule. If the lottery authority board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lottery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lottery authority board’s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lottery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lottery shall schedule oral proceedings in rooms accessible to and functional for persons with physical disabilities. Persons who have special requirements should contact the Iowa Lottery Authority, 13001 University Avenue, Clive, Iowa 50325-8225, telephone (515)281-7900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531—3.6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lottery’s small business impact list by making a written application addressed to the Iowa Lottery Authority, 13001 University Avenue, Clive, Iowa 50325-8225.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lottery may at any time request additional information from the applicant to determine whether the applicant is qualified as a small business or as an organization of 25 or more small businesses. The lottery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lottery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lottery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lottery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lottery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lottery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lottery. The request shall be in writing and satisfy the requirements of Iowa Code section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lottery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9">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531—3.7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1">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If the lottery determines at the time it adopts a rule that the fiscal impact statement upon which the rule is based contains errors, the lottery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531—3.8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lottery shall not adopt a rule until the period for making written submissions and oral presentations has expired. Within 180 days after the later of the publication of the Notice of Intended Action, or the end of oral proceedings thereon, the lottery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lottery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lottery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531—3.9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The lottery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lottery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The lottery shall commence a rule-making proceeding within 60 days of its receipt of a petition for rule making seeking the amendment or repeal of a rule that differs from the proposed rule contained in the Notice of Intended Action upon which the rule is based, unless the lottery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lottery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531—3.10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lottery for good cause finds that public notice and participation are unnecessary, impracticable, or contrary to the public interest in the process of adopting a particular rule, the lottery may adopt that rule without publishing advance Notice of Intended Action in the Iowa Administrative Bulletin and without providing for written or oral public submissions prior to its adoption. The lottery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relating to lottery games.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lottery may, at any time, commence a standard rule-making proceeding for the adoption of a rule that is identical or similar to a rule it adopts in reliance upon subrule </w:t>
      </w:r>
      <w:hyperlink r:id="rId22">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lottery shall commence a standard rule-making proceeding for any rule specified in the petition that was adopted in reliance upon subrule </w:t>
      </w:r>
      <w:hyperlink r:id="rId23">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lottery may either readopt the rule it adopted without benefit of all usual procedures on the basis of subrule </w:t>
      </w:r>
      <w:hyperlink r:id="rId24">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531—3.11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lottery shall issue a concise statement of reasons for the rule. Requests for such a statement must be in writing and be delivered to the Iowa Lottery Authority, 13001 University Avenue, Clive, Iowa 50325-8225.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lottery’s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lottery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531—3.12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lottery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lottery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lottery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lottery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lottery may incorporate by reference in a proposed or adopted rule, and without causing publication of the incorporated matter in full, all or any part of a code, standard, rule, or other matter if the lottery authority board finds that the incorporation of its text in the lottery’s proposed or adopted rule would be unduly cumbersome, expensive, or otherwise inexpedient. The reference in the lottery’s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lottery may incorporate such matter by reference in a proposed or adopted rule only if the lottery makes copies of it readily available to the public. The rule shall state how and where copies of the incorporated matter may be obtained at cost from the lottery, and how and where copies may be obtained from an agency of the United States, this state, another state, or the organization, association, or persons originally issuing that matter. The lottery shall retain permanently a copy of any materials incorporated by reference in a rule of the lottery.</w:t>
      </w:r>
    </w:p>
    <w:p>
      <w:pPr>
        <w:spacing w:before="0" w:after="0"/>
        <w:ind w:left="120"/>
        <w:jc w:val="both"/>
      </w:pPr>
      <w:r>
        <w:rPr>
          <w:rFonts w:ascii="Times New Roman" w:hAnsi="Times New Roman"/>
          <w:b w:val="false"/>
          <w:i w:val="false"/>
          <w:color w:val="000000"/>
          <w:sz w:val="22"/>
        </w:rPr>
        <w:t>If the lottery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lottery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lottery. The lottery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lottery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lottery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531—3.13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lottery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lottery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lottery’s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lottery, and all other written materials of a factual nature as distinguished from opinion that are relevant to the merits of the rule and that were created or compiled by the lottery and considered by the chief executive officer of the lottery, in connection with the formulation, proposal, or adoption of the rule or the proceeding upon which the rule is based, except to the extent the lottery is authorized by law to keep them confidential; provided, however, that when any such materials are deleted because they are authorized by law to be kept confidential, the lottery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7">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8">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lottery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lottery shall maintain the rule-making record for a period of not less than five years from the later of the date the rule to which it pertains became effective or the date of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maintain a separate file of any written criticism received regarding any of its rules for a period of not less than five years from the date the first written criticism for a rule was received as described in </w:t>
      </w:r>
      <w:hyperlink r:id="rId29">
        <w:r>
          <w:rPr>
            <w:rStyle w:val="Hyperlink"/>
            <w:rFonts w:ascii="Times New Roman" w:hAnsi="Times New Roman"/>
            <w:b w:val="false"/>
            <w:i w:val="false"/>
            <w:color w:val="000000"/>
            <w:sz w:val="22"/>
          </w:rPr>
          <w:t>3.13(2)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531—3.14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lottery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lottery shall use the standard form prescribed by the administrative rules coordinator.</w:t>
      </w:r>
    </w:p>
    <w:p>
      <w:pPr>
        <w:spacing w:before="0" w:after="0"/>
        <w:ind w:left="120"/>
        <w:jc w:val="both"/>
      </w:pPr>
      <w:r>
        <w:rPr>
          <w:rFonts w:ascii="Times New Roman" w:hAnsi="Times New Roman"/>
          <w:b/>
          <w:i w:val="false"/>
          <w:color w:val="000000"/>
          <w:sz w:val="22"/>
        </w:rPr>
        <w:t>531—3.15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lottery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lottery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lottery makes a rule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lottery shall employ all reasonable efforts to make its contents known to the persons who may be affected by that rule prior to the rule’s indexing and publication. The term “all reasonable efforts” requires the lottery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lottery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32">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531—3.16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lottery shall maintain an official, current, and dated compilation that is indexed by subject, containing all of its general statements of policy within the scope of Iowa Code section </w:t>
      </w:r>
      <w:hyperlink r:id="rId33">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4">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rule shall not be relied on by the lottery to the detriment of any person who does not have actual, timely knowledge of the contents of the statement until the requirements of subrule </w:t>
      </w:r>
      <w:hyperlink r:id="rId35">
        <w:r>
          <w:rPr>
            <w:rStyle w:val="Hyperlink"/>
            <w:rFonts w:ascii="Times New Roman" w:hAnsi="Times New Roman"/>
            <w:b w:val="false"/>
            <w:i w:val="false"/>
            <w:color w:val="000000"/>
            <w:sz w:val="22"/>
          </w:rPr>
          <w:t>3.16(1)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531—3.17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lottery to conduct a formal review of a specified rule. Upon approval of that request by the administrative rules coordinator, the lottery shall conduct a formal review of a specified rule to determine whether a new rule should be adopted instead or the rule should be amended or repealed. The lottery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lottery shall prepare within a reasonable time a written report summarizing its findings, its supporting reasons, and any proposed course of action. The report must include a concise statement of the lottery’s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lottery or granted by the lottery. The report shall describe alternative solutions to resolve the criticisms of the rule, the reasons any were rejected, and any changes made in the rule in response to the criticisms as well as the reasons for the changes. A copy of the lottery’s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531.3.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25B.6.pdf" Type="http://schemas.openxmlformats.org/officeDocument/2006/relationships/hyperlink" Id="rId21"/>
    <Relationship TargetMode="External" Target="https://www.legis.iowa.gov/docs/iac/rule/531.3.10.pdf" Type="http://schemas.openxmlformats.org/officeDocument/2006/relationships/hyperlink" Id="rId22"/>
    <Relationship TargetMode="External" Target="https://www.legis.iowa.gov/docs/iac/rule/531.3.10.pdf" Type="http://schemas.openxmlformats.org/officeDocument/2006/relationships/hyperlink" Id="rId23"/>
    <Relationship TargetMode="External" Target="https://www.legis.iowa.gov/docs/iac/rule/531.3.10.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ac/rule/531.3.13.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ac/rule/531.3.15.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ac/rule/531.3.16.pdf" Type="http://schemas.openxmlformats.org/officeDocument/2006/relationships/hyperlink" Id="rId35"/>
    <Relationship TargetMode="External" Target="https://www.legis.iowa.gov/docs/ico/chapter/17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