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PULL-TAB GENERAL RULES</w:t>
      </w:r>
    </w:p>
    <w:p>
      <w:pPr>
        <w:spacing w:before="0" w:after="0"/>
        <w:ind w:left="120"/>
        <w:jc w:val="center"/>
      </w:pPr>
      <w:r>
        <w:rPr>
          <w:rFonts w:ascii="Times New Roman" w:hAnsi="Times New Roman"/>
          <w:b w:val="false"/>
          <w:i w:val="false"/>
          <w:color w:val="000000"/>
          <w:sz w:val="14"/>
        </w:rPr>
        <w:t>[Prior to 9/17/03, see 705—Ch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531—19.1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pull-tab games. </w:t>
      </w:r>
      <w:r>
        <w:rPr>
          <w:rFonts w:ascii="Times New Roman" w:hAnsi="Times New Roman"/>
          <w:b w:val="false"/>
          <w:i w:val="false"/>
          <w:color w:val="000000"/>
          <w:sz w:val="22"/>
        </w:rPr>
        <w:t>The lottery authority board authorizes the lottery to sell pull-tab tickets which meet the criteria specified in this chapter.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“Low-tier prizes” </w:t>
      </w:r>
      <w:r>
        <w:rPr>
          <w:rFonts w:ascii="Times New Roman" w:hAnsi="Times New Roman"/>
          <w:b w:val="false"/>
          <w:i w:val="false"/>
          <w:color w:val="000000"/>
          <w:sz w:val="22"/>
        </w:rPr>
        <w:t>are prizes which are included in the guaranteed low-end prize structure of a pull-tab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“Pull-tab tickets” </w:t>
      </w:r>
      <w:r>
        <w:rPr>
          <w:rFonts w:ascii="Times New Roman" w:hAnsi="Times New Roman"/>
          <w:b w:val="false"/>
          <w:i w:val="false"/>
          <w:color w:val="000000"/>
          <w:sz w:val="22"/>
        </w:rPr>
        <w:t>are instant lottery tickets that are played by opening tabs to reveal if a prize was won. “Pull-tab tickets” do not include “scratch tickets” that are played by removing a rub-off covering from the play area or instaplay tickets that are played using the play symbols printed on lotto terminal paper.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531—19.3</w:t>
      </w:r>
      <w:r>
        <w:rPr>
          <w:rFonts w:ascii="Times New Roman" w:hAnsi="Times New Roman"/>
          <w:b/>
          <w:i w:val="false"/>
          <w:color w:val="000000"/>
          <w:sz w:val="22"/>
        </w:rPr>
        <w:t xml:space="preserve">(99G) </w:t>
      </w:r>
      <w:r>
        <w:rPr>
          <w:rFonts w:ascii="Times New Roman" w:hAnsi="Times New Roman"/>
          <w:b/>
          <w:i w:val="false"/>
          <w:color w:val="000000"/>
          <w:sz w:val="22"/>
        </w:rPr>
        <w:t xml:space="preserve">Pull-tab ticket price. </w:t>
      </w:r>
      <w:r>
        <w:rPr>
          <w:rFonts w:ascii="Times New Roman" w:hAnsi="Times New Roman"/>
          <w:b w:val="false"/>
          <w:i w:val="false"/>
          <w:color w:val="000000"/>
          <w:sz w:val="22"/>
        </w:rPr>
        <w:t>The lottery shall specify the price of pull-tab tickets in the specific game rules for each game.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531—19.4</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Each pull-tab ticket shall have tabs under which play symbols shall appear. A winning ticket shall be determined by matching, aligning, adding, or locating symbols or numbers under the tabs.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531—19.5</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val="false"/>
          <w:color w:val="000000"/>
          <w:sz w:val="22"/>
        </w:rPr>
        <w:t>Winning tickets shall be validated by use of a symbol, number, or color-coded marking. A ticket is not valid if it fails to meet any of the following requirements. The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by the Iowa lottery authority in an authorized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or appear on any list of omitted tickets on file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the exact play symbols and captions specified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Pass all validation tests including confidential validation tests.</w:t>
      </w:r>
    </w:p>
    <w:p>
      <w:pPr>
        <w:spacing w:before="0" w:after="0"/>
        <w:ind w:left="120"/>
        <w:jc w:val="both"/>
      </w:pPr>
      <w:r>
        <w:rPr>
          <w:rFonts w:ascii="Times New Roman" w:hAnsi="Times New Roman"/>
          <w:b w:val="false"/>
          <w:i w:val="false"/>
          <w:color w:val="000000"/>
          <w:sz w:val="22"/>
        </w:rPr>
        <w:t>If a ticket is invalid when sold it is not eligible to receive any prize, and the purchaser’s sole remedy is to submit the ticket to lottery headquarters to obtain a refund of the retail sale price. The lottery shall have no liability or responsibility for tickets invalidated after the time of sale.</w:t>
      </w:r>
    </w:p>
    <w:p>
      <w:pPr>
        <w:spacing w:before="0" w:after="0"/>
        <w:ind w:left="120"/>
        <w:jc w:val="both"/>
      </w:pPr>
      <w:r>
        <w:rPr>
          <w:rFonts w:ascii="Times New Roman" w:hAnsi="Times New Roman"/>
          <w:b w:val="false"/>
          <w:i w:val="false"/>
          <w:color w:val="000000"/>
          <w:sz w:val="22"/>
        </w:rPr>
        <w:t>The chief executive officer may, in the chief executive officer’s sole discretion, choose to pay a sum equal to the prize on an invalid ticket if the lottery is able to determine the prize that would have been won on the invalid ticket by use of a symbol, number, color code or other mechanism. The chief executive officer’s determinations that a ticket is valid or invalid, that a ticket was valid when sold and was subsequently invalidated, and whether a sum equal to the prize on an invalid ticket will be paid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531—19.6</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r>
        <w:rPr>
          <w:rFonts w:ascii="Times New Roman" w:hAnsi="Times New Roman"/>
          <w:b w:val="false"/>
          <w:i w:val="false"/>
          <w:color w:val="000000"/>
          <w:sz w:val="22"/>
        </w:rPr>
        <w:t>The number and the amount of prizes shall be determined by the lottery and set forth by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531—19.7</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The overall probability of purchasing a winning ticket shall be stated on the Iowa lottery’s Web site and in game literature made available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531—19.8</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Claim period. </w:t>
      </w:r>
      <w:r>
        <w:rPr>
          <w:rFonts w:ascii="Times New Roman" w:hAnsi="Times New Roman"/>
          <w:b w:val="false"/>
          <w:i w:val="false"/>
          <w:color w:val="000000"/>
          <w:sz w:val="22"/>
        </w:rPr>
        <w:t>Prizes must be claimed within 90 days of the announced end of the pull-tab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retailer. </w:t>
      </w:r>
      <w:r>
        <w:rPr>
          <w:rFonts w:ascii="Times New Roman" w:hAnsi="Times New Roman"/>
          <w:b w:val="false"/>
          <w:i w:val="false"/>
          <w:color w:val="000000"/>
          <w:sz w:val="22"/>
        </w:rPr>
        <w:t>The specific game rules shall specify prizes that shall be claimed from the retailer. To claim a prize from a retailer, the winner shall sign the back of the winning ticket and fill out a claim form if required by the specific game rules. If a retailer can verify the claim, the retailer shall pay the prize. If a retailer cannot verify the claim, the player shall submit the ticket and a completed claim form to the lottery. If the claim is validated by the lottery, a draft shall be forwarded to the player in payment of the amount due.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lottery. </w:t>
      </w:r>
      <w:r>
        <w:rPr>
          <w:rFonts w:ascii="Times New Roman" w:hAnsi="Times New Roman"/>
          <w:b w:val="false"/>
          <w:i w:val="false"/>
          <w:color w:val="000000"/>
          <w:sz w:val="22"/>
        </w:rPr>
        <w:t>The specific game rules shall specify prizes that may be claimed only from the lottery. To claim a prize from the lottery, the player may personally present the completed claim form obtained from a licensed retailer or any lottery office and the ticket to any lottery office or may mail the ticket and claim form to the Iowa Lottery Authority, 13001 University Avenue, Clive, Iowa 50325-8225. If the claim is validated by the lottery, the prize or a check, warrant, or draft shall be forwarded to the player in payment of the amount due less any applicable state or federal income tax withholding.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Prizes in special events. </w:t>
      </w:r>
      <w:r>
        <w:rPr>
          <w:rFonts w:ascii="Times New Roman" w:hAnsi="Times New Roman"/>
          <w:b w:val="false"/>
          <w:i w:val="false"/>
          <w:color w:val="000000"/>
          <w:sz w:val="22"/>
        </w:rPr>
        <w:t>The specific game rules shall set forth the manner in which prizes won in special events or drawings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19.8(5)</w:t>
      </w:r>
      <w:r>
        <w:rPr>
          <w:rFonts w:ascii="Times New Roman" w:hAnsi="Times New Roman"/>
          <w:b w:val="false"/>
          <w:i w:val="false"/>
          <w:color w:val="000000"/>
          <w:sz w:val="22"/>
        </w:rPr>
        <w:t> </w:t>
      </w:r>
      <w:r>
        <w:rPr>
          <w:rFonts w:ascii="Times New Roman" w:hAnsi="Times New Roman"/>
          <w:b w:val="false"/>
          <w:i/>
          <w:color w:val="000000"/>
          <w:sz w:val="22"/>
        </w:rPr>
        <w:t xml:space="preserve">Variation by specific game rules. </w:t>
      </w:r>
      <w:r>
        <w:rPr>
          <w:rFonts w:ascii="Times New Roman" w:hAnsi="Times New Roman"/>
          <w:b w:val="false"/>
          <w:i w:val="false"/>
          <w:color w:val="000000"/>
          <w:sz w:val="22"/>
        </w:rPr>
        <w:t>The specific game rules may vary the terms of this rule in respect to the manner in which prizes are claimed or the claim period applicable to any pull-tab game or special event.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531—19.9</w:t>
      </w:r>
      <w:r>
        <w:rPr>
          <w:rFonts w:ascii="Times New Roman" w:hAnsi="Times New Roman"/>
          <w:b/>
          <w:i w:val="false"/>
          <w:color w:val="000000"/>
          <w:sz w:val="22"/>
        </w:rPr>
        <w:t xml:space="preserve">(99G) </w:t>
      </w:r>
      <w:r>
        <w:rPr>
          <w:rFonts w:ascii="Times New Roman" w:hAnsi="Times New Roman"/>
          <w:b/>
          <w:i w:val="false"/>
          <w:color w:val="000000"/>
          <w:sz w:val="22"/>
        </w:rPr>
        <w:t xml:space="preserve">Owner of ticket. </w:t>
      </w:r>
      <w:r>
        <w:rPr>
          <w:rFonts w:ascii="Times New Roman" w:hAnsi="Times New Roman"/>
          <w:b w:val="false"/>
          <w:i w:val="false"/>
          <w:color w:val="000000"/>
          <w:sz w:val="22"/>
        </w:rPr>
        <w:t>Retailers shall pay prizes only to persons who present winning tickets. The person in physical possession of a pull-tab ticket shall be deemed to be the owner of the ticket who is entitled to prize payment regardless of any signature or other writing that may have been placed on the ticket after purchase.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531—19.10</w:t>
      </w:r>
      <w:r>
        <w:rPr>
          <w:rFonts w:ascii="Times New Roman" w:hAnsi="Times New Roman"/>
          <w:b/>
          <w:i w:val="false"/>
          <w:color w:val="000000"/>
          <w:sz w:val="22"/>
        </w:rPr>
        <w:t xml:space="preserve">(99G) </w:t>
      </w:r>
      <w:r>
        <w:rPr>
          <w:rFonts w:ascii="Times New Roman" w:hAnsi="Times New Roman"/>
          <w:b/>
          <w:i w:val="false"/>
          <w:color w:val="000000"/>
          <w:sz w:val="22"/>
        </w:rPr>
        <w:t xml:space="preserve">Disputed claim. </w:t>
      </w:r>
      <w:r>
        <w:rPr>
          <w:rFonts w:ascii="Times New Roman" w:hAnsi="Times New Roman"/>
          <w:b w:val="false"/>
          <w:i w:val="false"/>
          <w:color w:val="000000"/>
          <w:sz w:val="22"/>
        </w:rPr>
        <w:t>If a purchaser and a retailer cannot agree as to whether a prize should be paid on any ticket, the purchaser may submit the ticket to any lottery office. The chief executive officer’s determination as to whether a prize shall be awarded is final.</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531—19.11</w:t>
      </w:r>
      <w:r>
        <w:rPr>
          <w:rFonts w:ascii="Times New Roman" w:hAnsi="Times New Roman"/>
          <w:b/>
          <w:i w:val="false"/>
          <w:color w:val="000000"/>
          <w:sz w:val="22"/>
        </w:rPr>
        <w:t xml:space="preserve">(99G) </w:t>
      </w:r>
      <w:r>
        <w:rPr>
          <w:rFonts w:ascii="Times New Roman" w:hAnsi="Times New Roman"/>
          <w:b/>
          <w:i w:val="false"/>
          <w:color w:val="000000"/>
          <w:sz w:val="22"/>
        </w:rPr>
        <w:t xml:space="preserve">Lottery logo. </w:t>
      </w:r>
      <w:r>
        <w:rPr>
          <w:rFonts w:ascii="Times New Roman" w:hAnsi="Times New Roman"/>
          <w:b w:val="false"/>
          <w:i w:val="false"/>
          <w:color w:val="000000"/>
          <w:sz w:val="22"/>
        </w:rPr>
        <w:t>All pull-tab tickets sold by the Iowa lottery authority shall be conspicuously marked with the logo of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531—19.12</w:t>
      </w:r>
      <w:r>
        <w:rPr>
          <w:rFonts w:ascii="Times New Roman" w:hAnsi="Times New Roman"/>
          <w:b/>
          <w:i w:val="false"/>
          <w:color w:val="000000"/>
          <w:sz w:val="22"/>
        </w:rPr>
        <w:t xml:space="preserve">(99G) </w:t>
      </w:r>
      <w:r>
        <w:rPr>
          <w:rFonts w:ascii="Times New Roman" w:hAnsi="Times New Roman"/>
          <w:b/>
          <w:i w:val="false"/>
          <w:color w:val="000000"/>
          <w:sz w:val="22"/>
        </w:rPr>
        <w:t xml:space="preserve">End of game. </w:t>
      </w:r>
      <w:r>
        <w:rPr>
          <w:rFonts w:ascii="Times New Roman" w:hAnsi="Times New Roman"/>
          <w:b w:val="false"/>
          <w:i w:val="false"/>
          <w:color w:val="000000"/>
          <w:sz w:val="22"/>
        </w:rPr>
        <w:t>The chief executive officer shall announce the end of any pull-tab game or games.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531—19.13</w:t>
      </w:r>
      <w:r>
        <w:rPr>
          <w:rFonts w:ascii="Times New Roman" w:hAnsi="Times New Roman"/>
          <w:b/>
          <w:i w:val="false"/>
          <w:color w:val="000000"/>
          <w:sz w:val="22"/>
        </w:rPr>
        <w:t xml:space="preserve">(99G) </w:t>
      </w:r>
      <w:r>
        <w:rPr>
          <w:rFonts w:ascii="Times New Roman" w:hAnsi="Times New Roman"/>
          <w:b/>
          <w:i w:val="false"/>
          <w:color w:val="000000"/>
          <w:sz w:val="22"/>
        </w:rPr>
        <w:t xml:space="preserve">Board approval of game. </w:t>
      </w:r>
      <w:r>
        <w:rPr>
          <w:rFonts w:ascii="Times New Roman" w:hAnsi="Times New Roman"/>
          <w:b w:val="false"/>
          <w:i w:val="false"/>
          <w:color w:val="000000"/>
          <w:sz w:val="22"/>
        </w:rPr>
        <w:t>After selection of a particular pull-tab game, the lottery shall provide board members with written notification that a particular game has been selected. The chairperson of the board or a quorum of the board may call a meeting to review the game selection. If the lottery board does not disapprove of the game within five working days following receipt of notice that the game has been selected, the board may not later disapprove of the game.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9/18/87—published 10/7/87, effective 9/18/87]</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11/3/88, Notice 8/10/88—published 11/30/88, effective 1/4/89]</w:t>
      </w:r>
    </w:p>
    <w:p>
      <w:pPr>
        <w:spacing w:before="0" w:after="0"/>
        <w:ind w:left="120"/>
        <w:jc w:val="center"/>
      </w:pPr>
      <w:r>
        <w:rPr>
          <w:rFonts w:ascii="Times New Roman" w:hAnsi="Times New Roman"/>
          <w:b w:val="false"/>
          <w:i w:val="false"/>
          <w:color w:val="000000"/>
          <w:sz w:val="21"/>
        </w:rPr>
        <w:t>[Filed emergency 8/12/94—published 8/31/94, effective 9/1/94]</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6/14/07, Notice 5/9/07—published 7/4/07, effective 8/8/07]</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2781C</w:t>
      </w:r>
      <w:r>
        <w:rPr>
          <w:rFonts w:ascii="Times New Roman" w:hAnsi="Times New Roman"/>
          <w:b w:val="false"/>
          <w:i w:val="false"/>
          <w:color w:val="000000"/>
          <w:sz w:val="21"/>
        </w:rPr>
        <w:t xml:space="preserve"> (Notice ARC 2660C, IAB 8/3/16)</w:t>
      </w:r>
      <w:r>
        <w:rPr>
          <w:rFonts w:ascii="Times New Roman" w:hAnsi="Times New Roman"/>
          <w:b w:val="false"/>
          <w:i w:val="false"/>
          <w:color w:val="000000"/>
          <w:sz w:val="21"/>
        </w:rPr>
        <w:t>, IAB 10/26/16, effective 11/30/16]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3.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9.pdf" Type="http://schemas.openxmlformats.org/officeDocument/2006/relationships/hyperlink" Id="rId10"/>
    <Relationship TargetMode="External" Target="https://www.legis.iowa.gov/docs/ico/chapter/99G.2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31.pdf" Type="http://schemas.openxmlformats.org/officeDocument/2006/relationships/hyperlink" Id="rId17"/>
    <Relationship TargetMode="External" Target="https://www.legis.iowa.gov/docs/ico/chapter/99G.9.pdf" Type="http://schemas.openxmlformats.org/officeDocument/2006/relationships/hyperlink" Id="rId18"/>
    <Relationship TargetMode="External" Target="https://www.legis.iowa.gov/docs/ico/chapter/99G.21.pdf" Type="http://schemas.openxmlformats.org/officeDocument/2006/relationships/hyperlink" Id="rId19"/>
    <Relationship TargetMode="External" Target="https://www.legis.iowa.gov/docs/ico/chapter/99G.9.pdf" Type="http://schemas.openxmlformats.org/officeDocument/2006/relationships/hyperlink" Id="rId20"/>
    <Relationship TargetMode="External" Target="https://www.legis.iowa.gov/docs/ico/chapter/99G.21.pdf" Type="http://schemas.openxmlformats.org/officeDocument/2006/relationships/hyperlink" Id="rId21"/>
    <Relationship TargetMode="External" Target="https://www.legis.iowa.gov/docs/ico/chapter/99G.31.pdf" Type="http://schemas.openxmlformats.org/officeDocument/2006/relationships/hyperlink" Id="rId22"/>
    <Relationship TargetMode="External" Target="https://www.legis.iowa.gov/docs/ico/chapter/99G.9.pdf" Type="http://schemas.openxmlformats.org/officeDocument/2006/relationships/hyperlink" Id="rId23"/>
    <Relationship TargetMode="External" Target="https://www.legis.iowa.gov/docs/ico/chapter/99G.21.pdf" Type="http://schemas.openxmlformats.org/officeDocument/2006/relationships/hyperlink" Id="rId24"/>
    <Relationship TargetMode="External" Target="https://www.legis.iowa.gov/docs/ico/chapter/99G.31.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 TargetMode="External" Target="https://www.legis.iowa.gov/docs/ico/chapter/99G.31.pdf" Type="http://schemas.openxmlformats.org/officeDocument/2006/relationships/hyperlink" Id="rId28"/>
    <Relationship TargetMode="External" Target="https://www.legis.iowa.gov/docs/ico/chapter/99G.9.pdf" Type="http://schemas.openxmlformats.org/officeDocument/2006/relationships/hyperlink" Id="rId29"/>
    <Relationship TargetMode="External" Target="https://www.legis.iowa.gov/docs/ico/chapter/99G.21.pdf" Type="http://schemas.openxmlformats.org/officeDocument/2006/relationships/hyperlink" Id="rId30"/>
    <Relationship TargetMode="External" Target="https://www.legis.iowa.gov/docs/ico/chapter/99G.31.pdf" Type="http://schemas.openxmlformats.org/officeDocument/2006/relationships/hyperlink" Id="rId31"/>
    <Relationship TargetMode="External" Target="https://www.legis.iowa.gov/docs/ico/chapter/99G.9.pdf" Type="http://schemas.openxmlformats.org/officeDocument/2006/relationships/hyperlink" Id="rId32"/>
    <Relationship TargetMode="External" Target="https://www.legis.iowa.gov/docs/ico/chapter/99G.21.pdf" Type="http://schemas.openxmlformats.org/officeDocument/2006/relationships/hyperlink" Id="rId33"/>
    <Relationship TargetMode="External" Target="https://www.legis.iowa.gov/docs/ico/chapter/99G.9.pdf" Type="http://schemas.openxmlformats.org/officeDocument/2006/relationships/hyperlink" Id="rId34"/>
    <Relationship TargetMode="External" Target="https://www.legis.iowa.gov/docs/ico/chapter/99G.21.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