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LICENSING</w:t>
      </w:r>
    </w:p>
    <w:p>
      <w:pPr>
        <w:spacing w:before="0" w:after="0"/>
        <w:ind w:left="120"/>
        <w:jc w:val="center"/>
      </w:pPr>
      <w:r>
        <w:rPr>
          <w:rFonts w:ascii="Times New Roman" w:hAnsi="Times New Roman"/>
          <w:b w:val="false"/>
          <w:i w:val="false"/>
          <w:color w:val="000000"/>
          <w:sz w:val="14"/>
        </w:rPr>
        <w:t>[Prior to 1/14/87, Iowa Lottery Agency[526] Ch 3]</w:t>
      </w:r>
    </w:p>
    <w:p>
      <w:pPr>
        <w:spacing w:before="0" w:after="0"/>
        <w:ind w:left="120"/>
        <w:jc w:val="center"/>
      </w:pPr>
      <w:r>
        <w:rPr>
          <w:rFonts w:ascii="Times New Roman" w:hAnsi="Times New Roman"/>
          <w:b w:val="false"/>
          <w:i w:val="false"/>
          <w:color w:val="000000"/>
          <w:sz w:val="14"/>
        </w:rPr>
        <w:t>[Prior to 9/17/03, see 705—Ch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531—12.1</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License 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A person, partnership, unincorporated association, authority, or other business entity shall not be selected as a lottery retailer if the person or entity meets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criminal offense related to the security or integrity of the lottery in Iowa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any illegal gambling activity, false statements, perjury, fraud, or a felony in Iowa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found to have violated the provisions of Iowa Code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or any regulation, policy, or procedure of the lottery, unless either ten years have passed since the violation or the board finds the violation both minor and unintentional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 vendor or any employee or agent of any vendor doing business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Resides in the same household as an officer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natural person, is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Does not demonstrate financial responsibility sufficient to adequately meet the requirements of the proposed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not demonstrated that the applicant is the true owner of the business proposed to be licensed and that all persons holding at least a 10 percent ownership interest in the applicant’s business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Has knowingly made a false statement of material fact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current in filing all applicable tax returns to the state of Iowa and in payment of all taxes, interest, and penalties owed to the state of Iowa, excluding items under formal appeal pursuant to applicable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The lottery will deny a license to any applicant who is an individual if the lottery has received a certificate of noncompliance from the child support recovery unit with regard to the individual, until the unit furnishes the lottery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val="false"/>
          <w:color w:val="000000"/>
          <w:sz w:val="22"/>
        </w:rPr>
        <w:t>The lottery will deny a license to any applicant defined by this chapter if the lottery has received a certificate of noncompliance from the centralized collection unit of the department of revenue with regard to the individual, until the unit furnishes the lottery with a withdrawal of the certificate of noncompliance.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531—12.2</w:t>
      </w:r>
      <w:r>
        <w:rPr>
          <w:rFonts w:ascii="Times New Roman" w:hAnsi="Times New Roman"/>
          <w:b/>
          <w:i w:val="false"/>
          <w:color w:val="000000"/>
          <w:sz w:val="22"/>
        </w:rPr>
        <w:t xml:space="preserve">(99G,252J) </w:t>
      </w:r>
      <w:r>
        <w:rPr>
          <w:rFonts w:ascii="Times New Roman" w:hAnsi="Times New Roman"/>
          <w:b/>
          <w:i w:val="false"/>
          <w:color w:val="000000"/>
          <w:sz w:val="22"/>
        </w:rPr>
        <w:t xml:space="preserve">Factors relevant to license issuance. </w:t>
      </w:r>
      <w:r>
        <w:rPr>
          <w:rFonts w:ascii="Times New Roman" w:hAnsi="Times New Roman"/>
          <w:b w:val="false"/>
          <w:i w:val="false"/>
          <w:color w:val="000000"/>
          <w:sz w:val="22"/>
        </w:rPr>
        <w:t xml:space="preserve">The lottery may issue a license to any applicant to act as a licensed retailer who meets the eligibility criteria established by Iowa Code chapter </w:t>
      </w:r>
      <w:hyperlink r:id="rId12">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these rules. In exercising its licensing discretion, the lottery shall consider the following factors: the background and reputation of the applicant in the community for honesty and integrity; the financial responsibility and security of the person and business or activity; the type of business owned or operated by the applicant to ensure consonance with the dignity of the state, the general welfare of the people, and the operation and integrity of the lottery; the accessibility of the applicant’s place of business or activity to the public; the sufficiency of existing licenses to serve the public convenience; the volume of expected sales; the accuracy of the information supplied in the application for a license; the applicant’s indebtedness to the state of Iowa, local subdivisions of the state, or the United States government; if an individual, indebtedness owed for child support payments; and any other criteria or information relevant to determining if a license should be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99G.24(5)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531—12.3</w:t>
      </w:r>
      <w:r>
        <w:rPr>
          <w:rFonts w:ascii="Times New Roman" w:hAnsi="Times New Roman"/>
          <w:b/>
          <w:i w:val="false"/>
          <w:color w:val="000000"/>
          <w:sz w:val="22"/>
        </w:rPr>
        <w:t xml:space="preserve">(99G) </w:t>
      </w:r>
      <w:r>
        <w:rPr>
          <w:rFonts w:ascii="Times New Roman" w:hAnsi="Times New Roman"/>
          <w:b/>
          <w:i w:val="false"/>
          <w:color w:val="000000"/>
          <w:sz w:val="22"/>
        </w:rPr>
        <w:t xml:space="preserve">Applicant or person defined. </w:t>
      </w:r>
      <w:r>
        <w:rPr>
          <w:rFonts w:ascii="Times New Roman" w:hAnsi="Times New Roman"/>
          <w:b w:val="false"/>
          <w:i w:val="false"/>
          <w:color w:val="000000"/>
          <w:sz w:val="22"/>
        </w:rPr>
        <w:t>For purposes of determining whether an applicant or person is eligible for a license, the term “applicant” or “person” shall include the owner of a sole proprietorship, all partners or participants in a partnership or joint venture, the officers of a fraternal organization, the officers and directors of a corporation, persons owning at least 10 percent or more of a corporation, persons owning at least 10 percent or more of a limited liability company, the manager or managers of a limited liability company, and any legal entity applying for a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531—12.4</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Lottery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The lottery has discretion to license a qualified applicant to sell any one of the following lottery products or any combination of the following products: instant tickets; pull-tab tickets; and computerized game tickets, if available. The lottery may require an applicant to sell one or more lottery products as a condition of selling any other lottery product. A lottery license authorizes the licensee to sell only the type of lottery products specified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Any eligible applicant may apply for a license to act as a retailer by first filing with the lottery an application form together with any supplements required. Supplements may include, but are not limited to, authorizations to investigate criminal history, financial records and financial resources, and authorizations to allow the lottery to conduct site surveys.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All lottery license applications must be accompanied by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Retailers who are currently licensed may apply for a license modification to allow the sale of additional lottery products. A current retailer may be required to complete an additional application or application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val="false"/>
          <w:color w:val="000000"/>
          <w:sz w:val="22"/>
        </w:rPr>
        <w:t>The lottery may waive the payment of any license fee to facilitate an experimental program or a research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w:t>
      </w:r>
      <w:r>
        <w:rPr>
          <w:rFonts w:ascii="Times New Roman" w:hAnsi="Times New Roman"/>
          <w:b w:val="false"/>
          <w:i w:val="false"/>
          <w:color w:val="000000"/>
          <w:sz w:val="22"/>
        </w:rPr>
        <w:t> </w:t>
      </w:r>
      <w:r>
        <w:rPr>
          <w:rFonts w:ascii="Times New Roman" w:hAnsi="Times New Roman"/>
          <w:b w:val="false"/>
          <w:i w:val="false"/>
          <w:color w:val="000000"/>
          <w:sz w:val="22"/>
        </w:rPr>
        <w:t>A limited number of retailers may be selected as licensees from applications received. The selection shall be made based on criteria designed to produce the maximum amount of net revenue and serve public convenience. The lottery may refuse to accept license applications for a period of time if the lottery determines that the number of existing licensees is adequate to market any lottery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will grant, deny, or place on hold all applications within 60 days of acceptance of an application. Applications placed on hold shall be considered denied for purposes of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application is denied because the lottery has received a certificate of noncompliance from the child support recovery unit in regard to an individual, the effective date of denial of the issuance of the license, as specified in the notice required by Iowa Code section </w:t>
      </w:r>
      <w:hyperlink r:id="rId1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application is denied because the lottery has received a certificate of noncompliance from the centralized collections unit of the department of revenue regarding an applicant or person as defined by this chapter, the effective date of denial of the issuance of the license, as specified in the notice required by Iowa Code section </w:t>
      </w:r>
      <w:hyperlink r:id="rId20">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w:t>
      </w:r>
      <w:hyperlink r:id="rId26">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w:t>
      </w:r>
      <w:hyperlink r:id="rId2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531—12.5</w:t>
      </w:r>
      <w:r>
        <w:rPr>
          <w:rFonts w:ascii="Times New Roman" w:hAnsi="Times New Roman"/>
          <w:b/>
          <w:i w:val="false"/>
          <w:color w:val="000000"/>
          <w:sz w:val="22"/>
        </w:rPr>
        <w:t xml:space="preserve">(99G) </w:t>
      </w:r>
      <w:r>
        <w:rPr>
          <w:rFonts w:ascii="Times New Roman" w:hAnsi="Times New Roman"/>
          <w:b/>
          <w:i w:val="false"/>
          <w:color w:val="000000"/>
          <w:sz w:val="22"/>
        </w:rPr>
        <w:t xml:space="preserve">Transfer of licenses prohibited. </w:t>
      </w:r>
      <w:r>
        <w:rPr>
          <w:rFonts w:ascii="Times New Roman" w:hAnsi="Times New Roman"/>
          <w:b w:val="false"/>
          <w:i w:val="false"/>
          <w:color w:val="000000"/>
          <w:sz w:val="22"/>
        </w:rPr>
        <w:t>Lottery licenses may not be transferred to any other person or entity and do not authorize the sale of lottery products at any location other than the licensed premises specified on the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531—12.6</w:t>
      </w:r>
      <w:r>
        <w:rPr>
          <w:rFonts w:ascii="Times New Roman" w:hAnsi="Times New Roman"/>
          <w:b/>
          <w:i w:val="false"/>
          <w:color w:val="000000"/>
          <w:sz w:val="22"/>
        </w:rPr>
        <w:t xml:space="preserve">(99G) </w:t>
      </w:r>
      <w:r>
        <w:rPr>
          <w:rFonts w:ascii="Times New Roman" w:hAnsi="Times New Roman"/>
          <w:b/>
          <w:i w:val="false"/>
          <w:color w:val="000000"/>
          <w:sz w:val="22"/>
        </w:rPr>
        <w:t xml:space="preserve">Expiration of licenses. </w:t>
      </w:r>
      <w:r>
        <w:rPr>
          <w:rFonts w:ascii="Times New Roman" w:hAnsi="Times New Roman"/>
          <w:b w:val="false"/>
          <w:i w:val="false"/>
          <w:color w:val="000000"/>
          <w:sz w:val="22"/>
        </w:rPr>
        <w:t>A license is valid until it expires, is terminated by a change of circumstances, is surrendered by the licensee, or is revoked by the lottery. A license that does not have an expiration date will continue indefinitely until surrendered, revoked, or terminated by a change in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531—12.7</w:t>
      </w:r>
      <w:r>
        <w:rPr>
          <w:rFonts w:ascii="Times New Roman" w:hAnsi="Times New Roman"/>
          <w:b/>
          <w:i w:val="false"/>
          <w:color w:val="000000"/>
          <w:sz w:val="22"/>
        </w:rPr>
        <w:t xml:space="preserve">(99G,252J) </w:t>
      </w:r>
      <w:r>
        <w:rPr>
          <w:rFonts w:ascii="Times New Roman" w:hAnsi="Times New Roman"/>
          <w:b/>
          <w:i w:val="false"/>
          <w:color w:val="000000"/>
          <w:sz w:val="22"/>
        </w:rPr>
        <w:t xml:space="preserve">Provisional licenses. </w:t>
      </w:r>
      <w:r>
        <w:rPr>
          <w:rFonts w:ascii="Times New Roman" w:hAnsi="Times New Roman"/>
          <w:b w:val="false"/>
          <w:i w:val="false"/>
          <w:color w:val="000000"/>
          <w:sz w:val="22"/>
        </w:rPr>
        <w:t>The lottery may issue a provisional license to an applicant for a lottery license after receipt of a fully completed license application, the authorization for a complete personal background check, completion of a credit check, and completion of a preliminary background check. The provisional license shall expire at the time of issuance of the requested license or 90 days from the date the provisional license was issued, whichever occurs first, unless the provisional license is extended by the lottery.</w:t>
      </w:r>
    </w:p>
    <w:p>
      <w:pPr>
        <w:spacing w:before="0" w:after="0"/>
        <w:ind w:left="120"/>
        <w:jc w:val="both"/>
      </w:pPr>
      <w:r>
        <w:rPr>
          <w:rFonts w:ascii="Times New Roman" w:hAnsi="Times New Roman"/>
          <w:b w:val="false"/>
          <w:i w:val="false"/>
          <w:color w:val="000000"/>
          <w:sz w:val="22"/>
        </w:rPr>
        <w:t xml:space="preserve">Notwithstanding the foregoing, the lottery will deny a provisional license to any applicant who is an individual if the lottery has received a certificate of noncompliance from the child support recovery unit with regard to the individual, until the unit furnishes the lottery with a withdrawal of the certificate of noncompliance. If an application is denied because the lottery has received a certificate of noncompliance from the child support recovery unit in regard to an individual, the effective date of denial of the issuance of the license, as specified in the notice required by Iowa Code section </w:t>
      </w:r>
      <w:hyperlink r:id="rId3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531—12.8</w:t>
      </w:r>
      <w:r>
        <w:rPr>
          <w:rFonts w:ascii="Times New Roman" w:hAnsi="Times New Roman"/>
          <w:b/>
          <w:i w:val="false"/>
          <w:color w:val="000000"/>
          <w:sz w:val="22"/>
        </w:rPr>
        <w:t xml:space="preserve">(99G) </w:t>
      </w:r>
      <w:r>
        <w:rPr>
          <w:rFonts w:ascii="Times New Roman" w:hAnsi="Times New Roman"/>
          <w:b/>
          <w:i w:val="false"/>
          <w:color w:val="000000"/>
          <w:sz w:val="22"/>
        </w:rPr>
        <w:t xml:space="preserve">Off-premises licenses. </w:t>
      </w:r>
      <w:r>
        <w:rPr>
          <w:rFonts w:ascii="Times New Roman" w:hAnsi="Times New Roman"/>
          <w:b w:val="false"/>
          <w:i w:val="false"/>
          <w:color w:val="000000"/>
          <w:sz w:val="22"/>
        </w:rPr>
        <w:t>Any licensed retailer who has been issued a license or provisional license to sell tickets may apply for an off-premises license to sell tickets in locations other than that specified on the existing license. The lottery must specifically approve the geographical area in which sales are to be made and the types of locations at which off-premises sales are to be made prior to issuance of an off-premises license. Additional instructions and restrictions may be specified by the lottery to govern off-premises sales. An off-premises license shall expire at the time designated on the off-premises license. An off-premises license may be renewed at the lottery’s discretion.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531—12.9</w:t>
      </w:r>
      <w:r>
        <w:rPr>
          <w:rFonts w:ascii="Times New Roman" w:hAnsi="Times New Roman"/>
          <w:b/>
          <w:i w:val="false"/>
          <w:color w:val="000000"/>
          <w:sz w:val="22"/>
        </w:rPr>
        <w:t xml:space="preserve">(99G) </w:t>
      </w:r>
      <w:r>
        <w:rPr>
          <w:rFonts w:ascii="Times New Roman" w:hAnsi="Times New Roman"/>
          <w:b/>
          <w:i w:val="false"/>
          <w:color w:val="000000"/>
          <w:sz w:val="22"/>
        </w:rPr>
        <w:t xml:space="preserve">Duplicate licenses. </w:t>
      </w:r>
      <w:r>
        <w:rPr>
          <w:rFonts w:ascii="Times New Roman" w:hAnsi="Times New Roman"/>
          <w:b w:val="false"/>
          <w:i w:val="false"/>
          <w:color w:val="000000"/>
          <w:sz w:val="22"/>
        </w:rPr>
        <w:t>Upon the loss, mutilation, or destruction of any license issued by the lottery, application for a duplicate shall be made. A statement signed by the retailer which details the circumstances under which the license was lost, mutilated, or destroyed may be required by the lottery.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531—12.10</w:t>
      </w:r>
      <w:r>
        <w:rPr>
          <w:rFonts w:ascii="Times New Roman" w:hAnsi="Times New Roman"/>
          <w:b/>
          <w:i w:val="false"/>
          <w:color w:val="000000"/>
          <w:sz w:val="22"/>
        </w:rPr>
        <w:t xml:space="preserve">(99G) </w:t>
      </w:r>
      <w:r>
        <w:rPr>
          <w:rFonts w:ascii="Times New Roman" w:hAnsi="Times New Roman"/>
          <w:b/>
          <w:i w:val="false"/>
          <w:color w:val="000000"/>
          <w:sz w:val="22"/>
        </w:rPr>
        <w:t xml:space="preserve">Reporting changes in circumstances of the retailer. </w:t>
      </w:r>
      <w:r>
        <w:rPr>
          <w:rFonts w:ascii="Times New Roman" w:hAnsi="Times New Roman"/>
          <w:b w:val="false"/>
          <w:i w:val="false"/>
          <w:color w:val="000000"/>
          <w:sz w:val="22"/>
        </w:rPr>
        <w:t>Every change of business structure of a licensed business, such as from a sole proprietorship to a corporation, and every change in the name of a business must be reported to the lottery prior to the change. Substantial changes in the ownership of a licensed business must also be reported to the lottery prior to the change. A substantial change of ownership is defined as the transfer of 10 percent or more equity in the licensed business from or to another single individual or legal entity. If a change involves the addition or deletion of one or more existing owners or officers, the licensee shall submit a license application reflecting the change and any other documentation the lottery may require. All changes will be reviewed by the lottery to determine if the existing license should be continued.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99G.27(1)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531—12.11</w:t>
      </w:r>
      <w:r>
        <w:rPr>
          <w:rFonts w:ascii="Times New Roman" w:hAnsi="Times New Roman"/>
          <w:b/>
          <w:i w:val="false"/>
          <w:color w:val="000000"/>
          <w:sz w:val="22"/>
        </w:rPr>
        <w:t xml:space="preserve">(99G) </w:t>
      </w:r>
      <w:r>
        <w:rPr>
          <w:rFonts w:ascii="Times New Roman" w:hAnsi="Times New Roman"/>
          <w:b/>
          <w:i w:val="false"/>
          <w:color w:val="000000"/>
          <w:sz w:val="22"/>
        </w:rPr>
        <w:t xml:space="preserve">License not a vested right. </w:t>
      </w:r>
      <w:r>
        <w:rPr>
          <w:rFonts w:ascii="Times New Roman" w:hAnsi="Times New Roman"/>
          <w:b w:val="false"/>
          <w:i w:val="false"/>
          <w:color w:val="000000"/>
          <w:sz w:val="22"/>
        </w:rPr>
        <w:t>The possession of a license issued by the lottery to any person to act as a retailer in any capacity is a privilege personal to that person and is not a legal right. The possession of a license issued by the lottery to any person to act as a retailer in any capacity does not automatically entitle that person to sell tickets or obtain materials for any particular game.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531—12.12</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Suspension or revocation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The lottery may suspend or revoke any license issued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eligibility criteria for license application and issuance established by Iowa Code chapter </w:t>
      </w:r>
      <w:hyperlink r:id="rId59">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provisions of Iowa Code chapter </w:t>
      </w:r>
      <w:hyperlink r:id="rId60">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these rules, or the license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file any return or report or to keep records required by the lottery; failing to maintain an acceptable level of financial responsibility as evidenced by the financial condition of the business, incidents of failure to pay taxes or other debts, or by the giving of financial instruments that are dishonored or electronic funds transfers that are not paid; fraud, deceit, misrepresentation, or other conduct prejudicial to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public convenience is adequately served by other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sell a minimum number of tickets as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history of thefts or other forms of losses of tickets or revenue from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of these laws on premises occupied by or controlled by any person over whom the retailer has substantial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Obtaining a license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the board or lottery on any report, record, application form, or questionnaire required to be submitted to the board or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Denying the lottery or its authorized representative, including authorized local law enforcement agencies, access to any place where a licensed activity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to promptly produce for inspection or audit any book, record, document, or other item required to be produced by law, these rules, or the terms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which is in violation of the criminal or civil public policy of this state if such pursuit creates cause to believe that the participation of such person in these activities is inimical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follow the instructions of the lottery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to follow security procedures of the lottery for the management of personnel, handling of tickets, or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licensee who is an individual, when the lottery receives a certificate of noncompliance from the child support recovery unit in regard to the licensee,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Allowing activities on the licensed premises that could compromise the dignity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accurately or timely account or pay for lottery products, lottery games, revenues, or prizes as required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Filing for or being placed in bankruptcy or receivership.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likely to result in injury to the property, revenue, or reputation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Making any material change, as determined in the sole discretion of the lottery, in any matter considered by the lottery in executing the contract with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lottery receives a certificate of noncompliance from the centralized collection unit of the department of revenue in regard to nonpayment of a state debt, unless the unit furnishes the lottery with a withdrawal of the certificate of noncompliance. This paragraph applies both to sole proprietorships and to persons with the requisite ownership interest in or relation to any other organized business entity as set forth in </w:t>
      </w:r>
      <w:hyperlink r:id="rId61">
        <w:r>
          <w:rPr>
            <w:rStyle w:val="Hyperlink"/>
            <w:rFonts w:ascii="Times New Roman" w:hAnsi="Times New Roman"/>
            <w:b w:val="false"/>
            <w:i w:val="false"/>
            <w:color w:val="000000"/>
            <w:sz w:val="22"/>
          </w:rPr>
          <w:t>531—12.3</w:t>
        </w:r>
      </w:hyperlink>
      <w:r>
        <w:rPr>
          <w:rFonts w:ascii="Times New Roman" w:hAnsi="Times New Roman"/>
          <w:b w:val="false"/>
          <w:i w:val="false"/>
          <w:color w:val="000000"/>
          <w:sz w:val="22"/>
        </w:rPr>
        <w:t xml:space="preserve">(99G). This paragraph applies in addition to the procedures set forth in Iowa Code chapter </w:t>
      </w:r>
      <w:hyperlink r:id="rId6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license, or denial of the issuance or renewal of a license, as specified in the notice required by Iowa Code section </w:t>
      </w:r>
      <w:hyperlink r:id="rId6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60 days following service of the notice upon the licensee. The effective date of revocation or suspension of a license, or denial of the issuance or renewal of a license, for nonpayment of state debt, as specified in the notice required by Iowa Code section </w:t>
      </w:r>
      <w:hyperlink r:id="rId64">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licensee. The effective date for all other notices of revocation or suspension shall be 20 days following service upon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retailer’s license is suspended for more than 180 days from the effective date of the suspension, the lottery will revoke the retailer’s license upon 15 days’ notice served in conformance with </w:t>
      </w:r>
      <w:hyperlink r:id="rId65">
        <w:r>
          <w:rPr>
            <w:rStyle w:val="Hyperlink"/>
            <w:rFonts w:ascii="Times New Roman" w:hAnsi="Times New Roman"/>
            <w:b w:val="false"/>
            <w:i w:val="false"/>
            <w:color w:val="000000"/>
            <w:sz w:val="22"/>
          </w:rPr>
          <w:t>531—12.13(99G,252J,272D)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 retailer has sold a ticket to an underage player, the lottery will investigate and provide a written warning to the retailer describing the report of the event and of the potential violation of Iowa Code section </w:t>
      </w:r>
      <w:hyperlink r:id="rId66">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In the event a retailer sells a ticket to an underage player and the lottery can substantiate the claim, the lottery may suspend the retailer’s license for 7 days. When a retailer sells a ticket to an underage player and the lottery can substantiate the claim a second time in a period of one year from the date of the first event, the lottery may suspend the retailer’s license for a period of 30 days. When a retailer sells a ticket to an underage player and the lottery can substantiate the claim a third time in a period of one year from the date of the first event as described in this rule, the retailer’s license may be suspended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12.12(5)</w:t>
      </w:r>
      <w:r>
        <w:rPr>
          <w:rFonts w:ascii="Times New Roman" w:hAnsi="Times New Roman"/>
          <w:b w:val="false"/>
          <w:i w:val="false"/>
          <w:color w:val="000000"/>
          <w:sz w:val="22"/>
        </w:rPr>
        <w:t> </w:t>
      </w:r>
      <w:r>
        <w:rPr>
          <w:rFonts w:ascii="Times New Roman" w:hAnsi="Times New Roman"/>
          <w:b w:val="false"/>
          <w:i w:val="false"/>
          <w:color w:val="000000"/>
          <w:sz w:val="22"/>
        </w:rPr>
        <w:t>Upon revocation or suspension of a retailer’s license of 30 days or longer, the retailer shall surrender to the lottery, by a date designated by the lottery, the license, lottery identification card, and all other lottery property. The lottery will settle the retailer’s account as if the retailer had terminated its relationship with the lottery voluntarily.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99G.35</w:t>
        </w:r>
      </w:hyperlink>
      <w:r>
        <w:rPr>
          <w:rFonts w:ascii="Times New Roman" w:hAnsi="Times New Roman"/>
          <w:b w:val="false"/>
          <w:i w:val="false"/>
          <w:color w:val="000000"/>
          <w:sz w:val="22"/>
        </w:rPr>
        <w:t>, </w:t>
      </w:r>
      <w:hyperlink r:id="rId7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272D.8(2)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1462C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531—12.13</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Methods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7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w:t>
      </w:r>
      <w:r>
        <w:rPr>
          <w:rFonts w:ascii="Times New Roman" w:hAnsi="Times New Roman"/>
          <w:b w:val="false"/>
          <w:i w:val="false"/>
          <w:color w:val="000000"/>
          <w:sz w:val="22"/>
        </w:rPr>
        <w:t>1.305</w:t>
      </w:r>
      <w:r>
        <w:rPr>
          <w:rFonts w:ascii="Times New Roman" w:hAnsi="Times New Roman"/>
          <w:b w:val="false"/>
          <w:i w:val="false"/>
          <w:color w:val="000000"/>
          <w:sz w:val="22"/>
        </w:rPr>
        <w:t>.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76">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shall be served upon the licensee by certified mail, return receipt requested; by personal service in accordance with Iowa </w:t>
      </w:r>
      <w:r>
        <w:rPr>
          <w:rFonts w:ascii="Times New Roman" w:hAnsi="Times New Roman"/>
          <w:b w:val="false"/>
          <w:i w:val="false"/>
          <w:color w:val="000000"/>
          <w:sz w:val="22"/>
        </w:rPr>
        <w:t>Rule of Civil Procedure 1.305</w:t>
      </w:r>
      <w:r>
        <w:rPr>
          <w:rFonts w:ascii="Times New Roman" w:hAnsi="Times New Roman"/>
          <w:b w:val="false"/>
          <w:i w:val="false"/>
          <w:color w:val="000000"/>
          <w:sz w:val="22"/>
        </w:rPr>
        <w:t>; or through authorized counsel.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 license revocation or a suspension for the reasons described in </w:t>
      </w:r>
      <w:hyperlink r:id="rId77">
        <w:r>
          <w:rPr>
            <w:rStyle w:val="Hyperlink"/>
            <w:rFonts w:ascii="Times New Roman" w:hAnsi="Times New Roman"/>
            <w:b w:val="false"/>
            <w:i w:val="false"/>
            <w:color w:val="000000"/>
            <w:sz w:val="22"/>
          </w:rPr>
          <w:t>531—12.12(99G,252J,272D)</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w:t>
      </w:r>
      <w:r>
        <w:rPr>
          <w:rFonts w:ascii="Times New Roman" w:hAnsi="Times New Roman"/>
          <w:b w:val="false"/>
          <w:i w:val="false"/>
          <w:color w:val="000000"/>
          <w:sz w:val="22"/>
        </w:rPr>
        <w:t>1.305</w:t>
      </w:r>
      <w:r>
        <w:rPr>
          <w:rFonts w:ascii="Times New Roman" w:hAnsi="Times New Roman"/>
          <w:b w:val="false"/>
          <w:i w:val="false"/>
          <w:color w:val="000000"/>
          <w:sz w:val="22"/>
        </w:rPr>
        <w:t>. Alternatively, the licensee may accept service personally or through authorized counsel. The notice shall set forth the reasons for the suspension or revocation and provide for an opportunity for a hearing. If requested by the licensee, a hearing on the suspension or revocation shall be held within 180 days or less after the notice has been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w:t>
      </w:r>
      <w:hyperlink r:id="rId8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531—12.14</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Licensee’s obligation. </w:t>
      </w:r>
      <w:r>
        <w:rPr>
          <w:rFonts w:ascii="Times New Roman" w:hAnsi="Times New Roman"/>
          <w:b w:val="false"/>
          <w:i w:val="false"/>
          <w:color w:val="000000"/>
          <w:sz w:val="22"/>
        </w:rPr>
        <w:t xml:space="preserve">Licensees and license applicants must keep the lottery informed of all court actions and all child support recovery unit actions or centralized collection unit actions taken under or in connection with Iowa Code chapter </w:t>
      </w:r>
      <w:hyperlink r:id="rId8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8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Licensees and applicants must also provide the lottery with copies, within seven days of filing or issuance, of all applications filed with the district court pursuant to Iowa Code section </w:t>
      </w:r>
      <w:hyperlink r:id="rId8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w:t>
      </w:r>
      <w:hyperlink r:id="rId86">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any withdrawals of certificates of noncompliance by the child support recovery unit or centralized collections unit.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w:t>
      </w:r>
      <w:hyperlink r:id="rId8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531—12.15</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Calculating the effective date. </w:t>
      </w:r>
      <w:r>
        <w:rPr>
          <w:rFonts w:ascii="Times New Roman" w:hAnsi="Times New Roman"/>
          <w:b w:val="false"/>
          <w:i w:val="false"/>
          <w:color w:val="000000"/>
          <w:sz w:val="22"/>
        </w:rPr>
        <w:t xml:space="preserve">In the event a licensee or applicant files a timely district court action following service of a lottery notice pursuant to Iowa Code sections </w:t>
      </w:r>
      <w:hyperlink r:id="rId9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sections </w:t>
      </w:r>
      <w:hyperlink r:id="rId93">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lottery shall continue with the intended action described in the notice upon the receipt of a court order lifting the stay, dismissing the action, or otherwise directing the lottery to proceed. For purposes of determining the effective date of revocation or suspension, or denial of the issuance or renewal of a license, the lottery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w:t>
      </w:r>
      <w:hyperlink r:id="rId9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w:t>
      </w:r>
      <w:hyperlink r:id="rId98">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531—12.16</w:t>
      </w:r>
      <w:r>
        <w:rPr>
          <w:rFonts w:ascii="Times New Roman" w:hAnsi="Times New Roman"/>
          <w:b/>
          <w:i w:val="false"/>
          <w:color w:val="000000"/>
          <w:sz w:val="22"/>
        </w:rPr>
        <w:t xml:space="preserve">(99G) </w:t>
      </w:r>
      <w:r>
        <w:rPr>
          <w:rFonts w:ascii="Times New Roman" w:hAnsi="Times New Roman"/>
          <w:b/>
          <w:i w:val="false"/>
          <w:color w:val="000000"/>
          <w:sz w:val="22"/>
        </w:rPr>
        <w:t xml:space="preserve">Financial responsibility. </w:t>
      </w:r>
      <w:r>
        <w:rPr>
          <w:rFonts w:ascii="Times New Roman" w:hAnsi="Times New Roman"/>
          <w:b w:val="false"/>
          <w:i w:val="false"/>
          <w:color w:val="000000"/>
          <w:sz w:val="22"/>
        </w:rPr>
        <w:t>The lottery shall use the following guidelines to determine financial responsibility for a retailer seeking a license to sell lottery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w:t>
      </w:r>
      <w:r>
        <w:rPr>
          <w:rFonts w:ascii="Times New Roman" w:hAnsi="Times New Roman"/>
          <w:b w:val="false"/>
          <w:i w:val="false"/>
          <w:color w:val="000000"/>
          <w:sz w:val="22"/>
        </w:rPr>
        <w:t>The lottery will not require a bond from a sole proprietor if the account history for the applicant for the past two years discloses no more than four accounts past due and no accounts over 90 days past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color w:val="000000"/>
          <w:sz w:val="22"/>
        </w:rPr>
        <w:t xml:space="preserve">Partnership. </w:t>
      </w:r>
      <w:r>
        <w:rPr>
          <w:rFonts w:ascii="Times New Roman" w:hAnsi="Times New Roman"/>
          <w:b w:val="false"/>
          <w:i w:val="false"/>
          <w:color w:val="000000"/>
          <w:sz w:val="22"/>
        </w:rPr>
        <w:t xml:space="preserve">If the license applicant is a partnership, 50 percent of the partners must meet the credit guidelines listed in subrule </w:t>
      </w:r>
      <w:hyperlink r:id="rId101">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If the credit history discloses that the requirements of subrule </w:t>
      </w:r>
      <w:hyperlink r:id="rId102">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are satisfied, the lottery will not require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12.16(3)</w:t>
      </w:r>
      <w:r>
        <w:rPr>
          <w:rFonts w:ascii="Times New Roman" w:hAnsi="Times New Roman"/>
          <w:b w:val="false"/>
          <w:i w:val="false"/>
          <w:color w:val="000000"/>
          <w:sz w:val="22"/>
        </w:rPr>
        <w:t> </w:t>
      </w:r>
      <w:r>
        <w:rPr>
          <w:rFonts w:ascii="Times New Roman" w:hAnsi="Times New Roman"/>
          <w:b w:val="false"/>
          <w:i/>
          <w:color w:val="000000"/>
          <w:sz w:val="22"/>
        </w:rPr>
        <w:t xml:space="preserve">Fraternal or civic associations. </w:t>
      </w:r>
      <w:r>
        <w:rPr>
          <w:rFonts w:ascii="Times New Roman" w:hAnsi="Times New Roman"/>
          <w:b w:val="false"/>
          <w:i w:val="false"/>
          <w:color w:val="000000"/>
          <w:sz w:val="22"/>
        </w:rPr>
        <w:t xml:space="preserve">If the license applicant is a fraternal association, civic organization or other nonprofit entity, the applicant must meet the credit guidelines set forth in subrule </w:t>
      </w:r>
      <w:hyperlink r:id="rId103">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If the fraternal or civic association or other nonprofit entity has no credit history or the credit history is incomplete in the sole discretion of the lottery, then the officers of the fraternal or civic association or other nonprofit entity must meet the requirements of subrule </w:t>
      </w:r>
      <w:hyperlink r:id="rId104">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If the credit history discloses that the requirements of subrule </w:t>
      </w:r>
      <w:hyperlink r:id="rId105">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are satisfied, the lottery will not require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12.16(4)</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two years or more if a credit risk appraisal is available through a financial and credit reporting entity. </w:t>
      </w:r>
      <w:r>
        <w:rPr>
          <w:rFonts w:ascii="Times New Roman" w:hAnsi="Times New Roman"/>
          <w:b w:val="false"/>
          <w:i w:val="false"/>
          <w:color w:val="000000"/>
          <w:sz w:val="22"/>
        </w:rPr>
        <w:t>If the license applicant is a corporation or a limited liability company and the corporation or the limited liability company has been in existence for more than two years from the date of the application and a credit risk appraisal is available through a financial and credit reporting entity, the license applicant must meet all of the following financial responsibility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applicant is paying 60 percent of its suppliers on time or within terms;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applicant must have a credit risk appraisal provided by a financial and credit reporting entity that indicates the corporation’s or limited liability company’s financial condition is fair or better.</w:t>
      </w:r>
    </w:p>
    <w:p>
      <w:pPr>
        <w:spacing w:before="0" w:after="0"/>
        <w:ind w:left="120"/>
        <w:jc w:val="both"/>
      </w:pPr>
      <w:r>
        <w:rPr>
          <w:rFonts w:ascii="Times New Roman" w:hAnsi="Times New Roman"/>
          <w:b w:val="false"/>
          <w:i w:val="false"/>
          <w:color w:val="000000"/>
          <w:sz w:val="22"/>
        </w:rPr>
        <w:t>If the corporation or the limited liability company meets the guidelines described in this rule, the lottery will not require a bond from the license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12.16(5)</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less than two years or if a credit risk appraisal is not available through a financial and credit reporting entity. </w:t>
      </w:r>
      <w:r>
        <w:rPr>
          <w:rFonts w:ascii="Times New Roman" w:hAnsi="Times New Roman"/>
          <w:b w:val="false"/>
          <w:i w:val="false"/>
          <w:color w:val="000000"/>
          <w:sz w:val="22"/>
        </w:rPr>
        <w:t xml:space="preserve">If a corporation has been in existence for less than two years from the date of the application or a credit risk appraisal is not available through a financial and credit reporting entity, the lottery will review the credit history of the corporate officers who hold 10 percent or more of the stock of the corporation. If a limited liability company has been in existence for less than two years or a credit risk appraisal is not available through a financial and credit reporting entity, the lottery will review the credit history of the members of a limited liability company who have contributed 10 percent or more to the capital of the limited liability company. Fifty percent or more of the corporate officers or members of the limited liability company must meet the credit guidelines set forth in subrule </w:t>
      </w:r>
      <w:hyperlink r:id="rId106">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If the corporate officers or the members of the limited liability company meet the requirements set forth in subrule </w:t>
      </w:r>
      <w:hyperlink r:id="rId107">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the lottery will not require the corporation or the limited liability company to obtain a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12.16(6)</w:t>
      </w:r>
      <w:r>
        <w:rPr>
          <w:rFonts w:ascii="Times New Roman" w:hAnsi="Times New Roman"/>
          <w:b w:val="false"/>
          <w:i w:val="false"/>
          <w:color w:val="000000"/>
          <w:sz w:val="22"/>
        </w:rPr>
        <w:t> </w:t>
      </w:r>
      <w:r>
        <w:rPr>
          <w:rFonts w:ascii="Times New Roman" w:hAnsi="Times New Roman"/>
          <w:b w:val="false"/>
          <w:i/>
          <w:color w:val="000000"/>
          <w:sz w:val="22"/>
        </w:rPr>
        <w:t xml:space="preserve">Bonding requirements. </w:t>
      </w:r>
      <w:r>
        <w:rPr>
          <w:rFonts w:ascii="Times New Roman" w:hAnsi="Times New Roman"/>
          <w:b w:val="false"/>
          <w:i w:val="false"/>
          <w:color w:val="000000"/>
          <w:sz w:val="22"/>
        </w:rPr>
        <w:t xml:space="preserve">With respect to any license applicant whose credit history does not meet the guidelines described in subrules </w:t>
      </w:r>
      <w:hyperlink r:id="rId108">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through </w:t>
      </w:r>
      <w:hyperlink r:id="rId109">
        <w:r>
          <w:rPr>
            <w:rStyle w:val="Hyperlink"/>
            <w:rFonts w:ascii="Times New Roman" w:hAnsi="Times New Roman"/>
            <w:b w:val="false"/>
            <w:i w:val="false"/>
            <w:color w:val="000000"/>
            <w:sz w:val="22"/>
          </w:rPr>
          <w:t>12.16(5)</w:t>
        </w:r>
      </w:hyperlink>
      <w:r>
        <w:rPr>
          <w:rFonts w:ascii="Times New Roman" w:hAnsi="Times New Roman"/>
          <w:b w:val="false"/>
          <w:i w:val="false"/>
          <w:color w:val="000000"/>
          <w:sz w:val="22"/>
        </w:rPr>
        <w:t>, the applicant will be required to obtain a bond from a surety company authorized to do business in Iowa or offer a cash bond in the amounts generally described herein. The amount of the bond will vary depending on the type of lottery products sold by the license applicant, the sales history of the retail location or the average volume of sales of lottery products at the location, or a combination of the above factors. The following minimum amounts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 of pull-tab tickets only,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 of instant tickets with or without pull-tab tickets,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 of on-line games with or without instant and pull-tab tickets, $2,500.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12.16(7)</w:t>
      </w:r>
      <w:r>
        <w:rPr>
          <w:rFonts w:ascii="Times New Roman" w:hAnsi="Times New Roman"/>
          <w:b w:val="false"/>
          <w:i w:val="false"/>
          <w:color w:val="000000"/>
          <w:sz w:val="22"/>
        </w:rPr>
        <w:t> </w:t>
      </w:r>
      <w:r>
        <w:rPr>
          <w:rFonts w:ascii="Times New Roman" w:hAnsi="Times New Roman"/>
          <w:b w:val="false"/>
          <w:i/>
          <w:color w:val="000000"/>
          <w:sz w:val="22"/>
        </w:rPr>
        <w:t xml:space="preserve">Holding period for bond. </w:t>
      </w:r>
      <w:r>
        <w:rPr>
          <w:rFonts w:ascii="Times New Roman" w:hAnsi="Times New Roman"/>
          <w:b w:val="false"/>
          <w:i w:val="false"/>
          <w:color w:val="000000"/>
          <w:sz w:val="22"/>
        </w:rPr>
        <w:t>The lottery will hold the bond provided by license applicant for a minimum time period of one year. Thereafter, the lottery will review the credit history of the licensed retailer. If the retailer’s account history shows no delinquent payments, the lottery will release the bond.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0">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99G.26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531—12.17</w:t>
      </w:r>
      <w:r>
        <w:rPr>
          <w:rFonts w:ascii="Times New Roman" w:hAnsi="Times New Roman"/>
          <w:b/>
          <w:i w:val="false"/>
          <w:color w:val="000000"/>
          <w:sz w:val="22"/>
        </w:rPr>
        <w:t xml:space="preserve">(99G) </w:t>
      </w:r>
      <w:r>
        <w:rPr>
          <w:rFonts w:ascii="Times New Roman" w:hAnsi="Times New Roman"/>
          <w:b/>
          <w:i w:val="false"/>
          <w:color w:val="000000"/>
          <w:sz w:val="22"/>
        </w:rPr>
        <w:t xml:space="preserve">Monitor vending machine retailers. </w:t>
      </w:r>
      <w:r>
        <w:rPr>
          <w:rFonts w:ascii="Times New Roman" w:hAnsi="Times New Roman"/>
          <w:b w:val="false"/>
          <w:i w:val="false"/>
          <w:color w:val="000000"/>
          <w:sz w:val="22"/>
        </w:rPr>
        <w:t xml:space="preserve">Unless specifically noted in </w:t>
      </w:r>
      <w:hyperlink r:id="rId112">
        <w:r>
          <w:rPr>
            <w:rStyle w:val="Hyperlink"/>
            <w:rFonts w:ascii="Times New Roman" w:hAnsi="Times New Roman"/>
            <w:b w:val="false"/>
            <w:i w:val="false"/>
            <w:color w:val="000000"/>
            <w:sz w:val="22"/>
          </w:rPr>
          <w:t>531—Chapter 14</w:t>
        </w:r>
      </w:hyperlink>
      <w:r>
        <w:rPr>
          <w:rFonts w:ascii="Times New Roman" w:hAnsi="Times New Roman"/>
          <w:b w:val="false"/>
          <w:i w:val="false"/>
          <w:color w:val="000000"/>
          <w:sz w:val="22"/>
        </w:rPr>
        <w:t xml:space="preserve">, the rules contained in this chapter do not apply to entities holding licenses pursuant to </w:t>
      </w:r>
      <w:hyperlink r:id="rId113">
        <w:r>
          <w:rPr>
            <w:rStyle w:val="Hyperlink"/>
            <w:rFonts w:ascii="Times New Roman" w:hAnsi="Times New Roman"/>
            <w:b w:val="false"/>
            <w:i w:val="false"/>
            <w:color w:val="000000"/>
            <w:sz w:val="22"/>
          </w:rPr>
          <w:t>531—Chapter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4">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99G.26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emergency 7/12/85—published 7/31/85, effective 7/12/85]</w:t>
      </w:r>
    </w:p>
    <w:p>
      <w:pPr>
        <w:spacing w:before="0" w:after="0"/>
        <w:ind w:left="120"/>
        <w:jc w:val="center"/>
      </w:pPr>
      <w:r>
        <w:rPr>
          <w:rFonts w:ascii="Times New Roman" w:hAnsi="Times New Roman"/>
          <w:b w:val="false"/>
          <w:i w:val="false"/>
          <w:color w:val="000000"/>
          <w:sz w:val="21"/>
        </w:rPr>
        <w:t>[Filed emergency 9/20/85—published 10/9/85, effective 9/20/85]</w:t>
      </w:r>
    </w:p>
    <w:p>
      <w:pPr>
        <w:spacing w:before="0" w:after="0"/>
        <w:ind w:left="120"/>
        <w:jc w:val="center"/>
      </w:pPr>
      <w:r>
        <w:rPr>
          <w:rFonts w:ascii="Times New Roman" w:hAnsi="Times New Roman"/>
          <w:b w:val="false"/>
          <w:i w:val="false"/>
          <w:color w:val="000000"/>
          <w:sz w:val="21"/>
        </w:rPr>
        <w:t>[Filed emergency 12/27/85—published 1/15/86, effective 12/30/85]</w:t>
      </w:r>
    </w:p>
    <w:p>
      <w:pPr>
        <w:spacing w:before="0" w:after="0"/>
        <w:ind w:left="120"/>
        <w:jc w:val="center"/>
      </w:pPr>
      <w:r>
        <w:rPr>
          <w:rFonts w:ascii="Times New Roman" w:hAnsi="Times New Roman"/>
          <w:b w:val="false"/>
          <w:i w:val="false"/>
          <w:color w:val="000000"/>
          <w:sz w:val="21"/>
        </w:rPr>
        <w:t>[Filed emergency 2/21/86—published 3/12/86, effective 2/21/86]</w:t>
      </w:r>
    </w:p>
    <w:p>
      <w:pPr>
        <w:spacing w:before="0" w:after="0"/>
        <w:ind w:left="120"/>
        <w:jc w:val="center"/>
      </w:pPr>
      <w:r>
        <w:rPr>
          <w:rFonts w:ascii="Times New Roman" w:hAnsi="Times New Roman"/>
          <w:b w:val="false"/>
          <w:i w:val="false"/>
          <w:color w:val="000000"/>
          <w:sz w:val="21"/>
        </w:rPr>
        <w:t>[Filed emergency 4/18/86—published 5/7/86, effective 4/21/86]</w:t>
      </w:r>
    </w:p>
    <w:p>
      <w:pPr>
        <w:spacing w:before="0" w:after="0"/>
        <w:ind w:left="120"/>
        <w:jc w:val="center"/>
      </w:pPr>
      <w:r>
        <w:rPr>
          <w:rFonts w:ascii="Times New Roman" w:hAnsi="Times New Roman"/>
          <w:b w:val="false"/>
          <w:i w:val="false"/>
          <w:color w:val="000000"/>
          <w:sz w:val="21"/>
        </w:rPr>
        <w:t>[Filed emergency 12/23/86—published 1/14/87, effective 12/26/86]</w:t>
      </w:r>
    </w:p>
    <w:p>
      <w:pPr>
        <w:spacing w:before="0" w:after="0"/>
        <w:ind w:left="120"/>
        <w:jc w:val="center"/>
      </w:pPr>
      <w:r>
        <w:rPr>
          <w:rFonts w:ascii="Times New Roman" w:hAnsi="Times New Roman"/>
          <w:b w:val="false"/>
          <w:i w:val="false"/>
          <w:color w:val="000000"/>
          <w:sz w:val="21"/>
        </w:rPr>
        <w:t>[Filed 4/15/88, Notice 1/27/88—published 5/4/88, effective 6/8/88]</w:t>
      </w:r>
    </w:p>
    <w:p>
      <w:pPr>
        <w:spacing w:before="0" w:after="0"/>
        <w:ind w:left="120"/>
        <w:jc w:val="center"/>
      </w:pPr>
      <w:r>
        <w:rPr>
          <w:rFonts w:ascii="Times New Roman" w:hAnsi="Times New Roman"/>
          <w:b w:val="false"/>
          <w:i w:val="false"/>
          <w:color w:val="000000"/>
          <w:sz w:val="21"/>
        </w:rPr>
        <w:t>[Filed 11/3/88, Notice 8/10/88—published 11/30/88, effective 1/4/89]</w:t>
      </w:r>
    </w:p>
    <w:p>
      <w:pPr>
        <w:spacing w:before="0" w:after="0"/>
        <w:ind w:left="120"/>
        <w:jc w:val="center"/>
      </w:pPr>
      <w:r>
        <w:rPr>
          <w:rFonts w:ascii="Times New Roman" w:hAnsi="Times New Roman"/>
          <w:b w:val="false"/>
          <w:i w:val="false"/>
          <w:color w:val="000000"/>
          <w:sz w:val="21"/>
        </w:rPr>
        <w:t>[Filed 12/8/89, Notice 10/18/89—published 12/27/89, effective 2/1/90]</w:t>
      </w:r>
    </w:p>
    <w:p>
      <w:pPr>
        <w:spacing w:before="0" w:after="0"/>
        <w:ind w:left="120"/>
        <w:jc w:val="center"/>
      </w:pPr>
      <w:r>
        <w:rPr>
          <w:rFonts w:ascii="Times New Roman" w:hAnsi="Times New Roman"/>
          <w:b w:val="false"/>
          <w:i w:val="false"/>
          <w:color w:val="000000"/>
          <w:sz w:val="21"/>
        </w:rPr>
        <w:t>[Filed 2/10/95, Notice 8/31/94—published 3/1/95, effective 4/5/95]</w:t>
      </w:r>
    </w:p>
    <w:p>
      <w:pPr>
        <w:spacing w:before="0" w:after="0"/>
        <w:ind w:left="120"/>
        <w:jc w:val="center"/>
      </w:pPr>
      <w:r>
        <w:rPr>
          <w:rFonts w:ascii="Times New Roman" w:hAnsi="Times New Roman"/>
          <w:b w:val="false"/>
          <w:i w:val="false"/>
          <w:color w:val="000000"/>
          <w:sz w:val="21"/>
        </w:rPr>
        <w:t>[Filed 4/26/96, Notice 1/17/96—published 5/22/96, effective 6/26/96]</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1/6/00, Notice 10/6/99—published 1/26/00, effective 3/1/00]</w:t>
      </w:r>
    </w:p>
    <w:p>
      <w:pPr>
        <w:spacing w:before="0" w:after="0"/>
        <w:ind w:left="120"/>
        <w:jc w:val="center"/>
      </w:pPr>
      <w:r>
        <w:rPr>
          <w:rFonts w:ascii="Times New Roman" w:hAnsi="Times New Roman"/>
          <w:b w:val="false"/>
          <w:i w:val="false"/>
          <w:color w:val="000000"/>
          <w:sz w:val="21"/>
        </w:rPr>
        <w:t>[Filed emergency 1/31/03—published 2/19/03, effective 1/31/03]</w:t>
      </w:r>
    </w:p>
    <w:p>
      <w:pPr>
        <w:spacing w:before="0" w:after="0"/>
        <w:ind w:left="120"/>
        <w:jc w:val="center"/>
      </w:pPr>
      <w:r>
        <w:rPr>
          <w:rFonts w:ascii="Times New Roman" w:hAnsi="Times New Roman"/>
          <w:b w:val="false"/>
          <w:i w:val="false"/>
          <w:color w:val="000000"/>
          <w:sz w:val="21"/>
        </w:rPr>
        <w:t>[Filed emergency 4/11/03—published 4/30/03, effective 4/11/03]</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4/7/06, Notice 12/21/05—published 4/26/06, effective 5/31/06]</w:t>
      </w:r>
    </w:p>
    <w:p>
      <w:pPr>
        <w:spacing w:before="0" w:after="0"/>
        <w:ind w:left="120"/>
        <w:jc w:val="center"/>
      </w:pPr>
      <w:r>
        <w:rPr>
          <w:rFonts w:ascii="Times New Roman" w:hAnsi="Times New Roman"/>
          <w:b w:val="false"/>
          <w:i w:val="false"/>
          <w:color w:val="000000"/>
          <w:sz w:val="21"/>
        </w:rPr>
        <w:t>[Filed ARC 1462C</w:t>
      </w:r>
      <w:r>
        <w:rPr>
          <w:rFonts w:ascii="Times New Roman" w:hAnsi="Times New Roman"/>
          <w:b w:val="false"/>
          <w:i w:val="false"/>
          <w:color w:val="000000"/>
          <w:sz w:val="21"/>
        </w:rPr>
        <w:t xml:space="preserve"> (Notice ARC 1283C, IAB 1/8/14)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2781C</w:t>
      </w:r>
      <w:r>
        <w:rPr>
          <w:rFonts w:ascii="Times New Roman" w:hAnsi="Times New Roman"/>
          <w:b w:val="false"/>
          <w:i w:val="false"/>
          <w:color w:val="000000"/>
          <w:sz w:val="21"/>
        </w:rPr>
        <w:t xml:space="preserve"> (Notice ARC 2660C, IAB 8/3/16)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6608C</w:t>
      </w:r>
      <w:r>
        <w:rPr>
          <w:rFonts w:ascii="Times New Roman" w:hAnsi="Times New Roman"/>
          <w:b w:val="false"/>
          <w:i w:val="false"/>
          <w:color w:val="000000"/>
          <w:sz w:val="21"/>
        </w:rPr>
        <w:t xml:space="preserve"> (Notice ARC 6445C, IAB 8/10/22)</w:t>
      </w:r>
      <w:r>
        <w:rPr>
          <w:rFonts w:ascii="Times New Roman" w:hAnsi="Times New Roman"/>
          <w:b w:val="false"/>
          <w:i w:val="false"/>
          <w:color w:val="000000"/>
          <w:sz w:val="21"/>
        </w:rPr>
        <w:t>, IAB 11/2/22, effective 12/7/22]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co/chapter/99G.7.pdf" Type="http://schemas.openxmlformats.org/officeDocument/2006/relationships/hyperlink" Id="rId6"/>
    <Relationship TargetMode="External" Target="https://www.legis.iowa.gov/docs/ico/chapter/99G.9.pdf" Type="http://schemas.openxmlformats.org/officeDocument/2006/relationships/hyperlink" Id="rId7"/>
    <Relationship TargetMode="External" Target="https://www.legis.iowa.gov/docs/ico/chapter/99G.21.pdf" Type="http://schemas.openxmlformats.org/officeDocument/2006/relationships/hyperlink" Id="rId8"/>
    <Relationship TargetMode="External" Target="https://www.legis.iowa.gov/docs/ico/chapter/99G.24.pdf" Type="http://schemas.openxmlformats.org/officeDocument/2006/relationships/hyperlink" Id="rId9"/>
    <Relationship TargetMode="External" Target="https://www.legis.iowa.gov/docs/ico/chapter/252J.2.pdf" Type="http://schemas.openxmlformats.org/officeDocument/2006/relationships/hyperlink" Id="rId10"/>
    <Relationship TargetMode="External" Target="https://www.legis.iowa.gov/docs/ico/chapter/272D.8.pdf" Type="http://schemas.openxmlformats.org/officeDocument/2006/relationships/hyperlink" Id="rId11"/>
    <Relationship TargetMode="External" Target="https://www.legis.iowa.gov/docs/ico/chapter/99G.pdf" Type="http://schemas.openxmlformats.org/officeDocument/2006/relationships/hyperlink" Id="rId12"/>
    <Relationship TargetMode="External" Target="https://www.legis.iowa.gov/docs/ico/chapter/99G.9.pdf" Type="http://schemas.openxmlformats.org/officeDocument/2006/relationships/hyperlink" Id="rId13"/>
    <Relationship TargetMode="External" Target="https://www.legis.iowa.gov/docs/ico/chapter/99G.21.pdf" Type="http://schemas.openxmlformats.org/officeDocument/2006/relationships/hyperlink" Id="rId14"/>
    <Relationship TargetMode="External" Target="https://www.legis.iowa.gov/docs/ico/chapter/99G.24.pdf" Type="http://schemas.openxmlformats.org/officeDocument/2006/relationships/hyperlink" Id="rId15"/>
    <Relationship TargetMode="External" Target="https://www.legis.iowa.gov/docs/ico/chapter/252J.2.pdf" Type="http://schemas.openxmlformats.org/officeDocument/2006/relationships/hyperlink" Id="rId16"/>
    <Relationship TargetMode="External" Target="https://www.legis.iowa.gov/docs/ico/chapter/99G.9.pdf" Type="http://schemas.openxmlformats.org/officeDocument/2006/relationships/hyperlink" Id="rId17"/>
    <Relationship TargetMode="External" Target="https://www.legis.iowa.gov/docs/ico/chapter/99G.24.pdf" Type="http://schemas.openxmlformats.org/officeDocument/2006/relationships/hyperlink" Id="rId18"/>
    <Relationship TargetMode="External" Target="https://www.legis.iowa.gov/docs/ico/chapter/252J.8.pdf" Type="http://schemas.openxmlformats.org/officeDocument/2006/relationships/hyperlink" Id="rId19"/>
    <Relationship TargetMode="External" Target="https://www.legis.iowa.gov/docs/ico/chapter/272D.8.pdf" Type="http://schemas.openxmlformats.org/officeDocument/2006/relationships/hyperlink" Id="rId20"/>
    <Relationship TargetMode="External" Target="https://www.legis.iowa.gov/docs/ico/chapter/99G.7.pdf" Type="http://schemas.openxmlformats.org/officeDocument/2006/relationships/hyperlink" Id="rId21"/>
    <Relationship TargetMode="External" Target="https://www.legis.iowa.gov/docs/ico/chapter/99G.9.pdf" Type="http://schemas.openxmlformats.org/officeDocument/2006/relationships/hyperlink" Id="rId22"/>
    <Relationship TargetMode="External" Target="https://www.legis.iowa.gov/docs/ico/chapter/99G.21.pdf" Type="http://schemas.openxmlformats.org/officeDocument/2006/relationships/hyperlink" Id="rId23"/>
    <Relationship TargetMode="External" Target="https://www.legis.iowa.gov/docs/ico/chapter/99G.24.pdf" Type="http://schemas.openxmlformats.org/officeDocument/2006/relationships/hyperlink" Id="rId24"/>
    <Relationship TargetMode="External" Target="https://www.legis.iowa.gov/docs/ico/chapter/99G.30.pdf" Type="http://schemas.openxmlformats.org/officeDocument/2006/relationships/hyperlink" Id="rId25"/>
    <Relationship TargetMode="External" Target="https://www.legis.iowa.gov/docs/ico/chapter/252J.2.pdf" Type="http://schemas.openxmlformats.org/officeDocument/2006/relationships/hyperlink" Id="rId26"/>
    <Relationship TargetMode="External" Target="https://www.legis.iowa.gov/docs/ico/chapter/252J.8.pdf" Type="http://schemas.openxmlformats.org/officeDocument/2006/relationships/hyperlink" Id="rId27"/>
    <Relationship TargetMode="External" Target="https://www.legis.iowa.gov/docs/ico/chapter/272D.8.pdf" Type="http://schemas.openxmlformats.org/officeDocument/2006/relationships/hyperlink" Id="rId28"/>
    <Relationship TargetMode="External" Target="https://www.legis.iowa.gov/docs/ico/chapter/99G.9.pdf" Type="http://schemas.openxmlformats.org/officeDocument/2006/relationships/hyperlink" Id="rId29"/>
    <Relationship TargetMode="External" Target="https://www.legis.iowa.gov/docs/ico/chapter/99G.21.pdf" Type="http://schemas.openxmlformats.org/officeDocument/2006/relationships/hyperlink" Id="rId30"/>
    <Relationship TargetMode="External" Target="https://www.legis.iowa.gov/docs/ico/chapter/99G.24.pdf" Type="http://schemas.openxmlformats.org/officeDocument/2006/relationships/hyperlink" Id="rId31"/>
    <Relationship TargetMode="External" Target="https://www.legis.iowa.gov/docs/ico/chapter/99G.25.pdf" Type="http://schemas.openxmlformats.org/officeDocument/2006/relationships/hyperlink" Id="rId32"/>
    <Relationship TargetMode="External" Target="https://www.legis.iowa.gov/docs/ico/chapter/99G.30.pdf" Type="http://schemas.openxmlformats.org/officeDocument/2006/relationships/hyperlink" Id="rId33"/>
    <Relationship TargetMode="External" Target="https://www.legis.iowa.gov/docs/ico/chapter/99G.9.pdf" Type="http://schemas.openxmlformats.org/officeDocument/2006/relationships/hyperlink" Id="rId34"/>
    <Relationship TargetMode="External" Target="https://www.legis.iowa.gov/docs/ico/chapter/99G.21.pdf" Type="http://schemas.openxmlformats.org/officeDocument/2006/relationships/hyperlink" Id="rId35"/>
    <Relationship TargetMode="External" Target="https://www.legis.iowa.gov/docs/ico/chapter/99G.24.pdf" Type="http://schemas.openxmlformats.org/officeDocument/2006/relationships/hyperlink" Id="rId36"/>
    <Relationship TargetMode="External" Target="https://www.legis.iowa.gov/docs/ico/chapter/99G.27.pdf" Type="http://schemas.openxmlformats.org/officeDocument/2006/relationships/hyperlink" Id="rId37"/>
    <Relationship TargetMode="External" Target="https://www.legis.iowa.gov/docs/ico/chapter/252J.8.pdf" Type="http://schemas.openxmlformats.org/officeDocument/2006/relationships/hyperlink" Id="rId38"/>
    <Relationship TargetMode="External" Target="https://www.legis.iowa.gov/docs/ico/chapter/99G.9.pdf" Type="http://schemas.openxmlformats.org/officeDocument/2006/relationships/hyperlink" Id="rId39"/>
    <Relationship TargetMode="External" Target="https://www.legis.iowa.gov/docs/ico/chapter/99G.21.pdf" Type="http://schemas.openxmlformats.org/officeDocument/2006/relationships/hyperlink" Id="rId40"/>
    <Relationship TargetMode="External" Target="https://www.legis.iowa.gov/docs/ico/chapter/99G.24.pdf" Type="http://schemas.openxmlformats.org/officeDocument/2006/relationships/hyperlink" Id="rId41"/>
    <Relationship TargetMode="External" Target="https://www.legis.iowa.gov/docs/ico/chapter/99G.27.pdf" Type="http://schemas.openxmlformats.org/officeDocument/2006/relationships/hyperlink" Id="rId42"/>
    <Relationship TargetMode="External" Target="https://www.legis.iowa.gov/docs/ico/chapter/252J.2.pdf" Type="http://schemas.openxmlformats.org/officeDocument/2006/relationships/hyperlink" Id="rId43"/>
    <Relationship TargetMode="External" Target="https://www.legis.iowa.gov/docs/ico/chapter/252J.8.pdf" Type="http://schemas.openxmlformats.org/officeDocument/2006/relationships/hyperlink" Id="rId44"/>
    <Relationship TargetMode="External" Target="https://www.legis.iowa.gov/docs/ico/chapter/99G.9.pdf" Type="http://schemas.openxmlformats.org/officeDocument/2006/relationships/hyperlink" Id="rId45"/>
    <Relationship TargetMode="External" Target="https://www.legis.iowa.gov/docs/ico/chapter/99G.21.pdf" Type="http://schemas.openxmlformats.org/officeDocument/2006/relationships/hyperlink" Id="rId46"/>
    <Relationship TargetMode="External" Target="https://www.legis.iowa.gov/docs/ico/chapter/99G.30.pdf" Type="http://schemas.openxmlformats.org/officeDocument/2006/relationships/hyperlink" Id="rId47"/>
    <Relationship TargetMode="External" Target="https://www.legis.iowa.gov/docs/ico/chapter/99G.9.pdf" Type="http://schemas.openxmlformats.org/officeDocument/2006/relationships/hyperlink" Id="rId48"/>
    <Relationship TargetMode="External" Target="https://www.legis.iowa.gov/docs/ico/chapter/99G.21.pdf" Type="http://schemas.openxmlformats.org/officeDocument/2006/relationships/hyperlink" Id="rId49"/>
    <Relationship TargetMode="External" Target="https://www.legis.iowa.gov/docs/ico/chapter/99G.24.pdf" Type="http://schemas.openxmlformats.org/officeDocument/2006/relationships/hyperlink" Id="rId50"/>
    <Relationship TargetMode="External" Target="https://www.legis.iowa.gov/docs/ico/chapter/99G.30.pdf" Type="http://schemas.openxmlformats.org/officeDocument/2006/relationships/hyperlink" Id="rId51"/>
    <Relationship TargetMode="External" Target="https://www.legis.iowa.gov/docs/ico/chapter/99G.9.pdf" Type="http://schemas.openxmlformats.org/officeDocument/2006/relationships/hyperlink" Id="rId52"/>
    <Relationship TargetMode="External" Target="https://www.legis.iowa.gov/docs/ico/chapter/99G.21.pdf" Type="http://schemas.openxmlformats.org/officeDocument/2006/relationships/hyperlink" Id="rId53"/>
    <Relationship TargetMode="External" Target="https://www.legis.iowa.gov/docs/ico/chapter/99G.27.pdf" Type="http://schemas.openxmlformats.org/officeDocument/2006/relationships/hyperlink" Id="rId54"/>
    <Relationship TargetMode="External" Target="https://www.legis.iowa.gov/docs/ico/chapter/99G.7.pdf" Type="http://schemas.openxmlformats.org/officeDocument/2006/relationships/hyperlink" Id="rId55"/>
    <Relationship TargetMode="External" Target="https://www.legis.iowa.gov/docs/ico/chapter/99G.9.pdf" Type="http://schemas.openxmlformats.org/officeDocument/2006/relationships/hyperlink" Id="rId56"/>
    <Relationship TargetMode="External" Target="https://www.legis.iowa.gov/docs/ico/chapter/99G.21.pdf" Type="http://schemas.openxmlformats.org/officeDocument/2006/relationships/hyperlink" Id="rId57"/>
    <Relationship TargetMode="External" Target="https://www.legis.iowa.gov/docs/ico/chapter/99G.27.pdf" Type="http://schemas.openxmlformats.org/officeDocument/2006/relationships/hyperlink" Id="rId58"/>
    <Relationship TargetMode="External" Target="https://www.legis.iowa.gov/docs/ico/chapter/99G.pdf" Type="http://schemas.openxmlformats.org/officeDocument/2006/relationships/hyperlink" Id="rId59"/>
    <Relationship TargetMode="External" Target="https://www.legis.iowa.gov/docs/ico/chapter/99G.pdf" Type="http://schemas.openxmlformats.org/officeDocument/2006/relationships/hyperlink" Id="rId60"/>
    <Relationship TargetMode="External" Target="https://www.legis.iowa.gov/docs/iac/rule/531.12.3.pdf" Type="http://schemas.openxmlformats.org/officeDocument/2006/relationships/hyperlink" Id="rId61"/>
    <Relationship TargetMode="External" Target="https://www.legis.iowa.gov/docs/ico/chapter/272D.pdf" Type="http://schemas.openxmlformats.org/officeDocument/2006/relationships/hyperlink" Id="rId62"/>
    <Relationship TargetMode="External" Target="https://www.legis.iowa.gov/docs/ico/chapter/252J.8.pdf" Type="http://schemas.openxmlformats.org/officeDocument/2006/relationships/hyperlink" Id="rId63"/>
    <Relationship TargetMode="External" Target="https://www.legis.iowa.gov/docs/ico/chapter/272D.8.pdf" Type="http://schemas.openxmlformats.org/officeDocument/2006/relationships/hyperlink" Id="rId64"/>
    <Relationship TargetMode="External" Target="https://www.legis.iowa.gov/docs/iac/rule/531.12.13.pdf" Type="http://schemas.openxmlformats.org/officeDocument/2006/relationships/hyperlink" Id="rId65"/>
    <Relationship TargetMode="External" Target="https://www.legis.iowa.gov/docs/ico/chapter/99G.30.pdf" Type="http://schemas.openxmlformats.org/officeDocument/2006/relationships/hyperlink" Id="rId66"/>
    <Relationship TargetMode="External" Target="https://www.legis.iowa.gov/docs/ico/chapter/99G.9.pdf" Type="http://schemas.openxmlformats.org/officeDocument/2006/relationships/hyperlink" Id="rId67"/>
    <Relationship TargetMode="External" Target="https://www.legis.iowa.gov/docs/ico/chapter/99G.21.pdf" Type="http://schemas.openxmlformats.org/officeDocument/2006/relationships/hyperlink" Id="rId68"/>
    <Relationship TargetMode="External" Target="https://www.legis.iowa.gov/docs/ico/chapter/99G.24.pdf" Type="http://schemas.openxmlformats.org/officeDocument/2006/relationships/hyperlink" Id="rId69"/>
    <Relationship TargetMode="External" Target="https://www.legis.iowa.gov/docs/ico/chapter/99G.27.pdf" Type="http://schemas.openxmlformats.org/officeDocument/2006/relationships/hyperlink" Id="rId70"/>
    <Relationship TargetMode="External" Target="https://www.legis.iowa.gov/docs/ico/chapter/99G.30.pdf" Type="http://schemas.openxmlformats.org/officeDocument/2006/relationships/hyperlink" Id="rId71"/>
    <Relationship TargetMode="External" Target="https://www.legis.iowa.gov/docs/ico/chapter/99G.35.pdf" Type="http://schemas.openxmlformats.org/officeDocument/2006/relationships/hyperlink" Id="rId72"/>
    <Relationship TargetMode="External" Target="https://www.legis.iowa.gov/docs/ico/chapter/252J.8.pdf" Type="http://schemas.openxmlformats.org/officeDocument/2006/relationships/hyperlink" Id="rId73"/>
    <Relationship TargetMode="External" Target="https://www.legis.iowa.gov/docs/ico/chapter/272D.8.pdf" Type="http://schemas.openxmlformats.org/officeDocument/2006/relationships/hyperlink" Id="rId74"/>
    <Relationship TargetMode="External" Target="https://www.legis.iowa.gov/docs/ico/chapter/252J.8.pdf" Type="http://schemas.openxmlformats.org/officeDocument/2006/relationships/hyperlink" Id="rId75"/>
    <Relationship TargetMode="External" Target="https://www.legis.iowa.gov/docs/ico/chapter/272D.8.pdf" Type="http://schemas.openxmlformats.org/officeDocument/2006/relationships/hyperlink" Id="rId76"/>
    <Relationship TargetMode="External" Target="https://www.legis.iowa.gov/docs/iac/rule/531.12.12.pdf" Type="http://schemas.openxmlformats.org/officeDocument/2006/relationships/hyperlink" Id="rId77"/>
    <Relationship TargetMode="External" Target="https://www.legis.iowa.gov/docs/ico/chapter/99G.9.pdf" Type="http://schemas.openxmlformats.org/officeDocument/2006/relationships/hyperlink" Id="rId78"/>
    <Relationship TargetMode="External" Target="https://www.legis.iowa.gov/docs/ico/chapter/99G.21.pdf" Type="http://schemas.openxmlformats.org/officeDocument/2006/relationships/hyperlink" Id="rId79"/>
    <Relationship TargetMode="External" Target="https://www.legis.iowa.gov/docs/ico/chapter/99G.24.pdf" Type="http://schemas.openxmlformats.org/officeDocument/2006/relationships/hyperlink" Id="rId80"/>
    <Relationship TargetMode="External" Target="https://www.legis.iowa.gov/docs/ico/chapter/252J.8.pdf" Type="http://schemas.openxmlformats.org/officeDocument/2006/relationships/hyperlink" Id="rId81"/>
    <Relationship TargetMode="External" Target="https://www.legis.iowa.gov/docs/ico/chapter/272D.8.pdf" Type="http://schemas.openxmlformats.org/officeDocument/2006/relationships/hyperlink" Id="rId82"/>
    <Relationship TargetMode="External" Target="https://www.legis.iowa.gov/docs/ico/chapter/252J.pdf" Type="http://schemas.openxmlformats.org/officeDocument/2006/relationships/hyperlink" Id="rId83"/>
    <Relationship TargetMode="External" Target="https://www.legis.iowa.gov/docs/ico/chapter/272D.pdf" Type="http://schemas.openxmlformats.org/officeDocument/2006/relationships/hyperlink" Id="rId84"/>
    <Relationship TargetMode="External" Target="https://www.legis.iowa.gov/docs/ico/chapter/252J.9.pdf" Type="http://schemas.openxmlformats.org/officeDocument/2006/relationships/hyperlink" Id="rId85"/>
    <Relationship TargetMode="External" Target="https://www.legis.iowa.gov/docs/ico/chapter/272D.9.pdf" Type="http://schemas.openxmlformats.org/officeDocument/2006/relationships/hyperlink" Id="rId86"/>
    <Relationship TargetMode="External" Target="https://www.legis.iowa.gov/docs/ico/chapter/99G.9.pdf" Type="http://schemas.openxmlformats.org/officeDocument/2006/relationships/hyperlink" Id="rId87"/>
    <Relationship TargetMode="External" Target="https://www.legis.iowa.gov/docs/ico/chapter/99G.21.pdf" Type="http://schemas.openxmlformats.org/officeDocument/2006/relationships/hyperlink" Id="rId88"/>
    <Relationship TargetMode="External" Target="https://www.legis.iowa.gov/docs/ico/chapter/252J.8.pdf" Type="http://schemas.openxmlformats.org/officeDocument/2006/relationships/hyperlink" Id="rId89"/>
    <Relationship TargetMode="External" Target="https://www.legis.iowa.gov/docs/ico/chapter/272D.8.pdf" Type="http://schemas.openxmlformats.org/officeDocument/2006/relationships/hyperlink" Id="rId90"/>
    <Relationship TargetMode="External" Target="https://www.legis.iowa.gov/docs/ico/chapter/252J.8.pdf" Type="http://schemas.openxmlformats.org/officeDocument/2006/relationships/hyperlink" Id="rId91"/>
    <Relationship TargetMode="External" Target="https://www.legis.iowa.gov/docs/ico/chapter/252J.9.pdf" Type="http://schemas.openxmlformats.org/officeDocument/2006/relationships/hyperlink" Id="rId92"/>
    <Relationship TargetMode="External" Target="https://www.legis.iowa.gov/docs/ico/chapter/272D.8.pdf" Type="http://schemas.openxmlformats.org/officeDocument/2006/relationships/hyperlink" Id="rId93"/>
    <Relationship TargetMode="External" Target="https://www.legis.iowa.gov/docs/ico/chapter/272D.9.pdf" Type="http://schemas.openxmlformats.org/officeDocument/2006/relationships/hyperlink" Id="rId94"/>
    <Relationship TargetMode="External" Target="https://www.legis.iowa.gov/docs/ico/chapter/99G.9.pdf" Type="http://schemas.openxmlformats.org/officeDocument/2006/relationships/hyperlink" Id="rId95"/>
    <Relationship TargetMode="External" Target="https://www.legis.iowa.gov/docs/ico/chapter/99G.21.pdf" Type="http://schemas.openxmlformats.org/officeDocument/2006/relationships/hyperlink" Id="rId96"/>
    <Relationship TargetMode="External" Target="https://www.legis.iowa.gov/docs/ico/chapter/252J.8.pdf" Type="http://schemas.openxmlformats.org/officeDocument/2006/relationships/hyperlink" Id="rId97"/>
    <Relationship TargetMode="External" Target="https://www.legis.iowa.gov/docs/ico/chapter/252J.9.pdf" Type="http://schemas.openxmlformats.org/officeDocument/2006/relationships/hyperlink" Id="rId98"/>
    <Relationship TargetMode="External" Target="https://www.legis.iowa.gov/docs/ico/chapter/272D.8.pdf" Type="http://schemas.openxmlformats.org/officeDocument/2006/relationships/hyperlink" Id="rId99"/>
    <Relationship TargetMode="External" Target="https://www.legis.iowa.gov/docs/ico/chapter/272D.9.pdf" Type="http://schemas.openxmlformats.org/officeDocument/2006/relationships/hyperlink" Id="rId100"/>
    <Relationship TargetMode="External" Target="https://www.legis.iowa.gov/docs/iac/rule/531.12.16.pdf" Type="http://schemas.openxmlformats.org/officeDocument/2006/relationships/hyperlink" Id="rId101"/>
    <Relationship TargetMode="External" Target="https://www.legis.iowa.gov/docs/iac/rule/531.12.16.pdf" Type="http://schemas.openxmlformats.org/officeDocument/2006/relationships/hyperlink" Id="rId102"/>
    <Relationship TargetMode="External" Target="https://www.legis.iowa.gov/docs/iac/rule/531.12.16.pdf" Type="http://schemas.openxmlformats.org/officeDocument/2006/relationships/hyperlink" Id="rId103"/>
    <Relationship TargetMode="External" Target="https://www.legis.iowa.gov/docs/iac/rule/531.12.16.pdf" Type="http://schemas.openxmlformats.org/officeDocument/2006/relationships/hyperlink" Id="rId104"/>
    <Relationship TargetMode="External" Target="https://www.legis.iowa.gov/docs/iac/rule/531.12.16.pdf" Type="http://schemas.openxmlformats.org/officeDocument/2006/relationships/hyperlink" Id="rId105"/>
    <Relationship TargetMode="External" Target="https://www.legis.iowa.gov/docs/iac/rule/531.12.16.pdf" Type="http://schemas.openxmlformats.org/officeDocument/2006/relationships/hyperlink" Id="rId106"/>
    <Relationship TargetMode="External" Target="https://www.legis.iowa.gov/docs/iac/rule/531.12.16.pdf" Type="http://schemas.openxmlformats.org/officeDocument/2006/relationships/hyperlink" Id="rId107"/>
    <Relationship TargetMode="External" Target="https://www.legis.iowa.gov/docs/iac/rule/531.12.16.pdf" Type="http://schemas.openxmlformats.org/officeDocument/2006/relationships/hyperlink" Id="rId108"/>
    <Relationship TargetMode="External" Target="https://www.legis.iowa.gov/docs/iac/rule/531.12.16.pdf" Type="http://schemas.openxmlformats.org/officeDocument/2006/relationships/hyperlink" Id="rId109"/>
    <Relationship TargetMode="External" Target="https://www.legis.iowa.gov/docs/ico/chapter/99G.7.pdf" Type="http://schemas.openxmlformats.org/officeDocument/2006/relationships/hyperlink" Id="rId110"/>
    <Relationship TargetMode="External" Target="https://www.legis.iowa.gov/docs/ico/chapter/99G.26.pdf" Type="http://schemas.openxmlformats.org/officeDocument/2006/relationships/hyperlink" Id="rId111"/>
    <Relationship TargetMode="External" Target="https://www.legis.iowa.gov/docs/iac/chapter/531.14.pdf" Type="http://schemas.openxmlformats.org/officeDocument/2006/relationships/hyperlink" Id="rId112"/>
    <Relationship TargetMode="External" Target="https://www.legis.iowa.gov/docs/iac/chapter/531.14.pdf" Type="http://schemas.openxmlformats.org/officeDocument/2006/relationships/hyperlink" Id="rId113"/>
    <Relationship TargetMode="External" Target="https://www.legis.iowa.gov/docs/ico/chapter/99G.7.pdf" Type="http://schemas.openxmlformats.org/officeDocument/2006/relationships/hyperlink" Id="rId114"/>
    <Relationship TargetMode="External" Target="https://www.legis.iowa.gov/docs/ico/chapter/99G.26.pdf" Type="http://schemas.openxmlformats.org/officeDocument/2006/relationships/hyperlink" Id="rId1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