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PRIZES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531—11.1</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prize claim shall be entered in the name of a single individual or organization. A claim may be entered in the name of an organization only if the organization is a legal entity and possesses or has applied for a federal employer’s identification number (FEIN) as issued by the Internal Revenue Service. Groups, family units, organizations, clubs, or other organizations that are not legal entities, do not possess a FEIN, or have not applied for a FEIN must designate one individual in whose name the claim will be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By submitting a claim, a player agrees that the state, the lottery authority board, the lottery authority, and the officials, officers, and employees of each shall be discharged from all further liability upon payment of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By submitting a claim, the player also agrees that the prizewinner’s name may be used for publicity purposes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An original ticket or share must be presented before payment of any prize will occur. No reproductions, facsimiles, or copies of any kind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The player must sign the original ticket or share prior to presenting the ticket to another party for the purpose of checking or validating the ticket. The lottery and retailers shall verify that there is a signature on any ticket(s) submitted for checking or validation.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531—11.2</w:t>
      </w:r>
      <w:r>
        <w:rPr>
          <w:rFonts w:ascii="Times New Roman" w:hAnsi="Times New Roman"/>
          <w:b/>
          <w:i w:val="false"/>
          <w:color w:val="000000"/>
          <w:sz w:val="22"/>
        </w:rPr>
        <w:t xml:space="preserve">(99G) </w:t>
      </w:r>
      <w:r>
        <w:rPr>
          <w:rFonts w:ascii="Times New Roman" w:hAnsi="Times New Roman"/>
          <w:b/>
          <w:i w:val="false"/>
          <w:color w:val="000000"/>
          <w:sz w:val="22"/>
        </w:rPr>
        <w:t xml:space="preserve">Claim period. </w:t>
      </w:r>
      <w:r>
        <w:rPr>
          <w:rFonts w:ascii="Times New Roman" w:hAnsi="Times New Roman"/>
          <w:b w:val="false"/>
          <w:i w:val="false"/>
          <w:color w:val="000000"/>
          <w:sz w:val="22"/>
        </w:rPr>
        <w:t>A prize must be claimed within the time limit specifically designated in these rules or as specified by the lottery in the specific game rules.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531—11.3</w:t>
      </w:r>
      <w:r>
        <w:rPr>
          <w:rFonts w:ascii="Times New Roman" w:hAnsi="Times New Roman"/>
          <w:b/>
          <w:i w:val="false"/>
          <w:color w:val="000000"/>
          <w:sz w:val="22"/>
        </w:rPr>
        <w:t xml:space="preserve">(99G) </w:t>
      </w:r>
      <w:r>
        <w:rPr>
          <w:rFonts w:ascii="Times New Roman" w:hAnsi="Times New Roman"/>
          <w:b/>
          <w:i w:val="false"/>
          <w:color w:val="000000"/>
          <w:sz w:val="22"/>
        </w:rPr>
        <w:t xml:space="preserve">Invalid tickets not entitled to prize payment. </w:t>
      </w:r>
      <w:r>
        <w:rPr>
          <w:rFonts w:ascii="Times New Roman" w:hAnsi="Times New Roman"/>
          <w:b w:val="false"/>
          <w:i w:val="false"/>
          <w:color w:val="000000"/>
          <w:sz w:val="22"/>
        </w:rPr>
        <w:t>If a ticket presented to the lottery is invalid pursuant to the terms of these rules or the specific game rules, the ticket is not entitled to prize payment.</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1">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531—11.4</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is a bearer instrument. </w:t>
      </w:r>
      <w:r>
        <w:rPr>
          <w:rFonts w:ascii="Times New Roman" w:hAnsi="Times New Roman"/>
          <w:b w:val="false"/>
          <w:i w:val="false"/>
          <w:color w:val="000000"/>
          <w:sz w:val="22"/>
        </w:rPr>
        <w:t>A ticket is a bearer instrument until signed in the space designated on the ticket for signature if a signature space is provided. The person who signs the ticket is thereafter considered the owner of the ticket. All liability of the state, the lottery authority board, the lottery authority, the chief executive officer, and the employees of the lottery terminates upon payment.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531—11.5</w:t>
      </w:r>
      <w:r>
        <w:rPr>
          <w:rFonts w:ascii="Times New Roman" w:hAnsi="Times New Roman"/>
          <w:b/>
          <w:i w:val="false"/>
          <w:color w:val="000000"/>
          <w:sz w:val="22"/>
        </w:rPr>
        <w:t xml:space="preserve">(99G) </w:t>
      </w:r>
      <w:r>
        <w:rPr>
          <w:rFonts w:ascii="Times New Roman" w:hAnsi="Times New Roman"/>
          <w:b/>
          <w:i w:val="false"/>
          <w:color w:val="000000"/>
          <w:sz w:val="22"/>
        </w:rPr>
        <w:t xml:space="preserve">Assignment of prizes. </w:t>
      </w:r>
      <w:r>
        <w:rPr>
          <w:rFonts w:ascii="Times New Roman" w:hAnsi="Times New Roman"/>
          <w:b w:val="false"/>
          <w:i w:val="false"/>
          <w:color w:val="000000"/>
          <w:sz w:val="22"/>
        </w:rPr>
        <w:t>Payments of prizes shall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The lottery shall pay all prizes to only one person or one legal entity per winning ticket.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If a prize is payable in installments, all future installments of the prize must be made to the person or legal entity that received the initial installment of the prize or to a person designated by the court to receive payment following the prizewinner’s death, unless otherwise assigned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Payment of a prize may be made to the estate of a deceased prizewinner or to another person pursuant to an appropriate judicial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The right to control receipt of a lottery prize shall be substantially limited. See 26 U.S.C. 451 and Treas. 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1.451-2(a). The right to receive payment of a lottery prize or a future installment of a lottery prize shall not be sold, assigned or otherwise transferred in any manner without an appropriate judicial order or statutory authorization. An appropriate judicial order is an order of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In the event that a legal entity other than an individual is entitled to a lottery prize won jointly by more than one individual, the individuals originally entitled to share the prize cannot sell, assign or otherwise transfer their interest in the legal entity receiving prize payment or their right to receive future payments from the legal entity without an appropriate judicial order or statutory authorization. An appropriate judicial order is an order of a court of competent jurisdiction.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531—11.6</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payment to minors. </w:t>
      </w:r>
      <w:r>
        <w:rPr>
          <w:rFonts w:ascii="Times New Roman" w:hAnsi="Times New Roman"/>
          <w:b w:val="false"/>
          <w:i w:val="false"/>
          <w:color w:val="000000"/>
          <w:sz w:val="22"/>
        </w:rPr>
        <w:t>If the person entitled to a prize is under the age of 18, the payment of the prize may be made by delivery of cash or a check payable to the order of the minor or to a parent or legal guardian of the minor. Claim forms and tickets submitted by minors must be signed by a parent or legal guardian of the minor.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99G.30(3)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531—11.7</w:t>
      </w:r>
      <w:r>
        <w:rPr>
          <w:rFonts w:ascii="Times New Roman" w:hAnsi="Times New Roman"/>
          <w:b/>
          <w:i w:val="false"/>
          <w:color w:val="000000"/>
          <w:sz w:val="22"/>
        </w:rPr>
        <w:t xml:space="preserve">(99G) </w:t>
      </w:r>
      <w:r>
        <w:rPr>
          <w:rFonts w:ascii="Times New Roman" w:hAnsi="Times New Roman"/>
          <w:b/>
          <w:i w:val="false"/>
          <w:color w:val="000000"/>
          <w:sz w:val="22"/>
        </w:rPr>
        <w:t xml:space="preserve">Time of prize payment. </w:t>
      </w:r>
      <w:r>
        <w:rPr>
          <w:rFonts w:ascii="Times New Roman" w:hAnsi="Times New Roman"/>
          <w:b w:val="false"/>
          <w:i w:val="false"/>
          <w:color w:val="000000"/>
          <w:sz w:val="22"/>
        </w:rPr>
        <w:t>All prizes shall be paid within a reasonable time after a claim is verified by the lottery and a winner is determined. The date of the first installment payment of any prize to be paid in installment payments shall be the date the claim is validated and processed unless a different date is specified for a particular game in these rules or the specific game rules. Subsequent installment payments shall be made approximately weekly, monthly, or annually, from the date the claim is processed and validated in accordance with the type of prize won and the rules applicable to the prize. The lottery may, at any time, delay any prize payment in order to review a change in circumstances relative to the prize awarded, the payee, or the claim.</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531—11.8</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payable for the life of the winner. </w:t>
      </w:r>
      <w:r>
        <w:rPr>
          <w:rFonts w:ascii="Times New Roman" w:hAnsi="Times New Roman"/>
          <w:b w:val="false"/>
          <w:i w:val="false"/>
          <w:color w:val="000000"/>
          <w:sz w:val="22"/>
        </w:rPr>
        <w:t>If any prize is payable for the life of the winner, only an individual may claim and receive the prize for life. If a group, corporation, or other organization is the winner, the life of the winner shall be deemed to be 20 years.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2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531—11.9</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payable after death of winner. </w:t>
      </w:r>
      <w:r>
        <w:rPr>
          <w:rFonts w:ascii="Times New Roman" w:hAnsi="Times New Roman"/>
          <w:b w:val="false"/>
          <w:i w:val="false"/>
          <w:color w:val="000000"/>
          <w:sz w:val="22"/>
        </w:rPr>
        <w:t>All prizes and portions of prizes that remain unpaid at the time of the prizewinner’s death shall be payable to the court-appointed representative of the prizewinner’s estate or to a single individual pursuant to the terms of a final order closing the estate.</w:t>
      </w:r>
    </w:p>
    <w:p>
      <w:pPr>
        <w:spacing w:before="0" w:after="0"/>
        <w:ind w:left="120"/>
        <w:jc w:val="both"/>
      </w:pPr>
      <w:r>
        <w:rPr>
          <w:rFonts w:ascii="Times New Roman" w:hAnsi="Times New Roman"/>
          <w:b w:val="false"/>
          <w:i w:val="false"/>
          <w:color w:val="000000"/>
          <w:sz w:val="22"/>
        </w:rPr>
        <w:t>The lottery may withhold payment until it is satisfied that the proper payee has been identified, or it may petition the court to determine the proper payee. In making payment, the lottery may rely wholly on the presentation of a certified copy of the letters of appointment as an administrator, executor, or other personal representative for the prizewinner’s estate or on a certified copy of the final order closing the estate. Payment to the representative of the estate of the deceased owner of any prize winnings or to another individual pursuant to a final order closing the estate shall absolve the lottery authority and employees of the lottery authority of any further liability for payment of prize winnings.</w:t>
      </w:r>
    </w:p>
    <w:p>
      <w:pPr>
        <w:spacing w:before="0" w:after="0"/>
        <w:ind w:left="120"/>
        <w:jc w:val="both"/>
      </w:pPr>
      <w:r>
        <w:rPr>
          <w:rFonts w:ascii="Times New Roman" w:hAnsi="Times New Roman"/>
          <w:b w:val="false"/>
          <w:i w:val="false"/>
          <w:color w:val="000000"/>
          <w:sz w:val="22"/>
        </w:rPr>
        <w:t>If the winner received an annuitized prize funded through the Multi-State Lottery Association (MUSL) or any other multijurisdictional lottery organization in which the Iowa lottery participates as a member, the MUSL board or other organization board, as may be appropriate, in its sole discretion, upon the petition of the estate of the lottery winner (the “estate”), may accelerate the payment of all of the remaining lottery proceeds to the estate. If the winner received an annuitized prize funded solely through the sales from the Iowa lottery, the lottery board, in its sole discretion, upon the petition of the estate of the lottery winner (the “estate”), may accelerate the payment of all of the remaining lottery proceeds to the estate. If such a determination is made, then securities or cash held for the deceased lottery winner, that represents the present value of that portion of the future lottery payments that are to be accelerated, shall be distributed to the estate. The valuation of the securities and determination of the present value of the accelerated lottery payments shall be at the sole discretion of the board granting the petition.</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531—11.10</w:t>
      </w:r>
      <w:r>
        <w:rPr>
          <w:rFonts w:ascii="Times New Roman" w:hAnsi="Times New Roman"/>
          <w:b/>
          <w:i w:val="false"/>
          <w:color w:val="000000"/>
          <w:sz w:val="22"/>
        </w:rPr>
        <w:t xml:space="preserve">(99G) </w:t>
      </w:r>
      <w:r>
        <w:rPr>
          <w:rFonts w:ascii="Times New Roman" w:hAnsi="Times New Roman"/>
          <w:b/>
          <w:i w:val="false"/>
          <w:color w:val="000000"/>
          <w:sz w:val="22"/>
        </w:rPr>
        <w:t xml:space="preserve">Disability of prizewinner. </w:t>
      </w:r>
      <w:r>
        <w:rPr>
          <w:rFonts w:ascii="Times New Roman" w:hAnsi="Times New Roman"/>
          <w:b w:val="false"/>
          <w:i w:val="false"/>
          <w:color w:val="000000"/>
          <w:sz w:val="22"/>
        </w:rPr>
        <w:t>The lottery may petition any court of competent jurisdiction for a determination of the rightful payee for the payment of any prize winnings which are or may become due a person under a disability because of, but not limited to, underage, mental deficiency, or physical or mental incapacity.</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531—11.11</w:t>
      </w:r>
      <w:r>
        <w:rPr>
          <w:rFonts w:ascii="Times New Roman" w:hAnsi="Times New Roman"/>
          <w:b/>
          <w:i w:val="false"/>
          <w:color w:val="000000"/>
          <w:sz w:val="22"/>
        </w:rPr>
        <w:t xml:space="preserve">(99G) </w:t>
      </w:r>
      <w:r>
        <w:rPr>
          <w:rFonts w:ascii="Times New Roman" w:hAnsi="Times New Roman"/>
          <w:b/>
          <w:i w:val="false"/>
          <w:color w:val="000000"/>
          <w:sz w:val="22"/>
        </w:rPr>
        <w:t xml:space="preserve">Stolen or lost tickets. </w:t>
      </w:r>
      <w:r>
        <w:rPr>
          <w:rFonts w:ascii="Times New Roman" w:hAnsi="Times New Roman"/>
          <w:b w:val="false"/>
          <w:i w:val="false"/>
          <w:color w:val="000000"/>
          <w:sz w:val="22"/>
        </w:rPr>
        <w:t>The lottery has no responsibility for paying prizes attributable to stolen or lost tickets.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3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531—11.12</w:t>
      </w:r>
      <w:r>
        <w:rPr>
          <w:rFonts w:ascii="Times New Roman" w:hAnsi="Times New Roman"/>
          <w:b/>
          <w:i w:val="false"/>
          <w:color w:val="000000"/>
          <w:sz w:val="22"/>
        </w:rPr>
        <w:t xml:space="preserve">(99G) </w:t>
      </w:r>
      <w:r>
        <w:rPr>
          <w:rFonts w:ascii="Times New Roman" w:hAnsi="Times New Roman"/>
          <w:b/>
          <w:i w:val="false"/>
          <w:color w:val="000000"/>
          <w:sz w:val="22"/>
        </w:rPr>
        <w:t xml:space="preserve">Effect of game rules. </w:t>
      </w:r>
      <w:r>
        <w:rPr>
          <w:rFonts w:ascii="Times New Roman" w:hAnsi="Times New Roman"/>
          <w:b w:val="false"/>
          <w:i w:val="false"/>
          <w:color w:val="000000"/>
          <w:sz w:val="22"/>
        </w:rPr>
        <w:t xml:space="preserve">In purchasing a ticket, the player agrees to comply with Iowa Code Supplement chapter </w:t>
      </w:r>
      <w:hyperlink r:id="rId3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these rules, the specific game rules, lottery instructions and procedures, and the final decisions of the lottery. The lottery’s decisions and judgments in respect to the determination of winning tickets or any other dispute arising from the payment or awarding of prizes shall be final and binding upon all participants in the lottery. If a dispute between the lottery and a player occurs as to whether a ticket is a winning ticket and the prize is not paid, the lottery may, solely at the lottery’s option, replace the ticket with an unplayed ticket of equivalent price from any game or refund the price of the ticket. This shall be the sole and exclusive remedy of the player.</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531—11.13</w:t>
      </w:r>
      <w:r>
        <w:rPr>
          <w:rFonts w:ascii="Times New Roman" w:hAnsi="Times New Roman"/>
          <w:b/>
          <w:i w:val="false"/>
          <w:color w:val="000000"/>
          <w:sz w:val="22"/>
        </w:rPr>
        <w:t xml:space="preserve">(99G) </w:t>
      </w:r>
      <w:r>
        <w:rPr>
          <w:rFonts w:ascii="Times New Roman" w:hAnsi="Times New Roman"/>
          <w:b/>
          <w:i w:val="false"/>
          <w:color w:val="000000"/>
          <w:sz w:val="22"/>
        </w:rPr>
        <w:t xml:space="preserve">Disputed prizes. </w:t>
      </w:r>
      <w:r>
        <w:rPr>
          <w:rFonts w:ascii="Times New Roman" w:hAnsi="Times New Roman"/>
          <w:b w:val="false"/>
          <w:i w:val="false"/>
          <w:color w:val="000000"/>
          <w:sz w:val="22"/>
        </w:rPr>
        <w:t>If there is a dispute, or it appears that a dispute may occur relative to the payment of any prize, the lottery may refrain from making payment of the prize pending a final determination by the lottery or by a court of competent jurisdiction as to the proper payment of the prize.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531—11.14</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payment for prizes paid over a term exceeding ten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A prizewinner who wins a prize that is payable over a term exceeding ten years may, not later than 60 days after the player became entitled to the prize, elect to have the prize paid in cash or by annuity consistent with 26 U.S.C. §451. If the payment election is not made by the prizewinner at the time of purchase or is not made within 60 days after the prizewinner becomes entitled to the prize, then the prize shall be paid as an annuity prize. An election for an annuity payment made by a prizewinner before the ticket purchase or by system default or design may be changed to a cash payment at the election of the prizewinner until the expiration of 60 days after the prizewinner becomes entitled to the prize. The election to take the cash payment may be made at the earlier of the following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of the prize claim;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prizewinner becomes entitled to the prize.</w:t>
      </w:r>
    </w:p>
    <w:p>
      <w:pPr>
        <w:spacing w:before="0" w:after="0"/>
        <w:ind w:left="120"/>
        <w:jc w:val="both"/>
      </w:pPr>
      <w:r>
        <w:rPr>
          <w:rFonts w:ascii="Times New Roman" w:hAnsi="Times New Roman"/>
          <w:b w:val="false"/>
          <w:i w:val="false"/>
          <w:color w:val="000000"/>
          <w:sz w:val="22"/>
        </w:rPr>
        <w:t>An election made after the prizewinner becomes entitled to the prize is final and cannot be revoked, withdrawn or otherwise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In the event there is more than one prizewinner for a prize paid over a period exceeding ten years, the shares of the prize shall be determined by dividing the cash available in the prize pool equally among all the winners of the prize. Winners who elect a cash payment shall be paid their share in a single cash payment. The annuitized option prize shall be determined by multiplying a winner’s share of the prize pool by the annuity factor used by the lottery. The lottery’s annuity factor is determined by the best price obtained through a competitive bid of qualified, preapproved brokers or insurance companies made after it is determined that the prize is to be paid as an annuity prize or after the expiration of 60 days after the prizewinner becomes entitled to the prize.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The lottery shall not be responsible or liable for changes in the advertised or estimated annuity prize amount and the actual amount of the prize value purchased from the time the player becomes eligible for the prize and the time the prizewinner claims the prize.</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4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8/28/03—published 9/17/03, effective 8/28/03]</w:t>
      </w:r>
    </w:p>
    <w:p>
      <w:pPr>
        <w:spacing w:before="0" w:after="0"/>
        <w:ind w:left="120"/>
        <w:jc w:val="center"/>
      </w:pPr>
      <w:r>
        <w:rPr>
          <w:rFonts w:ascii="Times New Roman" w:hAnsi="Times New Roman"/>
          <w:b w:val="false"/>
          <w:i w:val="false"/>
          <w:color w:val="000000"/>
          <w:sz w:val="21"/>
        </w:rPr>
        <w:t>[Filed 3/12/04, Notice 9/17/03—published 3/31/04, effective 5/7/04]</w:t>
      </w:r>
    </w:p>
    <w:p>
      <w:pPr>
        <w:spacing w:before="0" w:after="0"/>
        <w:ind w:left="120"/>
        <w:jc w:val="center"/>
      </w:pPr>
      <w:r>
        <w:rPr>
          <w:rFonts w:ascii="Times New Roman" w:hAnsi="Times New Roman"/>
          <w:b w:val="false"/>
          <w:i w:val="false"/>
          <w:color w:val="000000"/>
          <w:sz w:val="21"/>
        </w:rPr>
        <w:t>[Filed emergency 6/29/04—published 7/21/04, effective 6/29/04]</w:t>
      </w:r>
    </w:p>
    <w:p>
      <w:pPr>
        <w:spacing w:before="0" w:after="0"/>
        <w:ind w:left="120"/>
        <w:jc w:val="center"/>
      </w:pPr>
      <w:r>
        <w:rPr>
          <w:rFonts w:ascii="Times New Roman" w:hAnsi="Times New Roman"/>
          <w:b w:val="false"/>
          <w:i w:val="false"/>
          <w:color w:val="000000"/>
          <w:sz w:val="21"/>
        </w:rPr>
        <w:t>[Filed emergency 2/20/08—published 3/12/08, effective 3/15/08]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21.pdf" Type="http://schemas.openxmlformats.org/officeDocument/2006/relationships/hyperlink" Id="rId6"/>
    <Relationship TargetMode="External" Target="https://www.legis.iowa.gov/docs/ico/chapter/99G.31.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31.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31.pdf" Type="http://schemas.openxmlformats.org/officeDocument/2006/relationships/hyperlink" Id="rId13"/>
    <Relationship TargetMode="External" Target="https://www.legis.iowa.gov/docs/ico/chapter/99G.9.pdf" Type="http://schemas.openxmlformats.org/officeDocument/2006/relationships/hyperlink" Id="rId14"/>
    <Relationship TargetMode="External" Target="https://www.legis.iowa.gov/docs/ico/chapter/99G.21.pdf" Type="http://schemas.openxmlformats.org/officeDocument/2006/relationships/hyperlink" Id="rId15"/>
    <Relationship TargetMode="External" Target="https://www.legis.iowa.gov/docs/ico/chapter/99G.31.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1.pdf" Type="http://schemas.openxmlformats.org/officeDocument/2006/relationships/hyperlink" Id="rId18"/>
    <Relationship TargetMode="External" Target="https://www.legis.iowa.gov/docs/ico/chapter/99G.3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0.pdf" Type="http://schemas.openxmlformats.org/officeDocument/2006/relationships/hyperlink" Id="rId22"/>
    <Relationship TargetMode="External" Target="https://www.legis.iowa.gov/docs/ico/chapter/99G.31.pdf" Type="http://schemas.openxmlformats.org/officeDocument/2006/relationships/hyperlink" Id="rId23"/>
    <Relationship TargetMode="External" Target="https://www.legis.iowa.gov/docs/ico/chapter/99G.9.pdf" Type="http://schemas.openxmlformats.org/officeDocument/2006/relationships/hyperlink" Id="rId24"/>
    <Relationship TargetMode="External" Target="https://www.legis.iowa.gov/docs/ico/chapter/99G.21.pdf" Type="http://schemas.openxmlformats.org/officeDocument/2006/relationships/hyperlink" Id="rId25"/>
    <Relationship TargetMode="External" Target="https://www.legis.iowa.gov/docs/ico/chapter/99G.30.pdf" Type="http://schemas.openxmlformats.org/officeDocument/2006/relationships/hyperlink" Id="rId26"/>
    <Relationship TargetMode="External" Target="https://www.legis.iowa.gov/docs/ico/chapter/99G.9.pdf" Type="http://schemas.openxmlformats.org/officeDocument/2006/relationships/hyperlink" Id="rId27"/>
    <Relationship TargetMode="External" Target="https://www.legis.iowa.gov/docs/ico/chapter/99G.21.pdf" Type="http://schemas.openxmlformats.org/officeDocument/2006/relationships/hyperlink" Id="rId28"/>
    <Relationship TargetMode="External" Target="https://www.legis.iowa.gov/docs/ico/chapter/99G.31.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1.pdf" Type="http://schemas.openxmlformats.org/officeDocument/2006/relationships/hyperlink" Id="rId31"/>
    <Relationship TargetMode="External" Target="https://www.legis.iowa.gov/docs/ico/chapter/99G.31.pdf" Type="http://schemas.openxmlformats.org/officeDocument/2006/relationships/hyperlink" Id="rId32"/>
    <Relationship TargetMode="External" Target="https://www.legis.iowa.gov/docs/ico/chapter/99G.9.pdf" Type="http://schemas.openxmlformats.org/officeDocument/2006/relationships/hyperlink" Id="rId33"/>
    <Relationship TargetMode="External" Target="https://www.legis.iowa.gov/docs/ico/chapter/99G.21.pdf" Type="http://schemas.openxmlformats.org/officeDocument/2006/relationships/hyperlink" Id="rId34"/>
    <Relationship TargetMode="External" Target="https://www.legis.iowa.gov/docs/ico/chapter/99G.31.pdf" Type="http://schemas.openxmlformats.org/officeDocument/2006/relationships/hyperlink" Id="rId35"/>
    <Relationship TargetMode="External" Target="https://www.legis.iowa.gov/docs/ico/chapter/99G.9.pdf" Type="http://schemas.openxmlformats.org/officeDocument/2006/relationships/hyperlink" Id="rId36"/>
    <Relationship TargetMode="External" Target="https://www.legis.iowa.gov/docs/ico/chapter/99G.21.pdf" Type="http://schemas.openxmlformats.org/officeDocument/2006/relationships/hyperlink" Id="rId37"/>
    <Relationship TargetMode="External" Target="https://www.legis.iowa.gov/docs/ico/chapter/99G.31.pdf" Type="http://schemas.openxmlformats.org/officeDocument/2006/relationships/hyperlink" Id="rId38"/>
    <Relationship TargetMode="External" Target="https://www.legis.iowa.gov/docs/ico/chapter/99G.pdf" Type="http://schemas.openxmlformats.org/officeDocument/2006/relationships/hyperlink" Id="rId39"/>
    <Relationship TargetMode="External" Target="https://www.legis.iowa.gov/docs/ico/chapter/99G.9.pdf" Type="http://schemas.openxmlformats.org/officeDocument/2006/relationships/hyperlink" Id="rId40"/>
    <Relationship TargetMode="External" Target="https://www.legis.iowa.gov/docs/ico/chapter/99G.21.pdf" Type="http://schemas.openxmlformats.org/officeDocument/2006/relationships/hyperlink" Id="rId41"/>
    <Relationship TargetMode="External" Target="https://www.legis.iowa.gov/docs/ico/chapter/99G.31.pdf" Type="http://schemas.openxmlformats.org/officeDocument/2006/relationships/hyperlink" Id="rId42"/>
    <Relationship TargetMode="External" Target="https://www.legis.iowa.gov/docs/ico/chapter/99G.9.pdf" Type="http://schemas.openxmlformats.org/officeDocument/2006/relationships/hyperlink" Id="rId43"/>
    <Relationship TargetMode="External" Target="https://www.legis.iowa.gov/docs/ico/chapter/99G.21.pdf" Type="http://schemas.openxmlformats.org/officeDocument/2006/relationships/hyperlink" Id="rId44"/>
    <Relationship TargetMode="External" Target="https://www.legis.iowa.gov/docs/ico/chapter/99G.31.pdf" Type="http://schemas.openxmlformats.org/officeDocument/2006/relationships/hyperlink" Id="rId45"/>
    <Relationship TargetMode="External" Target="https://www.legis.iowa.gov/docs/ico/chapter/99G.9.pdf" Type="http://schemas.openxmlformats.org/officeDocument/2006/relationships/hyperlink" Id="rId46"/>
    <Relationship TargetMode="External" Target="https://www.legis.iowa.gov/docs/ico/chapter/99G.21.pdf" Type="http://schemas.openxmlformats.org/officeDocument/2006/relationships/hyperlink" Id="rId47"/>
    <Relationship TargetMode="External" Target="https://www.legis.iowa.gov/docs/ico/chapter/99G.31.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