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APPLICATION FOR, MODIFICATION OF, AND TERMINATION OF BENEFITS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495—11.1</w:t>
      </w:r>
      <w:r>
        <w:rPr>
          <w:rFonts w:ascii="Times New Roman" w:hAnsi="Times New Roman"/>
          <w:b/>
          <w:i w:val="false"/>
          <w:color w:val="000000"/>
          <w:sz w:val="22"/>
        </w:rPr>
        <w:t xml:space="preserve">(97B) </w:t>
      </w:r>
      <w:r>
        <w:rPr>
          <w:rFonts w:ascii="Times New Roman" w:hAnsi="Times New Roman"/>
          <w:b/>
          <w:i w:val="false"/>
          <w:color w:val="000000"/>
          <w:sz w:val="22"/>
        </w:rPr>
        <w:t xml:space="preserve">Application for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Form used. </w:t>
      </w:r>
      <w:r>
        <w:rPr>
          <w:rFonts w:ascii="Times New Roman" w:hAnsi="Times New Roman"/>
          <w:b w:val="false"/>
          <w:i w:val="false"/>
          <w:color w:val="000000"/>
          <w:sz w:val="22"/>
        </w:rPr>
        <w:t>It is the responsibility of the member to notify IPERS of the intention to retire. This should be done 60 days before the expected retirement date. The application for monthly retirement benefits is obtainable from IPERS, 7401 Register Drive, P.O. Box 9117, Des Moines, Iowa 50306-9117. The printed application form shall be completed by each member applying for benefits and shall be mailed, sent by fax or brought in person to IPERS. An application that is incomplete or incorrectly completed will be returned to the member. To be considered complete, an application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date of birth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Option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Option 1 is selected, the death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Option 4 or 6 is selected, the contingent annuitant’s name, social security number, proof of date of birth, and relationship to member. The member must designate the survivor benefit percentage, which shall be limited to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hundred percent of the member’s benefit amount.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Seventy-five percent of the member’s benefit amount.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Fifty percent of the member’s benefit amount.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Twenty-five percent of the member’s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Option 1, 2, or 5 is selected, a list of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member has been terminated less than one year, or is applying for disability benefits, the employer certification page must be completed by the employer unless the employer has provided the termination date and date of the last paycheck on the monthly wage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Signature of member and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member has no spouse, “NONE” must be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member is applying for regular disability benefits, a copy of the award letter from the Social Security Administration or railroad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indication whether the member is a U.S. citizen, resident alien, or non-U.S. citizen.</w:t>
      </w:r>
    </w:p>
    <w:p>
      <w:pPr>
        <w:spacing w:before="0" w:after="0"/>
        <w:ind w:left="120"/>
        <w:jc w:val="both"/>
      </w:pPr>
      <w:r>
        <w:rPr>
          <w:rFonts w:ascii="Times New Roman" w:hAnsi="Times New Roman"/>
          <w:b w:val="false"/>
          <w:i w:val="false"/>
          <w:color w:val="000000"/>
          <w:sz w:val="22"/>
        </w:rPr>
        <w:t>A retirement application is deemed to be valid and binding on the date the first payment is paid. Members shall not cancel their applications, change their option choice, or change an IPERS option containing contingent annuitant benefits after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Proof required in connection with application. </w:t>
      </w:r>
      <w:r>
        <w:rPr>
          <w:rFonts w:ascii="Times New Roman" w:hAnsi="Times New Roman"/>
          <w:b w:val="false"/>
          <w:i w:val="false"/>
          <w:color w:val="000000"/>
          <w:sz w:val="22"/>
        </w:rPr>
        <w:t>Proof of date of birth to be submitted with an application for benefits shall be in the form of a birth certificate, a U.S. passport, an infant baptismal certificate, an identification card or driver’s license issued by the state of Iowa, a state identification card that is issued in compliance with the REAL ID Act of 2005, or a driver’s license that is issued in compliance with the REAL ID Act of 2005. If these records do not exist, the applicant shall submit two other documents or records which will verify the day, month and year of birth. A photographic identification record may be accepted even if now expired unless the passage of time has made it impossible to determine if the photographic identification record is that of the applicant. The following records or documents are among those deemed acceptable to IPERS as proof of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United States census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Military record or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Naturalization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marriage license showing age of applicant in years, months and days on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life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in a school’s administrative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official document from the U.S. Citizenship and Immigration Services, such as a “green card,” containing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Driver’s license or Iowa nondriver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Adoption papers;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document or record ten or more years old, or certification from the custodian of such records which verifies the day, month, and year of birth.</w:t>
      </w:r>
    </w:p>
    <w:p>
      <w:pPr>
        <w:spacing w:before="0" w:after="0"/>
        <w:ind w:left="120"/>
        <w:jc w:val="both"/>
      </w:pPr>
      <w:r>
        <w:rPr>
          <w:rFonts w:ascii="Times New Roman" w:hAnsi="Times New Roman"/>
          <w:b w:val="false"/>
          <w:i w:val="false"/>
          <w:color w:val="000000"/>
          <w:sz w:val="22"/>
        </w:rPr>
        <w:t>If the member, the member’s representative, or the member’s beneficiary is unable or unwilling to provide proof of birth, or in the case of death, proof of death, IPERS may rely on such resources as it has available, including but not limited to records from the Social Security Administration, Iowa division of records and statistics, IPERS’ own internal records, or reports derived from other public records, and other departmental or governmental records to which IPERS may have access.</w:t>
      </w:r>
    </w:p>
    <w:p>
      <w:pPr>
        <w:spacing w:before="0" w:after="0"/>
        <w:ind w:left="120"/>
        <w:jc w:val="both"/>
      </w:pPr>
      <w:r>
        <w:rPr>
          <w:rFonts w:ascii="Times New Roman" w:hAnsi="Times New Roman"/>
          <w:b w:val="false"/>
          <w:i w:val="false"/>
          <w:color w:val="000000"/>
          <w:sz w:val="22"/>
        </w:rPr>
        <w:t xml:space="preserve">IPERS is required to begin making payments to a member or beneficiary who has reached the required beginning date specified by </w:t>
      </w:r>
      <w:r>
        <w:rPr>
          <w:rFonts w:ascii="Times New Roman" w:hAnsi="Times New Roman"/>
          <w:b w:val="false"/>
          <w:i w:val="false"/>
          <w:color w:val="000000"/>
          <w:sz w:val="22"/>
        </w:rPr>
        <w:t>Internal Revenue Code Section 401(a)(9)</w:t>
      </w:r>
      <w:r>
        <w:rPr>
          <w:rFonts w:ascii="Times New Roman" w:hAnsi="Times New Roman"/>
          <w:b w:val="false"/>
          <w:i w:val="false"/>
          <w:color w:val="000000"/>
          <w:sz w:val="22"/>
        </w:rPr>
        <w:t xml:space="preserve">. In order to begin making such payments and to protect IPERS’ status as a plan qualified under </w:t>
      </w:r>
      <w:r>
        <w:rPr>
          <w:rFonts w:ascii="Times New Roman" w:hAnsi="Times New Roman"/>
          <w:b w:val="false"/>
          <w:i w:val="false"/>
          <w:color w:val="000000"/>
          <w:sz w:val="22"/>
        </w:rPr>
        <w:t>Internal Revenue Code Section 401(a)</w:t>
      </w:r>
      <w:r>
        <w:rPr>
          <w:rFonts w:ascii="Times New Roman" w:hAnsi="Times New Roman"/>
          <w:b w:val="false"/>
          <w:i w:val="false"/>
          <w:color w:val="000000"/>
          <w:sz w:val="22"/>
        </w:rPr>
        <w:t>, IPERS may rely on its internal records with regard to date of birth, if the member or beneficiary is unable or unwilling to provide the proofs required by this subrule within 30 days after written notification of IPERS’ intent to begin mandatory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Benefits estimates. </w:t>
      </w:r>
      <w:r>
        <w:rPr>
          <w:rFonts w:ascii="Times New Roman" w:hAnsi="Times New Roman"/>
          <w:b w:val="false"/>
          <w:i w:val="false"/>
          <w:color w:val="000000"/>
          <w:sz w:val="22"/>
        </w:rPr>
        <w:t xml:space="preserve">Prior to submitting an application for benefits, a member may request IPERS to prepare estimates of projected benefits under the various options as described under Iowa Code section </w:t>
      </w:r>
      <w:hyperlink r:id="rId5">
        <w:r>
          <w:rPr>
            <w:rStyle w:val="Hyperlink"/>
            <w:rFonts w:ascii="Times New Roman" w:hAnsi="Times New Roman"/>
            <w:b w:val="false"/>
            <w:i w:val="false"/>
            <w:color w:val="000000"/>
            <w:sz w:val="22"/>
          </w:rPr>
          <w:t>97B.51</w:t>
        </w:r>
      </w:hyperlink>
      <w:r>
        <w:rPr>
          <w:rFonts w:ascii="Times New Roman" w:hAnsi="Times New Roman"/>
          <w:b w:val="false"/>
          <w:i w:val="false"/>
          <w:color w:val="000000"/>
          <w:sz w:val="22"/>
        </w:rPr>
        <w:t xml:space="preserve">. A benefit estimate shall not bind IPERS to payment of the projected benefits under the various options specified in Iowa Code chapter </w:t>
      </w:r>
      <w:hyperlink r:id="rId6">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A member cannot rely on the benefit estimate in making any retirement-related decision or taking any action with respect to the member’s account, nor shall IPERS assume any liability for such actions. An estimate will not include deductions for a QDRO or any other legal assignments or orders on a member’s account, unless specifically requested by the member. A member’s actual benefit can only be known and officially calculated when an eligible member applies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Revocation of application. </w:t>
      </w:r>
      <w:r>
        <w:rPr>
          <w:rFonts w:ascii="Times New Roman" w:hAnsi="Times New Roman"/>
          <w:b w:val="false"/>
          <w:i w:val="false"/>
          <w:color w:val="000000"/>
          <w:sz w:val="22"/>
        </w:rPr>
        <w:t xml:space="preserve">If IPERS determines an application for benefits is invalid for any reason, IPERS shall revoke, in whole or in pertinent part, the application for benefits and the recipient shall repay all payments made under the revoked application or all payments made pursuant to the revoked part of the application. The terms of repayment shall be subject to the provisions of </w:t>
      </w:r>
      <w:hyperlink r:id="rId7">
        <w:r>
          <w:rPr>
            <w:rStyle w:val="Hyperlink"/>
            <w:rFonts w:ascii="Times New Roman" w:hAnsi="Times New Roman"/>
            <w:b w:val="false"/>
            <w:i w:val="false"/>
            <w:color w:val="000000"/>
            <w:sz w:val="22"/>
          </w:rPr>
          <w:t>495—11.7</w:t>
        </w:r>
      </w:hyperlink>
      <w:r>
        <w:rPr>
          <w:rFonts w:ascii="Times New Roman" w:hAnsi="Times New Roman"/>
          <w:b w:val="false"/>
          <w:i w:val="false"/>
          <w:color w:val="000000"/>
          <w:sz w:val="22"/>
        </w:rPr>
        <w:t>(97B).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495—11.2</w:t>
      </w:r>
      <w:r>
        <w:rPr>
          <w:rFonts w:ascii="Times New Roman" w:hAnsi="Times New Roman"/>
          <w:b/>
          <w:i w:val="false"/>
          <w:color w:val="000000"/>
          <w:sz w:val="22"/>
        </w:rPr>
        <w:t xml:space="preserve">(97B) </w:t>
      </w:r>
      <w:r>
        <w:rPr>
          <w:rFonts w:ascii="Times New Roman" w:hAnsi="Times New Roman"/>
          <w:b/>
          <w:i w:val="false"/>
          <w:color w:val="000000"/>
          <w:sz w:val="22"/>
        </w:rPr>
        <w:t xml:space="preserve">Retirement benefits and the age reduction factor.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Normal retirement.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shall be eligible for monthly retirement benefits with no age reduction effective with the first of the month in which the member attains the age of 65, if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1998, a member shall be eligible for full monthly retirement benefits with no age reduction effective with the first of the month in which the member attains the age of 62, if the member has 20 full years of service and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July 1, 1997, a member shall be eligible to receive monthly retirement benefits with no age reduction effective the first of the month in which the member’s age on the last birthday and the member’s years of service equal or exceed 88, provided that the member is at least the age of 55 and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Early retirement. </w:t>
      </w:r>
      <w:r>
        <w:rPr>
          <w:rFonts w:ascii="Times New Roman" w:hAnsi="Times New Roman"/>
          <w:b w:val="false"/>
          <w:i w:val="false"/>
          <w:color w:val="000000"/>
          <w:sz w:val="22"/>
        </w:rPr>
        <w:t>A member shall be eligible to receive benefits for early retirement effective with the first of the month in which the member attains the age of 55 or the first of any month after attaining the age of 55 before the member’s normal retirement date, provided the date is after the last day of service and the member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Aged 70 and older retirees. </w:t>
      </w:r>
      <w:r>
        <w:rPr>
          <w:rFonts w:ascii="Times New Roman" w:hAnsi="Times New Roman"/>
          <w:b w:val="false"/>
          <w:i w:val="false"/>
          <w:color w:val="000000"/>
          <w:sz w:val="22"/>
        </w:rPr>
        <w:t>A member shall be eligible to receive monthly retirement benefits with no age reduction effective with the first day of the month in which the member attains the age of 70, even if the member continues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Required beginning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foregoing, IPERS shall commence payment of a member’s retirement benefit under Iowa Code sections </w:t>
      </w:r>
      <w:hyperlink r:id="rId8">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(under Option 2) no later than the required beginning date, even if the member has not submitted the application for benefits. If the lump sum actuarial equivalent could have been elected by the member, payments shall be made in such a lump sum rather than as a monthly allowance. The “required beginning date” is defined as the later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April 1 of the year following the year that the member attains the applicable age, determined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who turned age 72 before 2023, the applicable age is age 72 (or age 70 ½ if they were born before July 1, 1949),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who will turn age 72 after 2022 and age 73 before 2033, the applicable age is age 73;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April 1 of the year following the year that the member actually terminates all employment with employers covered under Iowa Code chapter </w:t>
      </w:r>
      <w:hyperlink r:id="rId9">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IPERS distributes a member’s benefits without the member’s consent in order to begin benefits on or before the required beginning date, the member may elect to receive benefits under an option other than the default option described above, or as a refund, if the member contacts IPERS in writing within 60 days of the first mandatory distribution. IPERS shall inform the member which adjustments or repayments are required in order to make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member cannot be located to commence payment on or before the required beginning date described above, the member’s benefit shall be forfeited. However, if a member later contacts IPERS and wishes to file an application for retirement benefits, the member’s benefits shall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benefits, the life expectancy of a member, a member’s spouse, or a member’s beneficiary shall not be recalculated after benefits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 IPERS member has a qualified domestic relations order (QDRO) on file when a mandatory distribution is required, and the QDRO requires the member to choose a specific retirement option, IPERS shall pay benefits under the option required by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color w:val="000000"/>
          <w:sz w:val="22"/>
        </w:rPr>
        <w:t xml:space="preserve">Mandatory distribution of small inactive accounts. </w:t>
      </w:r>
      <w:r>
        <w:rPr>
          <w:rFonts w:ascii="Times New Roman" w:hAnsi="Times New Roman"/>
          <w:b w:val="false"/>
          <w:i w:val="false"/>
          <w:color w:val="000000"/>
          <w:sz w:val="22"/>
        </w:rPr>
        <w:t xml:space="preserve">As soon as practicable after July 1, 2004, IPERS shall distribute small inactive accounts to members and beneficiaries as authorized in Iowa Code section </w:t>
      </w:r>
      <w:hyperlink r:id="rId10">
        <w:r>
          <w:rPr>
            <w:rStyle w:val="Hyperlink"/>
            <w:rFonts w:ascii="Times New Roman" w:hAnsi="Times New Roman"/>
            <w:b w:val="false"/>
            <w:i w:val="false"/>
            <w:color w:val="000000"/>
            <w:sz w:val="22"/>
          </w:rPr>
          <w:t>97B.48(5)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color w:val="000000"/>
          <w:sz w:val="22"/>
        </w:rPr>
        <w:t xml:space="preserve">Federal tax code limitation for selection of survivor percentages for same gender spouses.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2/19/14</w:t>
      </w:r>
      <w:r>
        <w:rPr>
          <w:rFonts w:ascii="Times New Roman" w:hAnsi="Times New Roman"/>
          <w:b w:val="false"/>
          <w:i w:val="false"/>
          <w:color w:val="000000"/>
          <w:sz w:val="22"/>
        </w:rPr>
        <w:t>, effective 3/26/14.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495—11.3</w:t>
      </w:r>
      <w:r>
        <w:rPr>
          <w:rFonts w:ascii="Times New Roman" w:hAnsi="Times New Roman"/>
          <w:b/>
          <w:i w:val="false"/>
          <w:color w:val="000000"/>
          <w:sz w:val="22"/>
        </w:rPr>
        <w:t xml:space="preserve">(97B) </w:t>
      </w:r>
      <w:r>
        <w:rPr>
          <w:rFonts w:ascii="Times New Roman" w:hAnsi="Times New Roman"/>
          <w:b/>
          <w:i w:val="false"/>
          <w:color w:val="000000"/>
          <w:sz w:val="22"/>
        </w:rPr>
        <w:t xml:space="preserve">First month of entitlement (FME).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member shall submit a written application to IPERS setting forth the retirement date, provided the member has attained at least age 55 by the retirement date and the retirement date is after the member’s last day of service. A member’s first month of entitlement shall be no earlier than the first day of the first month after the member’s date of termination from employment or, if later, the month provided for under subrule </w:t>
      </w:r>
      <w:hyperlink r:id="rId11">
        <w:r>
          <w:rPr>
            <w:rStyle w:val="Hyperlink"/>
            <w:rFonts w:ascii="Times New Roman" w:hAnsi="Times New Roman"/>
            <w:b w:val="false"/>
            <w:i w:val="false"/>
            <w:color w:val="000000"/>
            <w:sz w:val="22"/>
          </w:rPr>
          <w:t>11.3(2)</w:t>
        </w:r>
      </w:hyperlink>
      <w:r>
        <w:rPr>
          <w:rFonts w:ascii="Times New Roman" w:hAnsi="Times New Roman"/>
          <w:b w:val="false"/>
          <w:i w:val="false"/>
          <w:color w:val="000000"/>
          <w:sz w:val="22"/>
        </w:rPr>
        <w:t>. No payment shall be made for any month prior to the month the completed application for benefits is received by IPERS.</w:t>
      </w:r>
    </w:p>
    <w:p>
      <w:pPr>
        <w:spacing w:before="0" w:after="0"/>
        <w:ind w:left="120"/>
        <w:jc w:val="both"/>
      </w:pPr>
      <w:r>
        <w:rPr>
          <w:rFonts w:ascii="Times New Roman" w:hAnsi="Times New Roman"/>
          <w:b w:val="false"/>
          <w:i w:val="false"/>
          <w:color w:val="000000"/>
          <w:sz w:val="22"/>
        </w:rPr>
        <w:t>If a member files a retirement application but fails to select a valid first month of entitlement, IPERS will select by default the earliest month possible. A member may appeal this default selection by sending written notice of the appeal postmarked on or before 30 days after a notice of the default selection was mailed to the member. Notice of the default selection is deemed sufficient if sent to the member at the member’s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Additional FME provisions. </w:t>
      </w:r>
      <w:r>
        <w:rPr>
          <w:rFonts w:ascii="Times New Roman" w:hAnsi="Times New Roman"/>
          <w:b w:val="false"/>
          <w:i w:val="false"/>
          <w:color w:val="000000"/>
          <w:sz w:val="22"/>
        </w:rPr>
        <w:t xml:space="preserve">Effective January 1, 2001, employees of a school corporation who are permitted by the terms of their employment contracts to receive their annual salaries in monthly installments over periods ranging from 9 to 12 months may retire at the end of a school year and receive trailing wages through the end of the contract year if they have completely fulfilled their contract obligations at the time of retirement. For purposes of this paragraph, “school corporation” means body politic described in Iowa Code sections </w:t>
      </w:r>
      <w:hyperlink r:id="rId12">
        <w:r>
          <w:rPr>
            <w:rStyle w:val="Hyperlink"/>
            <w:rFonts w:ascii="Times New Roman" w:hAnsi="Times New Roman"/>
            <w:b w:val="false"/>
            <w:i w:val="false"/>
            <w:color w:val="000000"/>
            <w:sz w:val="22"/>
          </w:rPr>
          <w:t>260C.16</w:t>
        </w:r>
      </w:hyperlink>
      <w:r>
        <w:rPr>
          <w:rFonts w:ascii="Times New Roman" w:hAnsi="Times New Roman"/>
          <w:b w:val="false"/>
          <w:i w:val="false"/>
          <w:color w:val="000000"/>
          <w:sz w:val="22"/>
        </w:rPr>
        <w:t xml:space="preserve"> (community colleges), </w:t>
      </w:r>
      <w:hyperlink r:id="rId13">
        <w:r>
          <w:rPr>
            <w:rStyle w:val="Hyperlink"/>
            <w:rFonts w:ascii="Times New Roman" w:hAnsi="Times New Roman"/>
            <w:b w:val="false"/>
            <w:i w:val="false"/>
            <w:color w:val="000000"/>
            <w:sz w:val="22"/>
          </w:rPr>
          <w:t>273.2</w:t>
        </w:r>
      </w:hyperlink>
      <w:r>
        <w:rPr>
          <w:rFonts w:ascii="Times New Roman" w:hAnsi="Times New Roman"/>
          <w:b w:val="false"/>
          <w:i w:val="false"/>
          <w:color w:val="000000"/>
          <w:sz w:val="22"/>
        </w:rPr>
        <w:t xml:space="preserve"> (area education agencies) and </w:t>
      </w:r>
      <w:hyperlink r:id="rId14">
        <w:r>
          <w:rPr>
            <w:rStyle w:val="Hyperlink"/>
            <w:rFonts w:ascii="Times New Roman" w:hAnsi="Times New Roman"/>
            <w:b w:val="false"/>
            <w:i w:val="false"/>
            <w:color w:val="000000"/>
            <w:sz w:val="22"/>
          </w:rPr>
          <w:t>273.1</w:t>
        </w:r>
      </w:hyperlink>
      <w:r>
        <w:rPr>
          <w:rFonts w:ascii="Times New Roman" w:hAnsi="Times New Roman"/>
          <w:b w:val="false"/>
          <w:i w:val="false"/>
          <w:color w:val="000000"/>
          <w:sz w:val="22"/>
        </w:rPr>
        <w:t xml:space="preserve"> (K-12 public schools). For purposes of this paragraph, “trailing wages” means previously earned wage payments made to such employees of a school corporation after the first month of entitlement. This exception does not apply to hourly employees, including those who make arrangements with their employers to hold back hourly wages for payment at a later date, to employees who are placed on sick or disability leave or leave of absence, or to employees who receive lump sum leave, vacation leave, early retirement incentive pay or any other lump sum payments in installments.</w:t>
      </w:r>
    </w:p>
    <w:p>
      <w:pPr>
        <w:spacing w:before="0" w:after="0"/>
        <w:ind w:left="120"/>
        <w:jc w:val="both"/>
      </w:pPr>
      <w:r>
        <w:rPr>
          <w:rFonts w:ascii="Times New Roman" w:hAnsi="Times New Roman"/>
          <w:b w:val="false"/>
          <w:i w:val="false"/>
          <w:color w:val="000000"/>
          <w:sz w:val="22"/>
        </w:rPr>
        <w:t>For all employees of all IPERS-covered employers who terminate employment in January 2003, or later, if the final paycheck is paid within the same quarter or within one quarter after termination and wages are reported under the normal pay schedule, the first month of entitlement shall be the month following termination. However, if the last paycheck is paid more than one quarter after the termination, the first month of entitlement shall be the first month after the employee is paid the last paycheck. Under no circumstances shall such trailing wages result in more than one quarter of service credit being added to retiring members’ earning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Survival into designated FME. </w:t>
      </w:r>
      <w:r>
        <w:rPr>
          <w:rFonts w:ascii="Times New Roman" w:hAnsi="Times New Roman"/>
          <w:b w:val="false"/>
          <w:i w:val="false"/>
          <w:color w:val="000000"/>
          <w:sz w:val="22"/>
        </w:rPr>
        <w:t xml:space="preserve">To be eligible for a monthly retirement benefit, the member must survive into the designated first month of entitlement. If the member dies prior to the first month of entitlement, the member’s application for monthly benefits is canceled and the distribution of the member’s account is made pursuant to Iowa Code section </w:t>
      </w:r>
      <w:hyperlink r:id="rId15">
        <w:r>
          <w:rPr>
            <w:rStyle w:val="Hyperlink"/>
            <w:rFonts w:ascii="Times New Roman" w:hAnsi="Times New Roman"/>
            <w:b w:val="false"/>
            <w:i w:val="false"/>
            <w:color w:val="000000"/>
            <w:sz w:val="22"/>
          </w:rPr>
          <w:t>97B.52</w:t>
        </w:r>
      </w:hyperlink>
      <w:r>
        <w:rPr>
          <w:rFonts w:ascii="Times New Roman" w:hAnsi="Times New Roman"/>
          <w:b w:val="false"/>
          <w:i w:val="false"/>
          <w:color w:val="000000"/>
          <w:sz w:val="22"/>
        </w:rPr>
        <w:t>. Cancellation of the application shall not invalidate a beneficiary designation. If the application is dated later in time than any other designations, IPERS will accept the designation in a canceled application as binding until a subsequent designation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Members retiring under the rule of 88. </w:t>
      </w:r>
      <w:r>
        <w:rPr>
          <w:rFonts w:ascii="Times New Roman" w:hAnsi="Times New Roman"/>
          <w:b w:val="false"/>
          <w:i w:val="false"/>
          <w:color w:val="000000"/>
          <w:sz w:val="22"/>
        </w:rPr>
        <w:t>The first month of entitlement of a member qualifying under the rule of 88 shall be the first of the month when the member’s age as of the last birthday and years of service equal 88. The fact that a member’s birthday allowing a member to qualify for the rule of 88 is the same month as the first month of entitlement does not affect the retirement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495—11.4</w:t>
      </w:r>
      <w:r>
        <w:rPr>
          <w:rFonts w:ascii="Times New Roman" w:hAnsi="Times New Roman"/>
          <w:b/>
          <w:i w:val="false"/>
          <w:color w:val="000000"/>
          <w:sz w:val="22"/>
        </w:rPr>
        <w:t xml:space="preserve">(97B) </w:t>
      </w:r>
      <w:r>
        <w:rPr>
          <w:rFonts w:ascii="Times New Roman" w:hAnsi="Times New Roman"/>
          <w:b/>
          <w:i w:val="false"/>
          <w:color w:val="000000"/>
          <w:sz w:val="22"/>
        </w:rPr>
        <w:t xml:space="preserve">Termination of monthly retirement allowance. </w:t>
      </w:r>
      <w:r>
        <w:rPr>
          <w:rFonts w:ascii="Times New Roman" w:hAnsi="Times New Roman"/>
          <w:b w:val="false"/>
          <w:i w:val="false"/>
          <w:color w:val="000000"/>
          <w:sz w:val="22"/>
        </w:rPr>
        <w:t>A member’s retirement benefit shall terminate after payment is made to the member for the entire month during which the member’s death occurs. Death benefits shall begin with the month following the month in which the member’s death occurs.</w:t>
      </w:r>
    </w:p>
    <w:p>
      <w:pPr>
        <w:spacing w:before="0" w:after="0"/>
        <w:ind w:left="120"/>
        <w:jc w:val="both"/>
      </w:pPr>
      <w:r>
        <w:rPr>
          <w:rFonts w:ascii="Times New Roman" w:hAnsi="Times New Roman"/>
          <w:b w:val="false"/>
          <w:i w:val="false"/>
          <w:color w:val="000000"/>
          <w:sz w:val="22"/>
        </w:rPr>
        <w:t>Upon the death of the retired member, IPERS will reconcile the decedent’s account to determine if an overpayment was made to the retired member and if further payment(s) is due to the retired member’s named beneficiary, contingent annuitant, heirs at law or estate. If an overpayment has been made to the retired member, IPERS will determine if steps should be taken to seek collection of the overpayment from the named beneficiary, contingent annuitant, estate, heirs at law, or other interested parties.</w:t>
      </w:r>
    </w:p>
    <w:p>
      <w:pPr>
        <w:spacing w:before="0" w:after="0"/>
        <w:ind w:left="120"/>
        <w:jc w:val="both"/>
      </w:pPr>
      <w:r>
        <w:rPr>
          <w:rFonts w:ascii="Times New Roman" w:hAnsi="Times New Roman"/>
          <w:b/>
          <w:i w:val="false"/>
          <w:color w:val="000000"/>
          <w:sz w:val="22"/>
        </w:rPr>
        <w:t>495—11.5</w:t>
      </w:r>
      <w:r>
        <w:rPr>
          <w:rFonts w:ascii="Times New Roman" w:hAnsi="Times New Roman"/>
          <w:b/>
          <w:i w:val="false"/>
          <w:color w:val="000000"/>
          <w:sz w:val="22"/>
        </w:rPr>
        <w:t xml:space="preserve">(97B) </w:t>
      </w:r>
      <w:r>
        <w:rPr>
          <w:rFonts w:ascii="Times New Roman" w:hAnsi="Times New Roman"/>
          <w:b/>
          <w:i w:val="false"/>
          <w:color w:val="000000"/>
          <w:sz w:val="22"/>
        </w:rPr>
        <w:t xml:space="preserve">Bona fide retirement and bona fide refund.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Bona fide retirement—general. </w:t>
      </w:r>
      <w:r>
        <w:rPr>
          <w:rFonts w:ascii="Times New Roman" w:hAnsi="Times New Roman"/>
          <w:b w:val="false"/>
          <w:i w:val="false"/>
          <w:color w:val="000000"/>
          <w:sz w:val="22"/>
        </w:rPr>
        <w:t>To receive retirement benefits, a member under the age of 70 must officially leave employment with all IPERS-covered employers, give up all rights as an employee, and complete a period of bona fide retirement. A period of bona fide retirement means four or more consecutive calendar months for which the member qualifies for monthly retirement benefit payments. The qualification period begins with the member’s first month of entitlement for retirement benefits as approved by IPERS. A member may not return to covered employment before filing a completed application for benefits. Notwithstanding the foregoing, the continuation of group insurance coverage at employee rates for the remainder of the school year for a school employee who retires following completion of services by that individual shall not cause that person to be in violation of IPERS’ bona fide retirement requirements.</w:t>
      </w:r>
    </w:p>
    <w:p>
      <w:pPr>
        <w:spacing w:before="0" w:after="0"/>
        <w:ind w:left="120"/>
        <w:jc w:val="both"/>
      </w:pPr>
      <w:r>
        <w:rPr>
          <w:rFonts w:ascii="Times New Roman" w:hAnsi="Times New Roman"/>
          <w:b w:val="false"/>
          <w:i w:val="false"/>
          <w:color w:val="000000"/>
          <w:sz w:val="22"/>
        </w:rPr>
        <w:t>A member will not be considered to have a bona fide retirement if the member is a school or university employee and returns to work with the employer after the normal summer vacation. In other positions, temporary or seasonal interruption of service which does not terminate the period of employment does not constitute a bona fide retirement. A member also will not be considered to have a bona fide retirement if the member has, prior to or during the member’s first month of entitlement, entered into verbal or written arrangements with the member’s former employer(s) to return to employment after the expiration of the four-month bona fide retirement period.</w:t>
      </w:r>
    </w:p>
    <w:p>
      <w:pPr>
        <w:spacing w:before="0" w:after="0"/>
        <w:ind w:left="120"/>
        <w:jc w:val="both"/>
      </w:pPr>
      <w:r>
        <w:rPr>
          <w:rFonts w:ascii="Times New Roman" w:hAnsi="Times New Roman"/>
          <w:b w:val="false"/>
          <w:i w:val="false"/>
          <w:color w:val="000000"/>
          <w:sz w:val="22"/>
        </w:rPr>
        <w:t>Effective July 1, 1990, a school employee will not be considered terminated if, while performing the normal duties, the employee performs for the same employer additional duties which take the employee beyond the expected termination date for the normal duties. Only when all the employee’s compensated duties cease for that employer will that employee be considered terminated.</w:t>
      </w:r>
    </w:p>
    <w:p>
      <w:pPr>
        <w:spacing w:before="0" w:after="0"/>
        <w:ind w:left="120"/>
        <w:jc w:val="both"/>
      </w:pPr>
      <w:r>
        <w:rPr>
          <w:rFonts w:ascii="Times New Roman" w:hAnsi="Times New Roman"/>
          <w:b w:val="false"/>
          <w:i w:val="false"/>
          <w:color w:val="000000"/>
          <w:sz w:val="22"/>
        </w:rPr>
        <w:t xml:space="preserve">The bona fide retirement period shall be waived for an elected official covered under Iowa Code section </w:t>
      </w:r>
      <w:hyperlink r:id="rId16">
        <w:r>
          <w:rPr>
            <w:rStyle w:val="Hyperlink"/>
            <w:rFonts w:ascii="Times New Roman" w:hAnsi="Times New Roman"/>
            <w:b w:val="false"/>
            <w:i w:val="false"/>
            <w:color w:val="000000"/>
            <w:sz w:val="22"/>
          </w:rPr>
          <w:t>97B.1A(8)</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for a member of the general assembly covered under Iowa Code section </w:t>
      </w:r>
      <w:hyperlink r:id="rId17">
        <w:r>
          <w:rPr>
            <w:rStyle w:val="Hyperlink"/>
            <w:rFonts w:ascii="Times New Roman" w:hAnsi="Times New Roman"/>
            <w:b w:val="false"/>
            <w:i w:val="false"/>
            <w:color w:val="000000"/>
            <w:sz w:val="22"/>
          </w:rPr>
          <w:t>97B.1A(8)</w:t>
        </w:r>
      </w:hyperlink>
      <w:r>
        <w:rPr>
          <w:rFonts w:ascii="Times New Roman" w:hAnsi="Times New Roman"/>
          <w:b w:val="false"/>
          <w:i/>
          <w:color w:val="000000"/>
          <w:sz w:val="22"/>
        </w:rPr>
        <w:t>“a”</w:t>
      </w:r>
      <w:r>
        <w:rPr>
          <w:rFonts w:ascii="Times New Roman" w:hAnsi="Times New Roman"/>
          <w:b w:val="false"/>
          <w:i w:val="false"/>
          <w:color w:val="000000"/>
          <w:sz w:val="22"/>
        </w:rPr>
        <w:t xml:space="preserve">(2), when the elected official or legislator notifies IPERS of the intent to terminate IPERS coverage for the elective office and, at the same time, terminates all other IPERS-covered employment prior to the issuance of the retirement benefit. Such an elected official or legislator may remain in the elective office and receive an IPERS retirement without violating IPERS’ bona fide retirement rules. If such elected official or legislator terminates coverage for the elective office and also terminates all other IPERS-covered employment but is then reemployed in covered employment, and has not received a retirement as of the date of hire, the retirement shall not be made. Furthermore, if such elected official or legislator is reemployed in covered employment, the election to revoke IPERS coverage for the elective position shall remain in effect, and the elected official or legislator shall not be eligible for new IPERS coverage for such elected position. The prior election to revoke IPERS coverage for the elected position shall also remain in effect if such elected official or legislator is reelected to the same position without an intervening term out of office. </w:t>
      </w:r>
    </w:p>
    <w:p>
      <w:pPr>
        <w:spacing w:before="0" w:after="0"/>
        <w:ind w:left="120"/>
        <w:jc w:val="both"/>
      </w:pPr>
      <w:r>
        <w:rPr>
          <w:rFonts w:ascii="Times New Roman" w:hAnsi="Times New Roman"/>
          <w:b w:val="false"/>
          <w:i w:val="false"/>
          <w:color w:val="000000"/>
          <w:sz w:val="22"/>
        </w:rPr>
        <w:t xml:space="preserve">The bona fide retirement period will be waived if the member has been elected to public office as a part-time elected official or a member of the general assembly and the member’s term begins during the normal four-month bona fide retirement period. This includes elected officials who shall be covered under this chapter as defined in Iowa Code section </w:t>
      </w:r>
      <w:hyperlink r:id="rId18">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 This waiver does not apply if the member was an elected official who was reelected to the same position for another term.</w:t>
      </w:r>
    </w:p>
    <w:p>
      <w:pPr>
        <w:spacing w:before="0" w:after="0"/>
        <w:ind w:left="120"/>
        <w:jc w:val="both"/>
      </w:pPr>
      <w:r>
        <w:rPr>
          <w:rFonts w:ascii="Times New Roman" w:hAnsi="Times New Roman"/>
          <w:b w:val="false"/>
          <w:i w:val="false"/>
          <w:color w:val="000000"/>
          <w:sz w:val="22"/>
        </w:rPr>
        <w:t>Effective July 1, 2000, a member does not have a bona fide retirement until all employment with covered employers, including employment which is not covered under this chapter, is terminated for at least one month, and the member does not return to covered employment for an additional three months. In order to receive retirement benefits, the member must file a completed application for benefits before returning to any employment with a covered employer.</w:t>
      </w:r>
    </w:p>
    <w:p>
      <w:pPr>
        <w:spacing w:before="0" w:after="0"/>
        <w:ind w:left="120"/>
        <w:jc w:val="both"/>
      </w:pPr>
      <w:r>
        <w:rPr>
          <w:rFonts w:ascii="Times New Roman" w:hAnsi="Times New Roman"/>
          <w:b w:val="false"/>
          <w:i w:val="false"/>
          <w:color w:val="000000"/>
          <w:sz w:val="22"/>
        </w:rPr>
        <w:t xml:space="preserve">Effective July 1, 2023, a member will not have a bona fide retirement if the member enters into a verbal or written arrangement to perform duties for the member’s former employer(s) as an independent contractor prior to or during the member’s first month of entitlement, and the member shall not perform any duties for the member’s former employer(s) as an independent contractor prior to receiving one month of retirement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Bona fide refund. </w:t>
      </w:r>
      <w:r>
        <w:rPr>
          <w:rFonts w:ascii="Times New Roman" w:hAnsi="Times New Roman"/>
          <w:b w:val="false"/>
          <w:i w:val="false"/>
          <w:color w:val="000000"/>
          <w:sz w:val="22"/>
        </w:rPr>
        <w:t xml:space="preserve">For a member to be eligible for a lump sum refund, the member must terminate the member’s covered employment and incur a bona fide separation from service and remain out of employment for at least 30 days with all covered employers. The 30-day bona fide refund period shall be waived for an elected official covered under Iowa Code section </w:t>
      </w:r>
      <w:hyperlink r:id="rId19">
        <w:r>
          <w:rPr>
            <w:rStyle w:val="Hyperlink"/>
            <w:rFonts w:ascii="Times New Roman" w:hAnsi="Times New Roman"/>
            <w:b w:val="false"/>
            <w:i w:val="false"/>
            <w:color w:val="000000"/>
            <w:sz w:val="22"/>
          </w:rPr>
          <w:t>97B.1A(8)</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for a member of the general assembly covered under Iowa Code section </w:t>
      </w:r>
      <w:hyperlink r:id="rId20">
        <w:r>
          <w:rPr>
            <w:rStyle w:val="Hyperlink"/>
            <w:rFonts w:ascii="Times New Roman" w:hAnsi="Times New Roman"/>
            <w:b w:val="false"/>
            <w:i w:val="false"/>
            <w:color w:val="000000"/>
            <w:sz w:val="22"/>
          </w:rPr>
          <w:t>97B.1A(8)</w:t>
        </w:r>
      </w:hyperlink>
      <w:r>
        <w:rPr>
          <w:rFonts w:ascii="Times New Roman" w:hAnsi="Times New Roman"/>
          <w:b w:val="false"/>
          <w:i/>
          <w:color w:val="000000"/>
          <w:sz w:val="22"/>
        </w:rPr>
        <w:t>“a”</w:t>
      </w:r>
      <w:r>
        <w:rPr>
          <w:rFonts w:ascii="Times New Roman" w:hAnsi="Times New Roman"/>
          <w:b w:val="false"/>
          <w:i w:val="false"/>
          <w:color w:val="000000"/>
          <w:sz w:val="22"/>
        </w:rPr>
        <w:t>(2), when the elected official or legislator notifies IPERS of the intent to terminate IPERS coverage for the elective office and, at the same time, terminates all other IPERS-covered employment prior to the issuance of the refund. Such an official may remain in the elective office and receive an IPERS refund without violating IPERS’ bona fide refund rules. If such elected official terminates coverage for the elective office and also terminates all other IPERS-covered employment but is then reemployed in covered employment, and has not received a refund as of the date of hire, the refund shall not be made. Furthermore, if such elected official is reemployed in covered employment, the election to revoke IPERS coverage for the elective position shall remain in effect, and the public official shall not be eligible for new IPERS coverage for such elected position.</w:t>
      </w:r>
    </w:p>
    <w:p>
      <w:pPr>
        <w:spacing w:before="0" w:after="0"/>
        <w:ind w:left="120"/>
        <w:jc w:val="both"/>
      </w:pPr>
      <w:r>
        <w:rPr>
          <w:rFonts w:ascii="Times New Roman" w:hAnsi="Times New Roman"/>
          <w:b w:val="false"/>
          <w:i w:val="false"/>
          <w:color w:val="000000"/>
          <w:sz w:val="22"/>
        </w:rPr>
        <w:t>The prior election to revoke IPERS coverage for the elected position shall also remain in effect if such elected official is reelected to the same position without an intervening term out of office. The waiver granted in this subrule shall be applicable to such elected officials who were in violation of the prior bona fide refund rules on and after November 1, 2002, when such individuals have not repaid the previously invalid refund.</w:t>
      </w:r>
    </w:p>
    <w:p>
      <w:pPr>
        <w:spacing w:before="0" w:after="0"/>
        <w:ind w:left="120"/>
        <w:jc w:val="both"/>
      </w:pPr>
      <w:r>
        <w:rPr>
          <w:rFonts w:ascii="Times New Roman" w:hAnsi="Times New Roman"/>
          <w:b w:val="false"/>
          <w:i w:val="false"/>
          <w:color w:val="000000"/>
          <w:sz w:val="22"/>
        </w:rPr>
        <w:t xml:space="preserve">If a member takes a refund in violation of the bona fide refund requirements of Iowa Code section </w:t>
      </w:r>
      <w:hyperlink r:id="rId21">
        <w:r>
          <w:rPr>
            <w:rStyle w:val="Hyperlink"/>
            <w:rFonts w:ascii="Times New Roman" w:hAnsi="Times New Roman"/>
            <w:b w:val="false"/>
            <w:i w:val="false"/>
            <w:color w:val="000000"/>
            <w:sz w:val="22"/>
          </w:rPr>
          <w:t>97B.53(4)</w:t>
        </w:r>
      </w:hyperlink>
      <w:r>
        <w:rPr>
          <w:rFonts w:ascii="Times New Roman" w:hAnsi="Times New Roman"/>
          <w:b w:val="false"/>
          <w:i w:val="false"/>
          <w:color w:val="000000"/>
          <w:sz w:val="22"/>
        </w:rPr>
        <w:t>, the member may return the refund during the bona fide retirement period and restore the member’s account. If the repayment is not made, the member shall receive no credit for the period covered by the refund. At retirement, the member may purchase, at actuarial cost, the service credit covered by the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Part-time appointed members of boards or commissions receiving minimal noncovered wages. </w:t>
      </w:r>
      <w:r>
        <w:rPr>
          <w:rFonts w:ascii="Times New Roman" w:hAnsi="Times New Roman"/>
          <w:b w:val="false"/>
          <w:i w:val="false"/>
          <w:color w:val="000000"/>
          <w:sz w:val="22"/>
        </w:rPr>
        <w:t xml:space="preserve">Solely for purposes of determining whether a member has severed all employment with all covered employers and has remained out of employment as required under Iowa Code section </w:t>
      </w:r>
      <w:hyperlink r:id="rId22">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 xml:space="preserve">, persons who have been appointed as part-time members of boards or commissions prior to or during their first month of entitlement and who receive only per diem and reimbursements for reasonable business expenses for such positions will be deemed not to be in employment prohibited under Iowa Code section </w:t>
      </w:r>
      <w:hyperlink r:id="rId23">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purposes of this subrule, per diem shall not exceed the amount authorized under Iowa Code section </w:t>
      </w:r>
      <w:hyperlink r:id="rId24">
        <w:r>
          <w:rPr>
            <w:rStyle w:val="Hyperlink"/>
            <w:rFonts w:ascii="Times New Roman" w:hAnsi="Times New Roman"/>
            <w:b w:val="false"/>
            <w:i w:val="false"/>
            <w:color w:val="000000"/>
            <w:sz w:val="22"/>
          </w:rPr>
          <w:t>7E.6(1)</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members of boards, committees, commissions, and councils within the executive branch of state government. This limit shall apply regardless of whether or not the position in question is within the executive branch of state government.</w:t>
      </w:r>
    </w:p>
    <w:p>
      <w:pPr>
        <w:spacing w:before="0" w:after="0"/>
        <w:ind w:left="120"/>
        <w:jc w:val="both"/>
      </w:pPr>
      <w:r>
        <w:rPr>
          <w:rFonts w:ascii="Times New Roman" w:hAnsi="Times New Roman"/>
          <w:b w:val="false"/>
          <w:i w:val="false"/>
          <w:color w:val="000000"/>
          <w:sz w:val="22"/>
        </w:rPr>
        <w:t xml:space="preserve">Members of boards and commissions not exempted under this subrule include: (a) those who are entitled to the payment of per diem regardless of attendance at board or commission meetings, and (b) those who would have received per diem in excess of the amount authorized under Iowa Code section </w:t>
      </w:r>
      <w:hyperlink r:id="rId25">
        <w:r>
          <w:rPr>
            <w:rStyle w:val="Hyperlink"/>
            <w:rFonts w:ascii="Times New Roman" w:hAnsi="Times New Roman"/>
            <w:b w:val="false"/>
            <w:i w:val="false"/>
            <w:color w:val="000000"/>
            <w:sz w:val="22"/>
          </w:rPr>
          <w:t>7E.6(1)</w:t>
        </w:r>
        <w:r>
          <w:rPr>
            <w:rFonts w:ascii="Times New Roman" w:hAnsi="Times New Roman"/>
            <w:b w:val="false"/>
            <w:i/>
            <w:color w:val="000000"/>
            <w:sz w:val="22"/>
          </w:rPr>
          <w:t>“a”</w:t>
        </w:r>
      </w:hyperlink>
      <w:r>
        <w:rPr>
          <w:rFonts w:ascii="Times New Roman" w:hAnsi="Times New Roman"/>
          <w:b w:val="false"/>
          <w:i w:val="false"/>
          <w:color w:val="000000"/>
          <w:sz w:val="22"/>
        </w:rPr>
        <w:t xml:space="preserve"> were it not for an agreement by the member to waive such compensation.</w:t>
      </w:r>
    </w:p>
    <w:p>
      <w:pPr>
        <w:spacing w:before="0" w:after="0"/>
        <w:ind w:left="120"/>
        <w:jc w:val="both"/>
      </w:pPr>
      <w:r>
        <w:rPr>
          <w:rFonts w:ascii="Times New Roman" w:hAnsi="Times New Roman"/>
          <w:b w:val="false"/>
          <w:i w:val="false"/>
          <w:color w:val="000000"/>
          <w:sz w:val="22"/>
        </w:rPr>
        <w:t xml:space="preserve">Persons appointed as part-time board or commission members who receive only per diem as set forth above and reimbursements of reasonable business expenses may continue in or accept appointments to such positions without violating the bona fide retirement rules under Iowa Code section </w:t>
      </w:r>
      <w:hyperlink r:id="rId26">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Members of the national guard who are called into state active duty. </w:t>
      </w:r>
      <w:r>
        <w:rPr>
          <w:rFonts w:ascii="Times New Roman" w:hAnsi="Times New Roman"/>
          <w:b w:val="false"/>
          <w:i w:val="false"/>
          <w:color w:val="000000"/>
          <w:sz w:val="22"/>
        </w:rPr>
        <w:t xml:space="preserve">Effective May 25, 2008, members of the national guard who are called into state active duty as defined in Iowa Code section </w:t>
      </w:r>
      <w:hyperlink r:id="rId27">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in noncovered positions during the required period of complete severance will not be in violation of the bona fide retirement requirements of Iowa Code section </w:t>
      </w:r>
      <w:hyperlink r:id="rId28">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8929B</w:t>
      </w:r>
      <w:r>
        <w:rPr>
          <w:rFonts w:ascii="Times New Roman" w:hAnsi="Times New Roman"/>
          <w:b w:val="false"/>
          <w:i w:val="false"/>
          <w:color w:val="000000"/>
          <w:sz w:val="16"/>
        </w:rPr>
        <w:t>, IAB 7/14/10, effective 6/21/10</w:t>
      </w:r>
      <w:r>
        <w:rPr>
          <w:rFonts w:ascii="Times New Roman" w:hAnsi="Times New Roman"/>
          <w:b w:val="false"/>
          <w:i w:val="false"/>
          <w:color w:val="000000"/>
          <w:sz w:val="16"/>
        </w:rPr>
        <w:t xml:space="preserve">; </w:t>
      </w:r>
      <w:r>
        <w:rPr>
          <w:rFonts w:ascii="Times New Roman" w:hAnsi="Times New Roman"/>
          <w:b/>
          <w:i w:val="false"/>
          <w:color w:val="000000"/>
          <w:sz w:val="16"/>
        </w:rPr>
        <w:t>ARC 9068B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4100C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495—11.6</w:t>
      </w:r>
      <w:r>
        <w:rPr>
          <w:rFonts w:ascii="Times New Roman" w:hAnsi="Times New Roman"/>
          <w:b/>
          <w:i w:val="false"/>
          <w:color w:val="000000"/>
          <w:sz w:val="22"/>
        </w:rPr>
        <w:t xml:space="preserve">(97B) </w:t>
      </w:r>
      <w:r>
        <w:rPr>
          <w:rFonts w:ascii="Times New Roman" w:hAnsi="Times New Roman"/>
          <w:b/>
          <w:i w:val="false"/>
          <w:color w:val="000000"/>
          <w:sz w:val="22"/>
        </w:rPr>
        <w:t xml:space="preserve">Payment processing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Monthly paper warrants processing fee. </w:t>
      </w:r>
      <w:r>
        <w:rPr>
          <w:rFonts w:ascii="Times New Roman" w:hAnsi="Times New Roman"/>
          <w:b w:val="false"/>
          <w:i w:val="false"/>
          <w:color w:val="000000"/>
          <w:sz w:val="22"/>
        </w:rPr>
        <w:t>Effective July 1, 2005, IPERS shall charge a $1 per-warrant processing fee to members who choose to receive paper warrants in lieu of electronic deposits of their monthly retirement allowance. The fee may be waived if the person establishes that it would be an undue hardship for the person to do what is necessary to receive payment of the person’s IPERS monthly retirement allowance by electronic deposit. The processing fee will be deducted from the member’s retirement allowance on a posttax basis.</w:t>
      </w:r>
    </w:p>
    <w:p>
      <w:pPr>
        <w:spacing w:before="0" w:after="0"/>
        <w:ind w:left="120"/>
        <w:jc w:val="both"/>
      </w:pPr>
      <w:r>
        <w:rPr>
          <w:rFonts w:ascii="Times New Roman" w:hAnsi="Times New Roman"/>
          <w:b w:val="false"/>
          <w:i w:val="false"/>
          <w:color w:val="000000"/>
          <w:sz w:val="22"/>
        </w:rPr>
        <w:t>For purposes of this subrule, a member claiming undue hardship must establish that the cost normally assessed for the processing of paper warrants would be unduly burdensome because of the member’s limited income, or is otherwise financially burdensome or physically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Repeated requests for replacement warrants. </w:t>
      </w:r>
      <w:r>
        <w:rPr>
          <w:rFonts w:ascii="Times New Roman" w:hAnsi="Times New Roman"/>
          <w:b w:val="false"/>
          <w:i w:val="false"/>
          <w:color w:val="000000"/>
          <w:sz w:val="22"/>
        </w:rPr>
        <w:t>Effective July 1, 2002, for a member or beneficiary who, due to the member’s or beneficiary’s own actions or inactions, has benefits warrants replaced twice in a six-month period, except when the need for a replacement warrant is caused by IPERS’ failure to mail to the address specified by the recipient, payment shall be suspended until such time as the recipient establishes a direct deposit account in a bank, credit union or similar financial institution and provides IPERS with the information necessary to make electronic transfer of said monthly payments. Persons subject to said cases may be required to provide a face-to-face interview and additional documentation to prove that such a suspension would result in an undue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Forgery claims. </w:t>
      </w:r>
      <w:r>
        <w:rPr>
          <w:rFonts w:ascii="Times New Roman" w:hAnsi="Times New Roman"/>
          <w:b w:val="false"/>
          <w:i w:val="false"/>
          <w:color w:val="000000"/>
          <w:sz w:val="22"/>
        </w:rPr>
        <w:t>When a forgery of a warrant issued in payment of an IPERS refund or benefit is alleged, the claimant must complete and sign an affidavit before a notary public that the endorsement is a forgery. A supplementary statement must be attached to the affidavit setting forth the details and circumstances of the alleged forgery.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color w:val="000000"/>
          <w:sz w:val="22"/>
        </w:rPr>
        <w:t xml:space="preserve">Rollover fees. </w:t>
      </w:r>
      <w:r>
        <w:rPr>
          <w:rFonts w:ascii="Times New Roman" w:hAnsi="Times New Roman"/>
          <w:b w:val="false"/>
          <w:i w:val="false"/>
          <w:color w:val="000000"/>
          <w:sz w:val="22"/>
        </w:rPr>
        <w:t>Effective January 1, 2007, if the recipient of a lump-sum distribution which qualifies to be rolled over requests that a rollover be made to more than one IRA or other qualified plan, IPERS may assess a $5 administrative fee for each additional rollover beyond the first one. The fee will be deducted from the gross amount of each distribution, less federal and state income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color w:val="000000"/>
          <w:sz w:val="22"/>
        </w:rPr>
        <w:t xml:space="preserve">Offsets against amounts payable. </w:t>
      </w:r>
      <w:r>
        <w:rPr>
          <w:rFonts w:ascii="Times New Roman" w:hAnsi="Times New Roman"/>
          <w:b w:val="false"/>
          <w:i w:val="false"/>
          <w:color w:val="000000"/>
          <w:sz w:val="22"/>
        </w:rPr>
        <w:t>IPERS may, with or without consent and upon reasonable proof thereof, offset amounts currently payable to a member or the member’s designated beneficiaries, heirs, assigns or other successors in interest by the amount of IPERS benefits paid in error to or on behalf of such member or the member’s designated beneficiaries, heirs, assigns or other successors in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color w:val="000000"/>
          <w:sz w:val="22"/>
        </w:rPr>
        <w:t xml:space="preserve">Lump sum paper warrants processing fee. </w:t>
      </w:r>
      <w:r>
        <w:rPr>
          <w:rFonts w:ascii="Times New Roman" w:hAnsi="Times New Roman"/>
          <w:b w:val="false"/>
          <w:i w:val="false"/>
          <w:color w:val="000000"/>
          <w:sz w:val="22"/>
        </w:rPr>
        <w:t xml:space="preserve">Effective April 1, 2012, and thereafter, IPERS shall charge $1 for paper warrants issued in payment of all nonrecurring lump sum distributions. If a nonrecurring lump sum distribution is followed by a supplemental lump sum distribution due to the reporting of additional covered wages, the $1 processing fee shall also be charged. This $1 processing fee shall not apply to a direct rollover described under Iowa Code section </w:t>
      </w:r>
      <w:hyperlink r:id="rId29">
        <w:r>
          <w:rPr>
            <w:rStyle w:val="Hyperlink"/>
            <w:rFonts w:ascii="Times New Roman" w:hAnsi="Times New Roman"/>
            <w:b w:val="false"/>
            <w:i w:val="false"/>
            <w:color w:val="000000"/>
            <w:sz w:val="22"/>
          </w:rPr>
          <w:t>97B.53B</w:t>
        </w:r>
      </w:hyperlink>
      <w:r>
        <w:rPr>
          <w:rFonts w:ascii="Times New Roman" w:hAnsi="Times New Roman"/>
          <w:b w:val="false"/>
          <w:i w:val="false"/>
          <w:color w:val="000000"/>
          <w:sz w:val="22"/>
        </w:rPr>
        <w:t xml:space="preserve"> (however, processing fees may be charged for multiple rollover requests), lump sum mandatory account distributions required under Iowa Code section </w:t>
      </w:r>
      <w:hyperlink r:id="rId30">
        <w:r>
          <w:rPr>
            <w:rStyle w:val="Hyperlink"/>
            <w:rFonts w:ascii="Times New Roman" w:hAnsi="Times New Roman"/>
            <w:b w:val="false"/>
            <w:i w:val="false"/>
            <w:color w:val="000000"/>
            <w:sz w:val="22"/>
          </w:rPr>
          <w:t>97B.48(5)</w:t>
        </w:r>
      </w:hyperlink>
      <w:r>
        <w:rPr>
          <w:rFonts w:ascii="Times New Roman" w:hAnsi="Times New Roman"/>
          <w:b w:val="false"/>
          <w:i w:val="false"/>
          <w:color w:val="000000"/>
          <w:sz w:val="22"/>
        </w:rPr>
        <w:t xml:space="preserve">, mandatory lump sum distributions required under </w:t>
      </w:r>
      <w:r>
        <w:rPr>
          <w:rFonts w:ascii="Times New Roman" w:hAnsi="Times New Roman"/>
          <w:b w:val="false"/>
          <w:i w:val="false"/>
          <w:color w:val="000000"/>
          <w:sz w:val="22"/>
        </w:rPr>
        <w:t>Internal Revenue Code Section 401(9)</w:t>
      </w:r>
      <w:r>
        <w:rPr>
          <w:rFonts w:ascii="Times New Roman" w:hAnsi="Times New Roman"/>
          <w:b w:val="false"/>
          <w:i w:val="false"/>
          <w:color w:val="000000"/>
          <w:sz w:val="22"/>
        </w:rPr>
        <w:t>, or warrants reissued in forged endorsement or other fraudulent payment situations.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495—11.7</w:t>
      </w:r>
      <w:r>
        <w:rPr>
          <w:rFonts w:ascii="Times New Roman" w:hAnsi="Times New Roman"/>
          <w:b/>
          <w:i w:val="false"/>
          <w:color w:val="000000"/>
          <w:sz w:val="22"/>
        </w:rPr>
        <w:t xml:space="preserve">(97B) </w:t>
      </w:r>
      <w:r>
        <w:rPr>
          <w:rFonts w:ascii="Times New Roman" w:hAnsi="Times New Roman"/>
          <w:b/>
          <w:i w:val="false"/>
          <w:color w:val="000000"/>
          <w:sz w:val="22"/>
        </w:rPr>
        <w:t xml:space="preserve">Overpayment of IPERS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Overpayments—general.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“overpayment” means a payment of money by IPERS that results in a recipient receiving a higher payment than the recipient is entitled to under the provisions of Iowa Code chapter </w:t>
      </w:r>
      <w:hyperlink r:id="rId31">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“recipient” is a person or beneficiary, heir, assign, or other successor in interest who receives an overpayment from an IPERS benefit and is liable to repay the amount(s) upon receipt of a written explanation and request for the amounts to be repaid.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IPERS determines that the cost of recovering the amount of an overpayment is estimated to exceed the overpayment, the repayment may be deemed to be unrecoverable.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overpayment is equal to or less than $50 and cannot be recovered from other IPERS payments, IPERS may limit its recovery efforts to written requests for repayment and other nonjudicial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Overpayment made to a retired member. </w:t>
      </w:r>
      <w:r>
        <w:rPr>
          <w:rFonts w:ascii="Times New Roman" w:hAnsi="Times New Roman"/>
          <w:b w:val="false"/>
          <w:i w:val="false"/>
          <w:color w:val="000000"/>
          <w:sz w:val="22"/>
        </w:rPr>
        <w:t>A retired member shall receive written notice of overpayment, including the reason for the overpayment, the amount of the overpayment, and a limited opportunity to repay the overpayment in full without interest. If a retired member repays an overpayment in full within 30 days after the date of the notice, there will be no interest charge. A retired member may repay an overpayment out of pocket or direct IPERS to recover the overpayment from future retirement benefit payments, or a combination of both. If the retired member cannot repay an overpayment in full, either out of pocket or from the next monthly installment of retirement benefits, or both, interest shall be charged. A retired member who cannot repay the full amount of the overpayment within 30 days after the date of the notice must enter into an agreement with IPERS to make monthly installment payments, or to have the overpayment offset against future monthly benefit payments or death benefits, if any, and authorize any unpaid balance as a first priority claim in the recipient’s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Overpayment made to a person other than a retired member. </w:t>
      </w:r>
      <w:r>
        <w:rPr>
          <w:rFonts w:ascii="Times New Roman" w:hAnsi="Times New Roman"/>
          <w:b w:val="false"/>
          <w:i w:val="false"/>
          <w:color w:val="000000"/>
          <w:sz w:val="22"/>
        </w:rPr>
        <w:t>A recipient other than a retired member, except a recipient listed in subrule 11.5(2), shall receive written notice of overpayment, including the reason for the overpayment, the amount of the overpayment, and the opportunity to repay the overpayment in full without interest. If such a recipient repays an overpayment in full within 30 days after the date of the notice, there will be no interest charge. If such a recipient cannot repay an overpayment in full within 30 days after the date of the notice, interest shall be charged. If repayment in full cannot be made within 30 days, such a recipient shall make repayment arrangements subject to IPERS’ approval within 30 days of the written notice and request for repayment.</w:t>
      </w:r>
    </w:p>
    <w:p>
      <w:pPr>
        <w:spacing w:before="0" w:after="0"/>
        <w:ind w:left="120"/>
        <w:jc w:val="both"/>
      </w:pPr>
      <w:r>
        <w:rPr>
          <w:rFonts w:ascii="Times New Roman" w:hAnsi="Times New Roman"/>
          <w:b w:val="false"/>
          <w:i w:val="false"/>
          <w:color w:val="000000"/>
          <w:sz w:val="22"/>
        </w:rPr>
        <w:t>If the overpayment recipient cannot be located to receive notice of the overpayment at the recipient’s last-known address, IPERS shall, after trying to locate the person, consider the recipient to have waived entitlement to the quarters covered by the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color w:val="000000"/>
          <w:sz w:val="22"/>
        </w:rPr>
        <w:t xml:space="preserve">Interest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Overpayment not fraudulent. </w:t>
      </w:r>
      <w:r>
        <w:rPr>
          <w:rFonts w:ascii="Times New Roman" w:hAnsi="Times New Roman"/>
          <w:b w:val="false"/>
          <w:i w:val="false"/>
          <w:color w:val="000000"/>
          <w:sz w:val="22"/>
        </w:rPr>
        <w:t>If the overpayment of benefits, other than an overpayment that results from a violation described in subrule 11.5(2), was not the result of wrongdoing, negligence, misrepresentation, or omission of the recipient, the recipient is liable to pay interest charges at the rate of 5 percent, or the rate IPERS determines, on the outstanding balance, beginning 30 days after the date of notice of the overpayment(s) is provided by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Overpayments in violation of Iowa Code section </w:t>
      </w:r>
      <w:hyperlink r:id="rId32">
        <w:r>
          <w:rPr>
            <w:rStyle w:val="Hyperlink"/>
            <w:rFonts w:ascii="Times New Roman" w:hAnsi="Times New Roman"/>
            <w:b w:val="false"/>
            <w:i/>
            <w:color w:val="000000"/>
            <w:sz w:val="22"/>
          </w:rPr>
          <w:t>97B.40</w:t>
        </w:r>
      </w:hyperlink>
      <w:r>
        <w:rPr>
          <w:rFonts w:ascii="Times New Roman" w:hAnsi="Times New Roman"/>
          <w:b w:val="false"/>
          <w:i/>
          <w:color w:val="000000"/>
          <w:sz w:val="22"/>
        </w:rPr>
        <w:t xml:space="preserve"> or </w:t>
      </w:r>
      <w:hyperlink r:id="rId33">
        <w:r>
          <w:rPr>
            <w:rStyle w:val="Hyperlink"/>
            <w:rFonts w:ascii="Times New Roman" w:hAnsi="Times New Roman"/>
            <w:b w:val="false"/>
            <w:i/>
            <w:color w:val="000000"/>
            <w:sz w:val="22"/>
          </w:rPr>
          <w:t>715A.8</w:t>
        </w:r>
      </w:hyperlink>
      <w:r>
        <w:rPr>
          <w:rFonts w:ascii="Times New Roman" w:hAnsi="Times New Roman"/>
          <w:b w:val="false"/>
          <w:i/>
          <w:color w:val="000000"/>
          <w:sz w:val="22"/>
        </w:rPr>
        <w:t xml:space="preserve">. </w:t>
      </w:r>
      <w:r>
        <w:rPr>
          <w:rFonts w:ascii="Times New Roman" w:hAnsi="Times New Roman"/>
          <w:b w:val="false"/>
          <w:i w:val="false"/>
          <w:color w:val="000000"/>
          <w:sz w:val="22"/>
        </w:rPr>
        <w:t>If the overpayment of benefits, other than an overpayment that results from a violation described in subrule 11.5(2), was the result of wrongdoing, negligence, misrepresentation, or omission of the recipient, the recipient is liable to pay interest charges at the rate of 7 percent on the outstanding balance, beginning on the date of the overpayment(s).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Overpayments that result in a judgment. </w:t>
      </w:r>
      <w:r>
        <w:rPr>
          <w:rFonts w:ascii="Times New Roman" w:hAnsi="Times New Roman"/>
          <w:b w:val="false"/>
          <w:i w:val="false"/>
          <w:color w:val="000000"/>
          <w:sz w:val="22"/>
        </w:rPr>
        <w:t>In addition to other remedies, IPERS may file a civil action to recover overpayments, and the interest rate may be set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w:t>
      </w:r>
      <w:r>
        <w:rPr>
          <w:rFonts w:ascii="Times New Roman" w:hAnsi="Times New Roman"/>
          <w:b w:val="false"/>
          <w:i w:val="false"/>
          <w:color w:val="000000"/>
          <w:sz w:val="22"/>
        </w:rPr>
        <w:t> </w:t>
      </w:r>
      <w:r>
        <w:rPr>
          <w:rFonts w:ascii="Times New Roman" w:hAnsi="Times New Roman"/>
          <w:b w:val="false"/>
          <w:i/>
          <w:color w:val="000000"/>
          <w:sz w:val="22"/>
        </w:rPr>
        <w:t xml:space="preserve">Recovery of overpayment from a deceased recipient. </w:t>
      </w:r>
      <w:r>
        <w:rPr>
          <w:rFonts w:ascii="Times New Roman" w:hAnsi="Times New Roman"/>
          <w:b w:val="false"/>
          <w:i w:val="false"/>
          <w:color w:val="000000"/>
          <w:sz w:val="22"/>
        </w:rPr>
        <w:t>If a recipient dies prior to the full repayment of an erroneous overpayment of benefits, IPERS shall be entitled to apply to the estate of the deceased to recover the remaining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w:t>
      </w:r>
      <w:r>
        <w:rPr>
          <w:rFonts w:ascii="Times New Roman" w:hAnsi="Times New Roman"/>
          <w:b w:val="false"/>
          <w:i w:val="false"/>
          <w:color w:val="000000"/>
          <w:sz w:val="22"/>
        </w:rPr>
        <w:t> </w:t>
      </w:r>
      <w:r>
        <w:rPr>
          <w:rFonts w:ascii="Times New Roman" w:hAnsi="Times New Roman"/>
          <w:b w:val="false"/>
          <w:i/>
          <w:color w:val="000000"/>
          <w:sz w:val="22"/>
        </w:rPr>
        <w:t xml:space="preserve">Offsets against amounts payable. </w:t>
      </w:r>
      <w:r>
        <w:rPr>
          <w:rFonts w:ascii="Times New Roman" w:hAnsi="Times New Roman"/>
          <w:b w:val="false"/>
          <w:i w:val="false"/>
          <w:color w:val="000000"/>
          <w:sz w:val="22"/>
        </w:rPr>
        <w:t xml:space="preserve">IPERS may, in addition to other remedies and after notice to the recipient, request an offset against amounts owing to the recipient by the state according to the offset procedures pursuant to Iowa Code section </w:t>
      </w:r>
      <w:hyperlink r:id="rId34">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w:t>
      </w:r>
      <w:r>
        <w:rPr>
          <w:rFonts w:ascii="Times New Roman" w:hAnsi="Times New Roman"/>
          <w:b w:val="false"/>
          <w:i w:val="false"/>
          <w:color w:val="000000"/>
          <w:sz w:val="22"/>
        </w:rPr>
        <w:t> </w:t>
      </w:r>
      <w:r>
        <w:rPr>
          <w:rFonts w:ascii="Times New Roman" w:hAnsi="Times New Roman"/>
          <w:b w:val="false"/>
          <w:i/>
          <w:color w:val="000000"/>
          <w:sz w:val="22"/>
        </w:rPr>
        <w:t xml:space="preserve">Rights of appeal. </w:t>
      </w:r>
      <w:r>
        <w:rPr>
          <w:rFonts w:ascii="Times New Roman" w:hAnsi="Times New Roman"/>
          <w:b w:val="false"/>
          <w:i w:val="false"/>
          <w:color w:val="000000"/>
          <w:sz w:val="22"/>
        </w:rPr>
        <w:t xml:space="preserve">A recipient who is notified of an overpayment and required to make repayments under this rule may appeal IPERS’ determination in writing to the CEO or CEO’s designee. The written request must explain the basis of the appeal and must be received by IPERS’ office within 30 days of overpayment notice pursuant to </w:t>
      </w:r>
      <w:hyperlink r:id="rId35">
        <w:r>
          <w:rPr>
            <w:rStyle w:val="Hyperlink"/>
            <w:rFonts w:ascii="Times New Roman" w:hAnsi="Times New Roman"/>
            <w:b w:val="false"/>
            <w:i w:val="false"/>
            <w:color w:val="000000"/>
            <w:sz w:val="22"/>
          </w:rPr>
          <w:t>495—Chapter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w:t>
      </w:r>
      <w:r>
        <w:rPr>
          <w:rFonts w:ascii="Times New Roman" w:hAnsi="Times New Roman"/>
          <w:b w:val="false"/>
          <w:i w:val="false"/>
          <w:color w:val="000000"/>
          <w:sz w:val="22"/>
        </w:rPr>
        <w:t> </w:t>
      </w:r>
      <w:r>
        <w:rPr>
          <w:rFonts w:ascii="Times New Roman" w:hAnsi="Times New Roman"/>
          <w:b w:val="false"/>
          <w:i/>
          <w:color w:val="000000"/>
          <w:sz w:val="22"/>
        </w:rPr>
        <w:t xml:space="preserve">Release of overpayment. </w:t>
      </w:r>
      <w:r>
        <w:rPr>
          <w:rFonts w:ascii="Times New Roman" w:hAnsi="Times New Roman"/>
          <w:b w:val="false"/>
          <w:i w:val="false"/>
          <w:color w:val="000000"/>
          <w:sz w:val="22"/>
        </w:rPr>
        <w:t>IPERS may release a recipient from liability to repay an overpayment, in whole or in part, if IPERS determines that the receipt of overpayment is not the fault of the recipient, and that it would be contrary to equity and good conscience to collect the overpayment. No release of an individual recipient’s obligation to repay an overpayment shall stand as precedent for release of another recipient’s obligation to repay an overpayment.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97B.9A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97B.15</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97B.25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97B.38</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97B.40</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97B.45</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97B.47</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97B.48</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97B.48A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97B.50</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97B.51</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97B.52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97B.53</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97B.53B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8/10/07, Notice 7/4/07—published 8/29/07, effective 10/3/07]</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4100C</w:t>
      </w:r>
      <w:r>
        <w:rPr>
          <w:rFonts w:ascii="Times New Roman" w:hAnsi="Times New Roman"/>
          <w:b w:val="false"/>
          <w:i w:val="false"/>
          <w:color w:val="000000"/>
          <w:sz w:val="21"/>
        </w:rPr>
        <w:t xml:space="preserve"> (Notice ARC 3885C, IAB 7/4/18)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7811C</w:t>
      </w:r>
      <w:r>
        <w:rPr>
          <w:rFonts w:ascii="Times New Roman" w:hAnsi="Times New Roman"/>
          <w:b w:val="false"/>
          <w:i w:val="false"/>
          <w:color w:val="000000"/>
          <w:sz w:val="21"/>
        </w:rPr>
        <w:t xml:space="preserve"> (Notice ARC 7648C, IAB 2/21/24)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51.pdf" Type="http://schemas.openxmlformats.org/officeDocument/2006/relationships/hyperlink" Id="rId5"/>
    <Relationship TargetMode="External" Target="https://www.legis.iowa.gov/docs/ico/chapter/97B.pdf" Type="http://schemas.openxmlformats.org/officeDocument/2006/relationships/hyperlink" Id="rId6"/>
    <Relationship TargetMode="External" Target="https://www.legis.iowa.gov/docs/iac/rule/495.11.7.pdf" Type="http://schemas.openxmlformats.org/officeDocument/2006/relationships/hyperlink" Id="rId7"/>
    <Relationship TargetMode="External" Target="https://www.legis.iowa.gov/docs/ico/chapter/97B.49A-49I.pdf" Type="http://schemas.openxmlformats.org/officeDocument/2006/relationships/hyperlink" Id="rId8"/>
    <Relationship TargetMode="External" Target="https://www.legis.iowa.gov/docs/ico/chapter/97B.pdf" Type="http://schemas.openxmlformats.org/officeDocument/2006/relationships/hyperlink" Id="rId9"/>
    <Relationship TargetMode="External" Target="https://www.legis.iowa.gov/docs/ico/chapter/97B.48.pdf" Type="http://schemas.openxmlformats.org/officeDocument/2006/relationships/hyperlink" Id="rId10"/>
    <Relationship TargetMode="External" Target="https://www.legis.iowa.gov/docs/iac/rule/495.11.3.pdf" Type="http://schemas.openxmlformats.org/officeDocument/2006/relationships/hyperlink" Id="rId11"/>
    <Relationship TargetMode="External" Target="https://www.legis.iowa.gov/docs/ico/chapter/260C.16.pdf" Type="http://schemas.openxmlformats.org/officeDocument/2006/relationships/hyperlink" Id="rId12"/>
    <Relationship TargetMode="External" Target="https://www.legis.iowa.gov/docs/ico/chapter/273.2.pdf" Type="http://schemas.openxmlformats.org/officeDocument/2006/relationships/hyperlink" Id="rId13"/>
    <Relationship TargetMode="External" Target="https://www.legis.iowa.gov/docs/ico/chapter/273.1.pdf" Type="http://schemas.openxmlformats.org/officeDocument/2006/relationships/hyperlink" Id="rId14"/>
    <Relationship TargetMode="External" Target="https://www.legis.iowa.gov/docs/ico/chapter/97B.52.pdf" Type="http://schemas.openxmlformats.org/officeDocument/2006/relationships/hyperlink" Id="rId15"/>
    <Relationship TargetMode="External" Target="https://www.legis.iowa.gov/docs/ico/chapter/97B.1A.pdf" Type="http://schemas.openxmlformats.org/officeDocument/2006/relationships/hyperlink" Id="rId16"/>
    <Relationship TargetMode="External" Target="https://www.legis.iowa.gov/docs/ico/chapter/97B.1A.pdf" Type="http://schemas.openxmlformats.org/officeDocument/2006/relationships/hyperlink" Id="rId17"/>
    <Relationship TargetMode="External" Target="https://www.legis.iowa.gov/docs/ico/chapter/97B.1A.pdf" Type="http://schemas.openxmlformats.org/officeDocument/2006/relationships/hyperlink" Id="rId18"/>
    <Relationship TargetMode="External" Target="https://www.legis.iowa.gov/docs/ico/chapter/97B.1A.pdf" Type="http://schemas.openxmlformats.org/officeDocument/2006/relationships/hyperlink" Id="rId19"/>
    <Relationship TargetMode="External" Target="https://www.legis.iowa.gov/docs/ico/chapter/97B.1A.pdf" Type="http://schemas.openxmlformats.org/officeDocument/2006/relationships/hyperlink" Id="rId20"/>
    <Relationship TargetMode="External" Target="https://www.legis.iowa.gov/docs/ico/chapter/97B.53.pdf" Type="http://schemas.openxmlformats.org/officeDocument/2006/relationships/hyperlink" Id="rId21"/>
    <Relationship TargetMode="External" Target="https://www.legis.iowa.gov/docs/ico/chapter/97B.52A.pdf" Type="http://schemas.openxmlformats.org/officeDocument/2006/relationships/hyperlink" Id="rId22"/>
    <Relationship TargetMode="External" Target="https://www.legis.iowa.gov/docs/ico/chapter/97B.52A.pdf" Type="http://schemas.openxmlformats.org/officeDocument/2006/relationships/hyperlink" Id="rId23"/>
    <Relationship TargetMode="External" Target="https://www.legis.iowa.gov/docs/ico/chapter/7E.6.pdf" Type="http://schemas.openxmlformats.org/officeDocument/2006/relationships/hyperlink" Id="rId24"/>
    <Relationship TargetMode="External" Target="https://www.legis.iowa.gov/docs/ico/chapter/7E.6.pdf" Type="http://schemas.openxmlformats.org/officeDocument/2006/relationships/hyperlink" Id="rId25"/>
    <Relationship TargetMode="External" Target="https://www.legis.iowa.gov/docs/ico/chapter/97B.52A.pdf" Type="http://schemas.openxmlformats.org/officeDocument/2006/relationships/hyperlink" Id="rId26"/>
    <Relationship TargetMode="External" Target="https://www.legis.iowa.gov/docs/ico/chapter/29A.1.pdf" Type="http://schemas.openxmlformats.org/officeDocument/2006/relationships/hyperlink" Id="rId27"/>
    <Relationship TargetMode="External" Target="https://www.legis.iowa.gov/docs/ico/chapter/97B.52A.pdf" Type="http://schemas.openxmlformats.org/officeDocument/2006/relationships/hyperlink" Id="rId28"/>
    <Relationship TargetMode="External" Target="https://www.legis.iowa.gov/docs/ico/chapter/97B.53B.pdf" Type="http://schemas.openxmlformats.org/officeDocument/2006/relationships/hyperlink" Id="rId29"/>
    <Relationship TargetMode="External" Target="https://www.legis.iowa.gov/docs/ico/chapter/97B.48.pdf" Type="http://schemas.openxmlformats.org/officeDocument/2006/relationships/hyperlink" Id="rId30"/>
    <Relationship TargetMode="External" Target="https://www.legis.iowa.gov/docs/ico/chapter/97B.pdf" Type="http://schemas.openxmlformats.org/officeDocument/2006/relationships/hyperlink" Id="rId31"/>
    <Relationship TargetMode="External" Target="https://www.legis.iowa.gov/docs/ico/chapter/97B.40.pdf" Type="http://schemas.openxmlformats.org/officeDocument/2006/relationships/hyperlink" Id="rId32"/>
    <Relationship TargetMode="External" Target="https://www.legis.iowa.gov/docs/ico/chapter/715A.6.pdf" Type="http://schemas.openxmlformats.org/officeDocument/2006/relationships/hyperlink" Id="rId33"/>
    <Relationship TargetMode="External" Target="https://www.legis.iowa.gov/docs/ico/chapter/421.65.pdf" Type="http://schemas.openxmlformats.org/officeDocument/2006/relationships/hyperlink" Id="rId34"/>
    <Relationship TargetMode="External" Target="https://www.legis.iowa.gov/docs/iac/chapter/495.26.pdf" Type="http://schemas.openxmlformats.org/officeDocument/2006/relationships/hyperlink" Id="rId35"/>
    <Relationship TargetMode="External" Target="https://www.legis.iowa.gov/docs/ico/chapter/97B.4.pdf" Type="http://schemas.openxmlformats.org/officeDocument/2006/relationships/hyperlink" Id="rId36"/>
    <Relationship TargetMode="External" Target="https://www.legis.iowa.gov/docs/ico/chapter/97B.9A.pdf" Type="http://schemas.openxmlformats.org/officeDocument/2006/relationships/hyperlink" Id="rId37"/>
    <Relationship TargetMode="External" Target="https://www.legis.iowa.gov/docs/ico/chapter/97B.15.pdf" Type="http://schemas.openxmlformats.org/officeDocument/2006/relationships/hyperlink" Id="rId38"/>
    <Relationship TargetMode="External" Target="https://www.legis.iowa.gov/docs/ico/chapter/97B.25.pdf" Type="http://schemas.openxmlformats.org/officeDocument/2006/relationships/hyperlink" Id="rId39"/>
    <Relationship TargetMode="External" Target="https://www.legis.iowa.gov/docs/ico/chapter/97B.38.pdf" Type="http://schemas.openxmlformats.org/officeDocument/2006/relationships/hyperlink" Id="rId40"/>
    <Relationship TargetMode="External" Target="https://www.legis.iowa.gov/docs/ico/chapter/97B.40.pdf" Type="http://schemas.openxmlformats.org/officeDocument/2006/relationships/hyperlink" Id="rId41"/>
    <Relationship TargetMode="External" Target="https://www.legis.iowa.gov/docs/ico/chapter/97B.45.pdf" Type="http://schemas.openxmlformats.org/officeDocument/2006/relationships/hyperlink" Id="rId42"/>
    <Relationship TargetMode="External" Target="https://www.legis.iowa.gov/docs/ico/chapter/97B.47.pdf" Type="http://schemas.openxmlformats.org/officeDocument/2006/relationships/hyperlink" Id="rId43"/>
    <Relationship TargetMode="External" Target="https://www.legis.iowa.gov/docs/ico/chapter/97B.48.pdf" Type="http://schemas.openxmlformats.org/officeDocument/2006/relationships/hyperlink" Id="rId44"/>
    <Relationship TargetMode="External" Target="https://www.legis.iowa.gov/docs/ico/chapter/97B.48A.pdf" Type="http://schemas.openxmlformats.org/officeDocument/2006/relationships/hyperlink" Id="rId45"/>
    <Relationship TargetMode="External" Target="https://www.legis.iowa.gov/docs/ico/chapter/97B.49A-49I.pdf" Type="http://schemas.openxmlformats.org/officeDocument/2006/relationships/hyperlink" Id="rId46"/>
    <Relationship TargetMode="External" Target="https://www.legis.iowa.gov/docs/ico/chapter/97B.50.pdf" Type="http://schemas.openxmlformats.org/officeDocument/2006/relationships/hyperlink" Id="rId47"/>
    <Relationship TargetMode="External" Target="https://www.legis.iowa.gov/docs/ico/chapter/97B.51.pdf" Type="http://schemas.openxmlformats.org/officeDocument/2006/relationships/hyperlink" Id="rId48"/>
    <Relationship TargetMode="External" Target="https://www.legis.iowa.gov/docs/ico/chapter/97B.52.pdf" Type="http://schemas.openxmlformats.org/officeDocument/2006/relationships/hyperlink" Id="rId49"/>
    <Relationship TargetMode="External" Target="https://www.legis.iowa.gov/docs/ico/chapter/97B.52A.pdf" Type="http://schemas.openxmlformats.org/officeDocument/2006/relationships/hyperlink" Id="rId50"/>
    <Relationship TargetMode="External" Target="https://www.legis.iowa.gov/docs/ico/chapter/97B.53.pdf" Type="http://schemas.openxmlformats.org/officeDocument/2006/relationships/hyperlink" Id="rId51"/>
    <Relationship TargetMode="External" Target="https://www.legis.iowa.gov/docs/ico/chapter/97B.53B.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