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state public defender adopts the agency procedure for rule making segment of the Uniform Rules on Agency Procedure published on the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493—5.3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In lieu of the words “(commission, board, council, director)”, insert “state public defender”.</w:t>
      </w:r>
    </w:p>
    <w:p>
      <w:pPr>
        <w:spacing w:before="0" w:after="0"/>
        <w:ind w:left="120"/>
        <w:jc w:val="both"/>
      </w:pPr>
      <w:r>
        <w:rPr>
          <w:rFonts w:ascii="Times New Roman" w:hAnsi="Times New Roman"/>
          <w:b/>
          <w:i w:val="false"/>
          <w:color w:val="000000"/>
          <w:sz w:val="22"/>
        </w:rPr>
        <w:t>493—5.4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In lieu of the words “(specify time period)”, insert “one calendar year”.</w:t>
      </w:r>
    </w:p>
    <w:p>
      <w:pPr>
        <w:spacing w:before="0" w:after="0"/>
        <w:ind w:left="120"/>
        <w:jc w:val="both"/>
      </w:pPr>
      <w:r>
        <w:rPr>
          <w:rFonts w:ascii="Times New Roman" w:hAnsi="Times New Roman"/>
          <w:b/>
          <w:i w:val="false"/>
          <w:color w:val="000000"/>
          <w:sz w:val="22"/>
        </w:rPr>
        <w:t>493—5.5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Strike the words “(identify office and address)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office of the state public defender at (515)242-6158”.</w:t>
      </w:r>
    </w:p>
    <w:p>
      <w:pPr>
        <w:spacing w:before="0" w:after="0"/>
        <w:ind w:left="120"/>
        <w:jc w:val="both"/>
      </w:pPr>
      <w:r>
        <w:rPr>
          <w:rFonts w:ascii="Times New Roman" w:hAnsi="Times New Roman"/>
          <w:b/>
          <w:i w:val="false"/>
          <w:color w:val="000000"/>
          <w:sz w:val="22"/>
        </w:rPr>
        <w:t>493—5.6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“the Office of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493—5.10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Rules which are mandated by federal law or regulation in any situation where the department has no option but to adopt specified rules or where federal funding is contingent upon the adoption of the rules;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xml:space="preserve"> Rules which implement recent legislation when a statute provides for an effective date which does not allow for the usual notice and public participation requirements;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c.</w:t>
      </w:r>
      <w:r>
        <w:rPr>
          <w:rFonts w:ascii="Times New Roman" w:hAnsi="Times New Roman"/>
          <w:b w:val="false"/>
          <w:i w:val="false"/>
          <w:color w:val="000000"/>
          <w:sz w:val="22"/>
        </w:rPr>
        <w:t xml:space="preserve"> Rules which confer a benefit or remove a restriction on licensees, the public or some segment of the public;</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d.</w:t>
      </w:r>
      <w:r>
        <w:rPr>
          <w:rFonts w:ascii="Times New Roman" w:hAnsi="Times New Roman"/>
          <w:b w:val="false"/>
          <w:i w:val="false"/>
          <w:color w:val="000000"/>
          <w:sz w:val="22"/>
        </w:rPr>
        <w:t xml:space="preserve"> Rules which are necessary because of imminent peril to the public health, safety or welfare; and</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e.</w:t>
      </w:r>
      <w:r>
        <w:rPr>
          <w:rFonts w:ascii="Times New Roman" w:hAnsi="Times New Roman"/>
          <w:b w:val="false"/>
          <w:i w:val="false"/>
          <w:color w:val="000000"/>
          <w:sz w:val="22"/>
        </w:rPr>
        <w:t xml:space="preserve"> 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493—5.11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the office and address)”, insert “the Office of the State Public Defender,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493—5.13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“state public defender”.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7">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5B.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