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xml:space="preserve">The state public defender adopts the fair information practices segments of the Uniform Administrative Rules which are published on the general assembly’s website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with the following amendments:</w:t>
      </w:r>
    </w:p>
    <w:p>
      <w:pPr>
        <w:spacing w:before="0" w:after="0"/>
        <w:ind w:left="120"/>
        <w:jc w:val="both"/>
      </w:pPr>
      <w:r>
        <w:rPr>
          <w:rFonts w:ascii="Times New Roman" w:hAnsi="Times New Roman"/>
          <w:b/>
          <w:i w:val="false"/>
          <w:color w:val="000000"/>
          <w:sz w:val="22"/>
        </w:rPr>
        <w:t>493—4.1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“state public defender”.</w:t>
      </w:r>
    </w:p>
    <w:p>
      <w:pPr>
        <w:spacing w:before="0" w:after="0"/>
        <w:ind w:left="120"/>
        <w:jc w:val="both"/>
      </w:pPr>
      <w:r>
        <w:rPr>
          <w:rFonts w:ascii="Times New Roman" w:hAnsi="Times New Roman"/>
          <w:b/>
          <w:i w:val="false"/>
          <w:color w:val="000000"/>
          <w:sz w:val="22"/>
        </w:rPr>
        <w:t>493—4.3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“state public defender”. In lieu of the words “(insert agency name and address)”, insert “Office of the State Public Defender,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6">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“one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8/21/24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493—4.6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Procedures by which additions, dissents, or objections may be entered into certain records. </w:t>
      </w:r>
      <w:r>
        <w:rPr>
          <w:rFonts w:ascii="Times New Roman" w:hAnsi="Times New Roman"/>
          <w:b w:val="false"/>
          <w:i w:val="false"/>
          <w:color w:val="000000"/>
          <w:sz w:val="22"/>
        </w:rPr>
        <w:t>In lieu of the words “(designate office)”, insert “the office of the state public defender”.</w:t>
      </w:r>
    </w:p>
    <w:p>
      <w:pPr>
        <w:spacing w:before="0" w:after="0"/>
        <w:ind w:left="120"/>
        <w:jc w:val="both"/>
      </w:pPr>
      <w:r>
        <w:rPr>
          <w:rFonts w:ascii="Times New Roman" w:hAnsi="Times New Roman"/>
          <w:b/>
          <w:i w:val="false"/>
          <w:color w:val="000000"/>
          <w:sz w:val="22"/>
        </w:rPr>
        <w:t>493—4.9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7">
        <w:r>
          <w:rPr>
            <w:rStyle w:val="Hyperlink"/>
            <w:rFonts w:ascii="Times New Roman" w:hAnsi="Times New Roman"/>
            <w:b w:val="false"/>
            <w:i w:val="false"/>
            <w:color w:val="000000"/>
            <w:sz w:val="22"/>
          </w:rPr>
          <w:t>493—4.10(17A,22)</w:t>
        </w:r>
      </w:hyperlink>
      <w:r>
        <w:rPr>
          <w:rFonts w:ascii="Times New Roman" w:hAnsi="Times New Roman"/>
          <w:b w:val="false"/>
          <w:i w:val="false"/>
          <w:color w:val="000000"/>
          <w:sz w:val="22"/>
        </w:rPr>
        <w:t xml:space="preserve">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8">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493—4.10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493—4.11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10">
        <w:r>
          <w:rPr>
            <w:rStyle w:val="Hyperlink"/>
            <w:rFonts w:ascii="Times New Roman" w:hAnsi="Times New Roman"/>
            <w:b w:val="false"/>
            <w:i w:val="false"/>
            <w:color w:val="000000"/>
            <w:sz w:val="22"/>
          </w:rPr>
          <w:t>493—4.7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the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493—4.12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request to review confidential records may be filed by the subject of the record as provided in rule </w:t>
      </w:r>
      <w:hyperlink r:id="rId11">
        <w:r>
          <w:rPr>
            <w:rStyle w:val="Hyperlink"/>
            <w:rFonts w:ascii="Times New Roman" w:hAnsi="Times New Roman"/>
            <w:b w:val="false"/>
            <w:i w:val="false"/>
            <w:color w:val="000000"/>
            <w:sz w:val="22"/>
          </w:rPr>
          <w:t>493—4.6(17A,22)</w:t>
        </w:r>
      </w:hyperlink>
      <w:r>
        <w:rPr>
          <w:rFonts w:ascii="Times New Roman" w:hAnsi="Times New Roman"/>
          <w:b w:val="false"/>
          <w:i w:val="false"/>
          <w:color w:val="000000"/>
          <w:sz w:val="22"/>
        </w:rPr>
        <w:t>.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2">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13">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state public defender may take reasonable steps to protect confidential information relating to another subject.</w:t>
      </w:r>
    </w:p>
    <w:p>
      <w:pPr>
        <w:spacing w:before="0" w:after="0"/>
        <w:ind w:left="120"/>
        <w:jc w:val="both"/>
      </w:pPr>
      <w:r>
        <w:rPr>
          <w:rFonts w:ascii="Times New Roman" w:hAnsi="Times New Roman"/>
          <w:b/>
          <w:i w:val="false"/>
          <w:color w:val="000000"/>
          <w:sz w:val="22"/>
        </w:rPr>
        <w:t>493—4.13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14">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5">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18">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19">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20">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Iowa R.C.P. </w:t>
      </w:r>
      <w:r>
        <w:rPr>
          <w:rFonts w:ascii="Times New Roman" w:hAnsi="Times New Roman"/>
          <w:b w:val="false"/>
          <w:i w:val="false"/>
          <w:color w:val="000000"/>
          <w:sz w:val="22"/>
        </w:rPr>
        <w:t>1.503</w:t>
      </w:r>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investigative reports. (Iowa Code section </w:t>
      </w:r>
      <w:hyperlink r:id="rId23">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 for compensation and reimbursement for legal assistance and supporting documents submitted to the state public defender for payment of costs incurred in the legal representation of an indigent person pursuant to Iowa Code section </w:t>
      </w:r>
      <w:hyperlink r:id="rId24">
        <w:r>
          <w:rPr>
            <w:rStyle w:val="Hyperlink"/>
            <w:rFonts w:ascii="Times New Roman" w:hAnsi="Times New Roman"/>
            <w:b w:val="false"/>
            <w:i w:val="false"/>
            <w:color w:val="000000"/>
            <w:sz w:val="22"/>
          </w:rPr>
          <w:t>13B.4B</w:t>
        </w:r>
      </w:hyperlink>
      <w:r>
        <w:rPr>
          <w:rFonts w:ascii="Times New Roman" w:hAnsi="Times New Roman"/>
          <w:b w:val="false"/>
          <w:i w:val="false"/>
          <w:color w:val="000000"/>
          <w:sz w:val="22"/>
        </w:rPr>
        <w:t>, except as disclosure is authorized under that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other records considered confidential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493—4.14</w:t>
      </w:r>
      <w:r>
        <w:rPr>
          <w:rFonts w:ascii="Times New Roman" w:hAnsi="Times New Roman"/>
          <w:b/>
          <w:i w:val="false"/>
          <w:color w:val="000000"/>
          <w:sz w:val="22"/>
        </w:rPr>
        <w:t xml:space="preserve">(22)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state public defender maintains systems of records which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 xml:space="preserve">By authority of Iowa Code chapter </w:t>
      </w:r>
      <w:hyperlink r:id="rId25">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the appellate defender division maintains information and records relating to criminal and postconviction relief cases that are being appealed. Records contain names and identifying numbers of persons involved in these cases. Case information is stored in a data processing system and may be compared with information in any data processing system. By authority of Iowa Code section </w:t>
      </w:r>
      <w:hyperlink r:id="rId26">
        <w:r>
          <w:rPr>
            <w:rStyle w:val="Hyperlink"/>
            <w:rFonts w:ascii="Times New Roman" w:hAnsi="Times New Roman"/>
            <w:b w:val="false"/>
            <w:i w:val="false"/>
            <w:color w:val="000000"/>
            <w:sz w:val="22"/>
          </w:rPr>
          <w:t>910A.13</w:t>
        </w:r>
      </w:hyperlink>
      <w:r>
        <w:rPr>
          <w:rFonts w:ascii="Times New Roman" w:hAnsi="Times New Roman"/>
          <w:b w:val="false"/>
          <w:i w:val="false"/>
          <w:color w:val="000000"/>
          <w:sz w:val="22"/>
        </w:rPr>
        <w:t xml:space="preserve">, the names of child victims shall not be disclosed. Confidential juvenile records under Iowa Code section </w:t>
      </w:r>
      <w:hyperlink r:id="rId27">
        <w:r>
          <w:rPr>
            <w:rStyle w:val="Hyperlink"/>
            <w:rFonts w:ascii="Times New Roman" w:hAnsi="Times New Roman"/>
            <w:b w:val="false"/>
            <w:i w:val="false"/>
            <w:color w:val="000000"/>
            <w:sz w:val="22"/>
          </w:rPr>
          <w:t>232.147</w:t>
        </w:r>
      </w:hyperlink>
      <w:r>
        <w:rPr>
          <w:rFonts w:ascii="Times New Roman" w:hAnsi="Times New Roman"/>
          <w:b w:val="false"/>
          <w:i w:val="false"/>
          <w:color w:val="000000"/>
          <w:sz w:val="22"/>
        </w:rPr>
        <w:t xml:space="preserve"> shall not be disclosed except as otherwise permitted by law. Presentence investigation reports in the possession of the appellate defender are confidential records pursuant to Iowa Code section </w:t>
      </w:r>
      <w:hyperlink r:id="rId28">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Litigation files. Litigation files or records contain information regarding litigation or anticipated litigation, which include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wishing copies of pleadings and other documents filed in litigation should obtain them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val="false"/>
          <w:color w:val="000000"/>
          <w:sz w:val="22"/>
        </w:rPr>
        <w:t>Contracts. Contractual agreements are maintained by the state public defender. These records contain personally identifiable information when the agreement is with a specific individual. In those instances, the records include the name, address, and social security number of the contracting attorney. Other information in these records may include the proposal of the contracting attorney, budget figures, correspondence, and business information. Personally identifiable information is contained in a data processing system and may be compared with information in any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Personnel files contain information required for tax withholding, information concerning employee benefits, affirmative action reports, and other information concerning the employer-employee relationship. Some of this information is confidential under Iowa Code section </w:t>
      </w:r>
      <w:hyperlink r:id="rId29">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1512C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493—4.15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Other groups of records are maintained by the state public defender other than the records described in rule </w:t>
      </w:r>
      <w:hyperlink r:id="rId30">
        <w:r>
          <w:rPr>
            <w:rStyle w:val="Hyperlink"/>
            <w:rFonts w:ascii="Times New Roman" w:hAnsi="Times New Roman"/>
            <w:b w:val="false"/>
            <w:i w:val="false"/>
            <w:color w:val="000000"/>
            <w:sz w:val="22"/>
          </w:rPr>
          <w:t>493—4.14(22)</w:t>
        </w:r>
      </w:hyperlink>
      <w:r>
        <w:rPr>
          <w:rFonts w:ascii="Times New Roman" w:hAnsi="Times New Roman"/>
          <w:b w:val="false"/>
          <w:i w:val="false"/>
          <w:color w:val="000000"/>
          <w:sz w:val="22"/>
        </w:rPr>
        <w:t>. These records are routinely available to the public; however, the agencies’ files may contain confidential information. The records may contain information about individuals. All records are stored on paper and in some cases in automated data processing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31">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available for public inspection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Commission records. </w:t>
      </w:r>
      <w:r>
        <w:rPr>
          <w:rFonts w:ascii="Times New Roman" w:hAnsi="Times New Roman"/>
          <w:b w:val="false"/>
          <w:i w:val="false"/>
          <w:color w:val="000000"/>
          <w:sz w:val="22"/>
        </w:rPr>
        <w:t xml:space="preserve">Agendas, minutes, and materials presented to the indigent defense advisory commission are available from the office of the state public defender, except those records concerning closed sessions exempt under Iowa Code section </w:t>
      </w:r>
      <w:hyperlink r:id="rId32">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Commission records contain information about people who participate in meetings. This information is collected pursuant to Iowa Code section </w:t>
      </w:r>
      <w:hyperlink r:id="rId33">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on the state public defender system and the delivery of indigent defense services are available from the office of the state public defender.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9938B</w:t>
      </w:r>
      <w:r>
        <w:rPr>
          <w:rFonts w:ascii="Times New Roman" w:hAnsi="Times New Roman"/>
          <w:b w:val="false"/>
          <w:i w:val="false"/>
          <w:color w:val="000000"/>
          <w:sz w:val="16"/>
        </w:rPr>
        <w:t>, IAB 12/28/11, effective 2/1/12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10/7/92 after Notice 8/19/92—published 10/28/92, effective 10/7/92]</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ARC 9938B</w:t>
      </w:r>
      <w:r>
        <w:rPr>
          <w:rFonts w:ascii="Times New Roman" w:hAnsi="Times New Roman"/>
          <w:b w:val="false"/>
          <w:i w:val="false"/>
          <w:color w:val="000000"/>
          <w:sz w:val="21"/>
        </w:rPr>
        <w:t xml:space="preserve"> (Notice ARC 9817B, IAB 11/2/11)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1512C</w:t>
      </w:r>
      <w:r>
        <w:rPr>
          <w:rFonts w:ascii="Times New Roman" w:hAnsi="Times New Roman"/>
          <w:b w:val="false"/>
          <w:i w:val="false"/>
          <w:color w:val="000000"/>
          <w:sz w:val="21"/>
        </w:rPr>
        <w:t xml:space="preserve"> (Notice ARC 1437C,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[Editorial change: IAC Supplement 8/21/24]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22.4.pdf" Type="http://schemas.openxmlformats.org/officeDocument/2006/relationships/hyperlink" Id="rId6"/>
    <Relationship TargetMode="External" Target="https://www.legis.iowa.gov/docs/iac/rule/493.4.10.pdf" Type="http://schemas.openxmlformats.org/officeDocument/2006/relationships/hyperlink" Id="rId7"/>
    <Relationship TargetMode="External" Target="https://www.legis.iowa.gov/docs/ico/chapter/2A.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ac/rule/493.4.7.pdf" Type="http://schemas.openxmlformats.org/officeDocument/2006/relationships/hyperlink" Id="rId10"/>
    <Relationship TargetMode="External" Target="https://www.legis.iowa.gov/docs/iac/rule/493.4.6.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72.3.pdf" Type="http://schemas.openxmlformats.org/officeDocument/2006/relationships/hyperlink" Id="rId14"/>
    <Relationship TargetMode="External" Target="https://www.legis.iowa.gov/docs/ico/chapter/422.20.pdf" Type="http://schemas.openxmlformats.org/officeDocument/2006/relationships/hyperlink" Id="rId15"/>
    <Relationship TargetMode="External" Target="https://www.legis.iowa.gov/docs/ico/chapter/422.72.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1.5.pdf" Type="http://schemas.openxmlformats.org/officeDocument/2006/relationships/hyperlink" Id="rId18"/>
    <Relationship TargetMode="External" Target="https://www.legis.iowa.gov/docs/ico/chapter/17A.3.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622.10.pdf" Type="http://schemas.openxmlformats.org/officeDocument/2006/relationships/hyperlink" Id="rId21"/>
    <Relationship TargetMode="External" Target="https://www.legis.iowa.gov/docs/ico/chapter/622.11.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13B.4B.pdf" Type="http://schemas.openxmlformats.org/officeDocument/2006/relationships/hyperlink" Id="rId24"/>
    <Relationship TargetMode="External" Target="https://www.legis.iowa.gov/docs/ico/chapter/13B.pdf" Type="http://schemas.openxmlformats.org/officeDocument/2006/relationships/hyperlink" Id="rId25"/>
    <Relationship TargetMode="External" Target="https://www.legis.iowa.gov/docs/ico/chapter/910A.13.pdf" Type="http://schemas.openxmlformats.org/officeDocument/2006/relationships/hyperlink" Id="rId26"/>
    <Relationship TargetMode="External" Target="https://www.legis.iowa.gov/docs/ico/chapter/232.147.pdf" Type="http://schemas.openxmlformats.org/officeDocument/2006/relationships/hyperlink" Id="rId27"/>
    <Relationship TargetMode="External" Target="https://www.legis.iowa.gov/docs/ico/chapter/901.4.pdf" Type="http://schemas.openxmlformats.org/officeDocument/2006/relationships/hyperlink" Id="rId28"/>
    <Relationship TargetMode="External" Target="https://www.legis.iowa.gov/docs/ico/chapter/22.7.pdf" Type="http://schemas.openxmlformats.org/officeDocument/2006/relationships/hyperlink" Id="rId29"/>
    <Relationship TargetMode="External" Target="https://www.legis.iowa.gov/docs/iac/rule/493.4.14.pdf" Type="http://schemas.openxmlformats.org/officeDocument/2006/relationships/hyperlink" Id="rId30"/>
    <Relationship TargetMode="External" Target="https://www.legis.iowa.gov/docs/ico/chapter/17A.4.pdf" Type="http://schemas.openxmlformats.org/officeDocument/2006/relationships/hyperlink" Id="rId31"/>
    <Relationship TargetMode="External" Target="https://www.legis.iowa.gov/docs/ico/chapter/21.5.pdf" Type="http://schemas.openxmlformats.org/officeDocument/2006/relationships/hyperlink" Id="rId32"/>
    <Relationship TargetMode="External" Target="https://www.legis.iowa.gov/docs/ico/chapter/21.3.pdf" Type="http://schemas.openxmlformats.org/officeDocument/2006/relationships/hyperlink" Id="rId33"/>
    <Relationship TargetMode="External" Target="https://www.legis.iowa.gov/docs/ico/chapter/17A.3.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co/chapter/22.11.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