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CLAIMS FOR OTHER PROFESSIONAL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493—13.1</w:t>
      </w:r>
      <w:r>
        <w:rPr>
          <w:rFonts w:ascii="Times New Roman" w:hAnsi="Times New Roman"/>
          <w:b/>
          <w:i w:val="false"/>
          <w:color w:val="000000"/>
          <w:sz w:val="22"/>
        </w:rPr>
        <w:t xml:space="preserve">(13B,815)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sets forth the rules for submission, payment and court review of claims for other professional services. See </w:t>
      </w:r>
      <w:hyperlink r:id="rId5">
        <w:r>
          <w:rPr>
            <w:rStyle w:val="Hyperlink"/>
            <w:rFonts w:ascii="Times New Roman" w:hAnsi="Times New Roman"/>
            <w:b w:val="false"/>
            <w:i w:val="false"/>
            <w:color w:val="000000"/>
            <w:sz w:val="22"/>
          </w:rPr>
          <w:t>493—Chapter 7</w:t>
        </w:r>
      </w:hyperlink>
      <w:r>
        <w:rPr>
          <w:rFonts w:ascii="Times New Roman" w:hAnsi="Times New Roman"/>
          <w:b w:val="false"/>
          <w:i w:val="false"/>
          <w:color w:val="000000"/>
          <w:sz w:val="22"/>
        </w:rPr>
        <w:t xml:space="preserve"> for definitions of terms used in this chapter.</w:t>
      </w:r>
    </w:p>
    <w:p>
      <w:pPr>
        <w:spacing w:before="0" w:after="0"/>
        <w:ind w:left="120"/>
        <w:jc w:val="both"/>
      </w:pPr>
      <w:r>
        <w:rPr>
          <w:rFonts w:ascii="Times New Roman" w:hAnsi="Times New Roman"/>
          <w:b/>
          <w:i w:val="false"/>
          <w:color w:val="000000"/>
          <w:sz w:val="22"/>
        </w:rPr>
        <w:t>493—13.2</w:t>
      </w:r>
      <w:r>
        <w:rPr>
          <w:rFonts w:ascii="Times New Roman" w:hAnsi="Times New Roman"/>
          <w:b/>
          <w:i w:val="false"/>
          <w:color w:val="000000"/>
          <w:sz w:val="22"/>
        </w:rPr>
        <w:t xml:space="preserve">(815) </w:t>
      </w:r>
      <w:r>
        <w:rPr>
          <w:rFonts w:ascii="Times New Roman" w:hAnsi="Times New Roman"/>
          <w:b/>
          <w:i w:val="false"/>
          <w:color w:val="000000"/>
          <w:sz w:val="22"/>
        </w:rPr>
        <w:t xml:space="preserve">Claims for other professional services. </w:t>
      </w:r>
      <w:r>
        <w:rPr>
          <w:rFonts w:ascii="Times New Roman" w:hAnsi="Times New Roman"/>
          <w:b w:val="false"/>
          <w:i w:val="false"/>
          <w:color w:val="000000"/>
          <w:sz w:val="22"/>
        </w:rPr>
        <w:t>The state public defender shall review and approve claims for necessary and reasonable expenses for investigators, expert witnesses, certified shorthand reporters, and medical/psychological evaluations if the claimant has a form W-9 on file with the department and the claim conforms to the requirements of this rule. Claims that do not comply with this rule will be returned.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Claims for investigative services. </w:t>
      </w:r>
      <w:r>
        <w:rPr>
          <w:rFonts w:ascii="Times New Roman" w:hAnsi="Times New Roman"/>
          <w:b w:val="false"/>
          <w:i w:val="false"/>
          <w:color w:val="000000"/>
          <w:sz w:val="22"/>
        </w:rPr>
        <w:t>The state public defender shall review, approve and forward for payment claims for necessary and reasonable expenses for investigators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Court approval to hire the investigator was obtained before any expenses for the investigator were incurred.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copy of each of the following documents is attached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and order granting authority to hire the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order appointing counsel. This order is unnecessary if the attorney is not court-appointed and there is an order attached approving payment of the investigative services pursuant to rule </w:t>
      </w:r>
      <w:hyperlink r:id="rId6">
        <w:r>
          <w:rPr>
            <w:rStyle w:val="Hyperlink"/>
            <w:rFonts w:ascii="Times New Roman" w:hAnsi="Times New Roman"/>
            <w:b w:val="false"/>
            <w:i w:val="false"/>
            <w:color w:val="000000"/>
            <w:sz w:val="22"/>
          </w:rPr>
          <w:t>493—13.7</w:t>
        </w:r>
      </w:hyperlink>
      <w:r>
        <w:rPr>
          <w:rFonts w:ascii="Times New Roman" w:hAnsi="Times New Roman"/>
          <w:b w:val="false"/>
          <w:i w:val="false"/>
          <w:color w:val="000000"/>
          <w:sz w:val="22"/>
        </w:rPr>
        <w:t>(13B,815).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itemization of the investigator’s services detailing the expenses incurred, the services rendered, the date(s) on which the services were rendered, the time spent on each date, the hourly rate, and the manner in which the amount of the claim for services was calculated. Except in exceptional circumstances and with the prior approval of the state public defender upon a showing of reasonable necessity, an investigator’s rate shall not exceed $75 per hour. Itemized receipts for expenses must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court order setting the maximum dollar amount of the claim. For purposes of this subrule, if the court order that authorizes hiring the investigator sets a limit for the claim, this court order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investigative services include, but are not limited to, locating witnesses, interviewing witnesses, process service, viewing the crime scene, reviewing documents or photographs, meeting with attorneys, meeting with clients, and creating investigative reports. Clerical work or running errands for the attorney or defendant is not considered investigative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Timely claims required. Claims for services are timely if submitted to the state public defender for payment within 45 days of the most recent date that investigative services were performed for the case. Claims that are not timely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Claims for expert witnesses. </w:t>
      </w:r>
      <w:r>
        <w:rPr>
          <w:rFonts w:ascii="Times New Roman" w:hAnsi="Times New Roman"/>
          <w:b w:val="false"/>
          <w:i w:val="false"/>
          <w:color w:val="000000"/>
          <w:sz w:val="22"/>
        </w:rPr>
        <w:t>The state public defender shall review, approve and forward for payment claims for necessary and reasonable expenses for expert witnesses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Court approval to hire the expert witness was obtained before any expenses for the expert witness were incurred.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copy of each of the following documents is attached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and order granting authority to hire the expert witness.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order appointing counsel. This order is unnecessary if the attorney is not court-appointed and there is an order attached approving payment of the expert witness pursuant to rule </w:t>
      </w:r>
      <w:hyperlink r:id="rId7">
        <w:r>
          <w:rPr>
            <w:rStyle w:val="Hyperlink"/>
            <w:rFonts w:ascii="Times New Roman" w:hAnsi="Times New Roman"/>
            <w:b w:val="false"/>
            <w:i w:val="false"/>
            <w:color w:val="000000"/>
            <w:sz w:val="22"/>
          </w:rPr>
          <w:t>493—13.7</w:t>
        </w:r>
      </w:hyperlink>
      <w:r>
        <w:rPr>
          <w:rFonts w:ascii="Times New Roman" w:hAnsi="Times New Roman"/>
          <w:b w:val="false"/>
          <w:i w:val="false"/>
          <w:color w:val="000000"/>
          <w:sz w:val="22"/>
        </w:rPr>
        <w:t>(13B,815).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itemization of the expert witness’s services detailing the expenses incurred, the services rendered, the date(s) on which the services were rendered, the time spent on each date, and the manner in which the amount of the claim for services was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court order setting the maximum dollar amount of the claim. For purposes of this subrule, if the court order that authorizes hiring the expert sets a limit for the claim, this court order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expert charges a “minimum” amount for services based on a specific time, a certification by the expert that no other services have been performed or charges made by the expert for any portion of that specific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color w:val="000000"/>
          <w:sz w:val="22"/>
        </w:rPr>
        <w:t xml:space="preserve">Claims for certified shorthand reporters. </w:t>
      </w:r>
      <w:r>
        <w:rPr>
          <w:rFonts w:ascii="Times New Roman" w:hAnsi="Times New Roman"/>
          <w:b w:val="false"/>
          <w:i w:val="false"/>
          <w:color w:val="000000"/>
          <w:sz w:val="22"/>
        </w:rPr>
        <w:t>The state public defender shall review, approve and forward for payment claims for necessary and reasonable expenses for depositions and transcripts provided by certified shorthand reporters only in accordance with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 form. </w:t>
      </w:r>
      <w:r>
        <w:rPr>
          <w:rFonts w:ascii="Times New Roman" w:hAnsi="Times New Roman"/>
          <w:b w:val="false"/>
          <w:i w:val="false"/>
          <w:color w:val="000000"/>
          <w:sz w:val="22"/>
        </w:rPr>
        <w:t>When a written claim form for certified shorthand reporting is required under these rules, the certified shorthand reporter shall submit a signed original and one copy of a miscellaneous claim form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case name, case number and county in which the action is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attorney for whom the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on which the transcript was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on which the transcript was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total amount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claimant’s name; address; social security number, federal tax identification number or vendor identification number; email address, if any;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Required documentation. </w:t>
      </w:r>
      <w:r>
        <w:rPr>
          <w:rFonts w:ascii="Times New Roman" w:hAnsi="Times New Roman"/>
          <w:b w:val="false"/>
          <w:i w:val="false"/>
          <w:color w:val="000000"/>
          <w:sz w:val="22"/>
        </w:rPr>
        <w:t>One copy of each of the following documents must be attached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court order granting authority to hire the certified shorthand reporter at state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order appointing counsel. This order is unnecessary if the attorney is not court-appointed and there is an order attached approving payment of the certified shorthand reporter pursuant to rule </w:t>
      </w:r>
      <w:hyperlink r:id="rId8">
        <w:r>
          <w:rPr>
            <w:rStyle w:val="Hyperlink"/>
            <w:rFonts w:ascii="Times New Roman" w:hAnsi="Times New Roman"/>
            <w:b w:val="false"/>
            <w:i w:val="false"/>
            <w:color w:val="000000"/>
            <w:sz w:val="22"/>
          </w:rPr>
          <w:t>493—13.7</w:t>
        </w:r>
      </w:hyperlink>
      <w:r>
        <w:rPr>
          <w:rFonts w:ascii="Times New Roman" w:hAnsi="Times New Roman"/>
          <w:b w:val="false"/>
          <w:i w:val="false"/>
          <w:color w:val="000000"/>
          <w:sz w:val="22"/>
        </w:rPr>
        <w:t>(13B,815).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expedited transcript rates are claimed under subparagraph </w:t>
      </w:r>
      <w:hyperlink r:id="rId9">
        <w:r>
          <w:rPr>
            <w:rStyle w:val="Hyperlink"/>
            <w:rFonts w:ascii="Times New Roman" w:hAnsi="Times New Roman"/>
            <w:b w:val="false"/>
            <w:i w:val="false"/>
            <w:color w:val="000000"/>
            <w:sz w:val="22"/>
          </w:rPr>
          <w:t>13.2(3)</w:t>
        </w:r>
      </w:hyperlink>
      <w:r>
        <w:rPr>
          <w:rFonts w:ascii="Times New Roman" w:hAnsi="Times New Roman"/>
          <w:b w:val="false"/>
          <w:i/>
          <w:color w:val="000000"/>
          <w:sz w:val="22"/>
        </w:rPr>
        <w:t>“d”</w:t>
      </w:r>
      <w:r>
        <w:rPr>
          <w:rFonts w:ascii="Times New Roman" w:hAnsi="Times New Roman"/>
          <w:b w:val="false"/>
          <w:i w:val="false"/>
          <w:color w:val="000000"/>
          <w:sz w:val="22"/>
        </w:rPr>
        <w:t>(10), an email or other written statement from the attorney explaining that expedited delivery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cancellation fee is claimed under subparagraph </w:t>
      </w:r>
      <w:hyperlink r:id="rId10">
        <w:r>
          <w:rPr>
            <w:rStyle w:val="Hyperlink"/>
            <w:rFonts w:ascii="Times New Roman" w:hAnsi="Times New Roman"/>
            <w:b w:val="false"/>
            <w:i w:val="false"/>
            <w:color w:val="000000"/>
            <w:sz w:val="22"/>
          </w:rPr>
          <w:t>13.2(3)</w:t>
        </w:r>
      </w:hyperlink>
      <w:r>
        <w:rPr>
          <w:rFonts w:ascii="Times New Roman" w:hAnsi="Times New Roman"/>
          <w:b w:val="false"/>
          <w:i/>
          <w:color w:val="000000"/>
          <w:sz w:val="22"/>
        </w:rPr>
        <w:t>“d”</w:t>
      </w:r>
      <w:r>
        <w:rPr>
          <w:rFonts w:ascii="Times New Roman" w:hAnsi="Times New Roman"/>
          <w:b w:val="false"/>
          <w:i w:val="false"/>
          <w:color w:val="000000"/>
          <w:sz w:val="22"/>
        </w:rPr>
        <w:t>(6), documentation of the date and time that notice of cancellation was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certified shorthand reporter is a state employee, a certification by the certified shorthand reporter that none of the time for which the claim is being submitted is time for which the certified shorthand reporter was being paid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Rates for court transcripts. </w:t>
      </w:r>
      <w:r>
        <w:rPr>
          <w:rFonts w:ascii="Times New Roman" w:hAnsi="Times New Roman"/>
          <w:b w:val="false"/>
          <w:i w:val="false"/>
          <w:color w:val="000000"/>
          <w:sz w:val="22"/>
        </w:rPr>
        <w:t>If the certified shorthand reporter is a judicial branch employee, claims for certified shorthand reporter services for preparation of court transcripts will be limited to the rate approved by the Iowa supreme court for preparation of transcripts and other certified shorthand reporter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Rates for other transcripts. </w:t>
      </w:r>
      <w:r>
        <w:rPr>
          <w:rFonts w:ascii="Times New Roman" w:hAnsi="Times New Roman"/>
          <w:b w:val="false"/>
          <w:i w:val="false"/>
          <w:color w:val="000000"/>
          <w:sz w:val="22"/>
        </w:rPr>
        <w:t>Unless the certified shorthand reporter has a contract with the state providing for a different rate or manner of payment or the certified shorthand reporter submits a claim for a lesser amount, claims for certified shorthand reporter services for a non-judicial branch employee will be paid only at the rates set forth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Hourly rate when no transcript ordered. Fees for attending depositions when no transcript is ordered will be paid at the rate of $60 per hour for the actual time the certified shorthand reporter is present at the depositions including setup and takedown of equipment. If multiple witnesses are deposed in a deposition session on a single day, this hourly rate shall only apply if no transcript is ordered for any of the witnesses. If the transcript is ordered for some of the witnesses, the hourly rate when a transcript is ordered shall apply for the entire deposition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Hourly rate when transcript ordered. Fees for attending depositions when a transcript is ordered will be paid at the rate of $50 per hour for the actual time the certified shorthand reporter is present at the depositions including setup and takedown of equipment. Fees for performing a transcription of an audio or video recording will be paid at the rate of $50 per hour for the actual time required to complete the transcription but not more than two times the length of the recording transcribed.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Travel time. Fees for travel time will be paid at the rate of $25 per hour for travel outside of the county of the certified shorthand reporter’s office location. Travel time within the county of the certified shorthand reporter’s office location will not be paid. No travel time is payable for the delivery of a transcript or related to the transcription of an audio or video recording.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Transcripts. Unless expedited delivery is requested, fees will be paid at the rate of $4.55 per page for an original, one copy, and an electronic version of the transcript. Copies of a transcript for which an original has already been ordered by any party will be paid at the rate of $1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Exhibits. A rate of $0.10 per page for black and white and $0.30 per page for color copies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Cancellation fees. No cancellation fees will be paid as long as the certified shorthand reporter is given notice of cancellation at least 24 hours before the time scheduled for a deposition. Weekends and state holidays shall not be included when calculating the 24-hour prior notice of cancellation contained in this subparagraph. If the deposition is canceled with less than 24 hours’ notice, a fee for two hours or the actual time that the certified shorthand reporter is present at the site of the deposition including setup and takedown of equipment, whichever is greater, is payable at the rate set forth in subparagraph </w:t>
      </w:r>
      <w:hyperlink r:id="rId11">
        <w:r>
          <w:rPr>
            <w:rStyle w:val="Hyperlink"/>
            <w:rFonts w:ascii="Times New Roman" w:hAnsi="Times New Roman"/>
            <w:b w:val="false"/>
            <w:i w:val="false"/>
            <w:color w:val="000000"/>
            <w:sz w:val="22"/>
          </w:rPr>
          <w:t>13.2(3)</w:t>
        </w:r>
      </w:hyperlink>
      <w:r>
        <w:rPr>
          <w:rFonts w:ascii="Times New Roman" w:hAnsi="Times New Roman"/>
          <w:b w:val="false"/>
          <w:i/>
          <w:color w:val="000000"/>
          <w:sz w:val="22"/>
        </w:rPr>
        <w:t>“d”</w:t>
      </w:r>
      <w:r>
        <w:rPr>
          <w:rFonts w:ascii="Times New Roman" w:hAnsi="Times New Roman"/>
          <w:b w:val="false"/>
          <w:i w:val="false"/>
          <w:color w:val="000000"/>
          <w:sz w:val="22"/>
        </w:rPr>
        <w:t xml:space="preserve">(1). If a full day of depositions was scheduled, a minimum fee for four hours is payable at the rate set forth in subparagraph </w:t>
      </w:r>
      <w:hyperlink r:id="rId12">
        <w:r>
          <w:rPr>
            <w:rStyle w:val="Hyperlink"/>
            <w:rFonts w:ascii="Times New Roman" w:hAnsi="Times New Roman"/>
            <w:b w:val="false"/>
            <w:i w:val="false"/>
            <w:color w:val="000000"/>
            <w:sz w:val="22"/>
          </w:rPr>
          <w:t>13.2(3)</w:t>
        </w:r>
      </w:hyperlink>
      <w:r>
        <w:rPr>
          <w:rFonts w:ascii="Times New Roman" w:hAnsi="Times New Roman"/>
          <w:b w:val="false"/>
          <w:i/>
          <w:color w:val="000000"/>
          <w:sz w:val="22"/>
        </w:rPr>
        <w:t>“d”</w:t>
      </w:r>
      <w:r>
        <w:rPr>
          <w:rFonts w:ascii="Times New Roman" w:hAnsi="Times New Roman"/>
          <w:b w:val="false"/>
          <w:i w:val="false"/>
          <w:color w:val="000000"/>
          <w:sz w:val="22"/>
        </w:rPr>
        <w:t>(1). A certified shorthand reporter is deemed to have been given notice of cancellation when an attorney or representative of the attorney delivers notice of a cancellation to the email address provided by the certified shorthand reporter or leaves a message on voicemail or with a representative of the certified shorthand reporter at the telephone number provided by the certified shorthand reporter, not when the certified shorthand reporter actually hears or reads the message. No cancellation fee will be paid related to the transcription of an audio or video recording.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Minimum time. One hour minimum, exclusive of travel time, will be paid for a deposition or transcription of an audio or video recording that takes less than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time. Except for the initial one hour minimum, all time billed at an hourly rate shall be billed in 15-minute increments.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Postage. Actual postage costs that are reasonable and necessary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Expedited transcripts. Expedited transcripts are those that are required to be delivered within five business days of the date requested. Fees of $8 per page for an original, one copy, and an electronic version of the transcript will be paid for expedited transcripts. Copies of an expedited transcript for which an original has already been ordered by any party will be paid at the rate of $1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Other expenses. Any additional expenses or fees for certified shorthand reporting services not set forth above will only be paid with the prior written consent of the state public defender obtained before the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Realtime reporting. Realtime reporting is any reporting provided by a certified realtime reporter (CRR), either in person or remotely, that produces an immediate transcript of proceedings by using a steno machine connected to a computer that instantly translates spoken word to text. Realtime reporting shall be paid at the hourly rate provided for in subparagraph </w:t>
      </w:r>
      <w:hyperlink r:id="rId13">
        <w:r>
          <w:rPr>
            <w:rStyle w:val="Hyperlink"/>
            <w:rFonts w:ascii="Times New Roman" w:hAnsi="Times New Roman"/>
            <w:b w:val="false"/>
            <w:i w:val="false"/>
            <w:color w:val="000000"/>
            <w:sz w:val="22"/>
          </w:rPr>
          <w:t>13.2(3)</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Technical transcriptions. Technical transcriptions include transcriptions for testimony provided by an “expert witness” as defined in </w:t>
      </w:r>
      <w:hyperlink r:id="rId14">
        <w:r>
          <w:rPr>
            <w:rStyle w:val="Hyperlink"/>
            <w:rFonts w:ascii="Times New Roman" w:hAnsi="Times New Roman"/>
            <w:b w:val="false"/>
            <w:i w:val="false"/>
            <w:color w:val="000000"/>
            <w:sz w:val="22"/>
          </w:rPr>
          <w:t>493—7.1(13B,815)</w:t>
        </w:r>
      </w:hyperlink>
      <w:r>
        <w:rPr>
          <w:rFonts w:ascii="Times New Roman" w:hAnsi="Times New Roman"/>
          <w:b w:val="false"/>
          <w:i w:val="false"/>
          <w:color w:val="000000"/>
          <w:sz w:val="22"/>
        </w:rPr>
        <w:t>. This includes but is not limited to state medical examiners, doctors, nurses, forensic interviewers, accident investigators, lab technicians, and engineers. A witness who happens to fall into one of the preceding categories but who is providing lay testimony does not qualify as an expert witness for purposes of this subparagraph. Technical transcriptions shall be paid at the hourly rate otherwise applicable for such reporting plus an additional $2 per page. If a witness does not qualify as an expert witness for any reason and is not otherwise included in the foregoing list, but a certified shorthand reporter believes a witness still qualifies under this subparagraph, the certified shorthand reporter may provide additional information with their claim to support their request for the technical transcription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Timely claims required. </w:t>
      </w:r>
      <w:r>
        <w:rPr>
          <w:rFonts w:ascii="Times New Roman" w:hAnsi="Times New Roman"/>
          <w:b w:val="false"/>
          <w:i w:val="false"/>
          <w:color w:val="000000"/>
          <w:sz w:val="22"/>
        </w:rPr>
        <w:t>Claims for services are timely if submitted to the state public defender for payment within 45 days of the date on which services are completed. For depositions, services are completed on the date the deposition transcript is delivered or on the date of disposition of the case if no transcript is ordered, whichever date is earlier. For trial transcripts or transcripts of an audio or video recording, services are completed on the date the transcript is delivered. Claims that are not timely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Designation of preferred certified shorthand reporter. </w:t>
      </w:r>
      <w:r>
        <w:rPr>
          <w:rFonts w:ascii="Times New Roman" w:hAnsi="Times New Roman"/>
          <w:b w:val="false"/>
          <w:i w:val="false"/>
          <w:color w:val="000000"/>
          <w:sz w:val="22"/>
        </w:rPr>
        <w:t xml:space="preserve">The state public defender may enter into a contract with one or more certified shorthand reporters to provide court reporting services for depositions in one or more counties and may designate such certified shorthand reporters to be the preferred certified shorthand reporters in the respective counties. Such designations shall be provided to the chief judge of the judicial district for the respective counties and shall be summarized on the website of the state public defender, </w:t>
      </w:r>
      <w:hyperlink r:id="rId15">
        <w:r>
          <w:rPr>
            <w:rStyle w:val="Hyperlink"/>
            <w:rFonts w:ascii="Times New Roman" w:hAnsi="Times New Roman"/>
            <w:b w:val="false"/>
            <w:i w:val="false"/>
            <w:color w:val="000000"/>
            <w:sz w:val="22"/>
            <w:u w:val="single"/>
          </w:rPr>
          <w:t>spd.iowa.gov</w:t>
        </w:r>
      </w:hyperlink>
      <w:r>
        <w:rPr>
          <w:rFonts w:ascii="Times New Roman" w:hAnsi="Times New Roman"/>
          <w:b w:val="false"/>
          <w:i w:val="false"/>
          <w:color w:val="000000"/>
          <w:sz w:val="22"/>
        </w:rPr>
        <w:t>. Claims for services provided in a county in which the state public defender has designated a certified shorthand reporter as the preferred certified shorthand reporter shall be denied unless the claims are submitted by the certified shorthand reporter pursuant to the terms of the contract or are submitted by another certified shorthand reporter and include written documentation that the designated certified shorthand reporter was unavailable to handle the deposition.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color w:val="000000"/>
          <w:sz w:val="22"/>
        </w:rPr>
        <w:t xml:space="preserve">Claims for court-ordered evaluations. </w:t>
      </w:r>
      <w:r>
        <w:rPr>
          <w:rFonts w:ascii="Times New Roman" w:hAnsi="Times New Roman"/>
          <w:b w:val="false"/>
          <w:i w:val="false"/>
          <w:color w:val="000000"/>
          <w:sz w:val="22"/>
        </w:rPr>
        <w:t>The state public defender shall review, approve and forward for payment claims for necessary and reasonable evaluations requested by an appointed attorney only if the purpose of the evaluation is to establish a defense, to determine whether an indigent is competent to stand trial, or to evaluate a defendant at sentencing or resentencing who has been charged as an adult for a felony alleged to have been committed while a juvenile, if the offense has a potential mandatory minimum sentence of imprisonment, and not for any other purpose nor in any other circumstance for sentencing or placement. Additionally, a claim for a court-ordered evaluation will be approved only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Court approval to conduct the evaluation was obtained before any expenses for the evaluation were incurred.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copy of each of the following documents is attached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and order granting authority to conduct the evaluation. This order must specify that the purpose of the evaluation is for a permissible purpose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order appointing counsel. This order is unnecessary if the attorney is not court-appointed and there is an order attached approving payment of the evaluation pursuant to rule </w:t>
      </w:r>
      <w:hyperlink r:id="rId16">
        <w:r>
          <w:rPr>
            <w:rStyle w:val="Hyperlink"/>
            <w:rFonts w:ascii="Times New Roman" w:hAnsi="Times New Roman"/>
            <w:b w:val="false"/>
            <w:i w:val="false"/>
            <w:color w:val="000000"/>
            <w:sz w:val="22"/>
          </w:rPr>
          <w:t>493—13.7</w:t>
        </w:r>
      </w:hyperlink>
      <w:r>
        <w:rPr>
          <w:rFonts w:ascii="Times New Roman" w:hAnsi="Times New Roman"/>
          <w:b w:val="false"/>
          <w:i w:val="false"/>
          <w:color w:val="000000"/>
          <w:sz w:val="22"/>
        </w:rPr>
        <w:t>(13B,815).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itemization of the evaluator’s services detailing the expenses incurred, the services rendered, the date(s) on which the services were rendered, the time spent on each date, and the manner in which the amount of the claim for services was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court order setting the maximum dollar amount of the claim. For purposes of this subrule, if the court order authorizing the evaluation sets a limit for the claim, this court order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evaluator charges a “minimum” amount for services based on a specific time, a certification by the evaluator that no other services have been performed or charges made by the evaluator for any portion of that specific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public defender may reimburse services and expenses not specifically listed in this chapter that are payable pursuant to rules </w:t>
      </w:r>
      <w:hyperlink r:id="rId17">
        <w:r>
          <w:rPr>
            <w:rStyle w:val="Hyperlink"/>
            <w:rFonts w:ascii="Times New Roman" w:hAnsi="Times New Roman"/>
            <w:b w:val="false"/>
            <w:i w:val="false"/>
            <w:color w:val="000000"/>
            <w:sz w:val="22"/>
          </w:rPr>
          <w:t>493—12.7</w:t>
        </w:r>
      </w:hyperlink>
      <w:r>
        <w:rPr>
          <w:rFonts w:ascii="Times New Roman" w:hAnsi="Times New Roman"/>
          <w:b w:val="false"/>
          <w:i w:val="false"/>
          <w:color w:val="000000"/>
          <w:sz w:val="22"/>
        </w:rPr>
        <w:t xml:space="preserve">(13B,815) and </w:t>
      </w:r>
      <w:hyperlink r:id="rId18">
        <w:r>
          <w:rPr>
            <w:rStyle w:val="Hyperlink"/>
            <w:rFonts w:ascii="Times New Roman" w:hAnsi="Times New Roman"/>
            <w:b w:val="false"/>
            <w:i w:val="false"/>
            <w:color w:val="000000"/>
            <w:sz w:val="22"/>
          </w:rPr>
          <w:t>493—12.8</w:t>
        </w:r>
      </w:hyperlink>
      <w:r>
        <w:rPr>
          <w:rFonts w:ascii="Times New Roman" w:hAnsi="Times New Roman"/>
          <w:b w:val="false"/>
          <w:i w:val="false"/>
          <w:color w:val="000000"/>
          <w:sz w:val="22"/>
        </w:rPr>
        <w:t>(13B,815).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13.2(6)</w:t>
      </w:r>
      <w:r>
        <w:rPr>
          <w:rFonts w:ascii="Times New Roman" w:hAnsi="Times New Roman"/>
          <w:b w:val="false"/>
          <w:i w:val="false"/>
          <w:color w:val="000000"/>
          <w:sz w:val="22"/>
        </w:rPr>
        <w:t> </w:t>
      </w:r>
      <w:r>
        <w:rPr>
          <w:rFonts w:ascii="Times New Roman" w:hAnsi="Times New Roman"/>
          <w:b w:val="false"/>
          <w:i/>
          <w:color w:val="000000"/>
          <w:sz w:val="22"/>
        </w:rPr>
        <w:t xml:space="preserve">Submission of claims.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claims for professional services shall be submitted electronically via the online claims website: </w:t>
      </w:r>
      <w:hyperlink r:id="rId19">
        <w:r>
          <w:rPr>
            <w:rStyle w:val="Hyperlink"/>
            <w:rFonts w:ascii="Times New Roman" w:hAnsi="Times New Roman"/>
            <w:b w:val="false"/>
            <w:i w:val="false"/>
            <w:color w:val="000000"/>
            <w:sz w:val="22"/>
            <w:u w:val="single"/>
          </w:rPr>
          <w:t>spdclaims.iowa.gov</w:t>
        </w:r>
      </w:hyperlink>
      <w:r>
        <w:rPr>
          <w:rFonts w:ascii="Times New Roman" w:hAnsi="Times New Roman"/>
          <w:b w:val="false"/>
          <w:i w:val="false"/>
          <w:color w:val="000000"/>
          <w:sz w:val="22"/>
        </w:rPr>
        <w:t xml:space="preserve">. Any reference in these rules to forms or to claims submissions shall refer to the respective claims submission page for miscellaneous claims on the online claims website. The state public defender, at the state public defender’s sole discretion, may grant limited exceptions to the requirement that claims be submitted electronically via the online claims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Claimants granted an exception to online claim submission, must be submitted to the local public defender office for which the services were provided or on a form, promulgated by the state public defender, to the state public defender at the following address: State Public Defender, Claims, 6200 Park Avenue, Suite 100, Des Moines, Iowa 50321,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0137C</w:t>
      </w:r>
      <w:r>
        <w:rPr>
          <w:rFonts w:ascii="Times New Roman" w:hAnsi="Times New Roman"/>
          <w:b w:val="false"/>
          <w:i w:val="false"/>
          <w:color w:val="000000"/>
          <w:sz w:val="16"/>
        </w:rPr>
        <w:t>, IAB 5/30/12, effective 7/11/12</w:t>
      </w:r>
      <w:r>
        <w:rPr>
          <w:rFonts w:ascii="Times New Roman" w:hAnsi="Times New Roman"/>
          <w:b w:val="false"/>
          <w:i w:val="false"/>
          <w:color w:val="000000"/>
          <w:sz w:val="16"/>
        </w:rPr>
        <w:t xml:space="preserve">; </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2378C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4872C</w:t>
      </w:r>
      <w:r>
        <w:rPr>
          <w:rFonts w:ascii="Times New Roman" w:hAnsi="Times New Roman"/>
          <w:b w:val="false"/>
          <w:i w:val="false"/>
          <w:color w:val="000000"/>
          <w:sz w:val="16"/>
        </w:rPr>
        <w:t>, IAB 1/15/20, effective 3/1/20</w:t>
      </w:r>
      <w:r>
        <w:rPr>
          <w:rFonts w:ascii="Times New Roman" w:hAnsi="Times New Roman"/>
          <w:b w:val="false"/>
          <w:i w:val="false"/>
          <w:color w:val="000000"/>
          <w:sz w:val="16"/>
        </w:rPr>
        <w:t xml:space="preserve">; </w:t>
      </w:r>
      <w:r>
        <w:rPr>
          <w:rFonts w:ascii="Times New Roman" w:hAnsi="Times New Roman"/>
          <w:b/>
          <w:i w:val="false"/>
          <w:color w:val="000000"/>
          <w:sz w:val="16"/>
        </w:rPr>
        <w:t>ARC 6800C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 xml:space="preserve">; </w:t>
      </w:r>
      <w:r>
        <w:rPr>
          <w:rFonts w:ascii="Times New Roman" w:hAnsi="Times New Roman"/>
          <w:b/>
          <w:i w:val="false"/>
          <w:color w:val="000000"/>
          <w:sz w:val="16"/>
        </w:rPr>
        <w:t>ARC 8684C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493—13.3</w:t>
      </w:r>
      <w:r>
        <w:rPr>
          <w:rFonts w:ascii="Times New Roman" w:hAnsi="Times New Roman"/>
          <w:b/>
          <w:i w:val="false"/>
          <w:color w:val="000000"/>
          <w:sz w:val="22"/>
        </w:rPr>
        <w:t xml:space="preserve">(13B,815) </w:t>
      </w:r>
      <w:r>
        <w:rPr>
          <w:rFonts w:ascii="Times New Roman" w:hAnsi="Times New Roman"/>
          <w:b/>
          <w:i w:val="false"/>
          <w:color w:val="000000"/>
          <w:sz w:val="22"/>
        </w:rPr>
        <w:t xml:space="preserve">Court review. </w:t>
      </w:r>
      <w:r>
        <w:rPr>
          <w:rFonts w:ascii="Times New Roman" w:hAnsi="Times New Roman"/>
          <w:b w:val="false"/>
          <w:i w:val="false"/>
          <w:color w:val="000000"/>
          <w:sz w:val="22"/>
        </w:rPr>
        <w:t>A claimant whose claim for compensation is denied, reduced, or otherwise modified by the state public defender, for other than mathematical errors, may seek court review of the action of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color w:val="000000"/>
          <w:sz w:val="22"/>
        </w:rPr>
        <w:t xml:space="preserve">Motions for court review. </w:t>
      </w:r>
      <w:r>
        <w:rPr>
          <w:rFonts w:ascii="Times New Roman" w:hAnsi="Times New Roman"/>
          <w:b w:val="false"/>
          <w:i w:val="false"/>
          <w:color w:val="000000"/>
          <w:sz w:val="22"/>
        </w:rPr>
        <w:t>Court review of the action of the state public defender is initiated by filing a motion with the trial court requesting the review. The following conditions shall apply to all such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motion must be filed with the court within 20 days of the action of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motion must set forth each and every ground on which the claimant intends to rely in challenging the action of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motion must have attached to it a complete copy of the claim, together with the notice of action that the claimant seeks to have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all documents filed must be provided to the state public defender.</w:t>
      </w:r>
    </w:p>
    <w:p>
      <w:pPr>
        <w:spacing w:before="0" w:after="0"/>
        <w:ind w:left="120"/>
        <w:jc w:val="both"/>
      </w:pPr>
      <w:r>
        <w:rPr>
          <w:rFonts w:ascii="Times New Roman" w:hAnsi="Times New Roman"/>
          <w:b w:val="false"/>
          <w:i w:val="false"/>
          <w:color w:val="000000"/>
          <w:sz w:val="22"/>
        </w:rPr>
        <w:t>It is unnecessary for the state public defender to file any response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The following shall apply to hearings on motions for court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motion shall be set for hearing by the court. Notice of the hearing on the claimant’s request for review shall be provided to the claimant and the state public defender at least ten days prior to the date and time set by the reviewing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the state public defender specifically indicates an intention to appear in person at the hearing, the state public defender shall participate by telephone. If the state public defender participates by telephone, the state public defender shall be responsible for initiating and paying for the telephone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burden shall be on the claimant requesting the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court shall consider only the issues raised in the claimant’s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court shall issue a written ruling on the issues properly presented in the request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ruling is entered allowing additional fees, the claimant must file a new claim with the state public defender. A copy of the court’s ruling must be attached to the claim form. The date of service on the claim form is the date of the court’s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color w:val="000000"/>
          <w:sz w:val="22"/>
        </w:rPr>
        <w:t xml:space="preserve">Failure to seek review. </w:t>
      </w:r>
      <w:r>
        <w:rPr>
          <w:rFonts w:ascii="Times New Roman" w:hAnsi="Times New Roman"/>
          <w:b w:val="false"/>
          <w:i w:val="false"/>
          <w:color w:val="000000"/>
          <w:sz w:val="22"/>
        </w:rPr>
        <w:t>Failure to seek court review within 20 days of the action of the state public defender will preclude court review of the state public defender’s action.</w:t>
      </w:r>
    </w:p>
    <w:p>
      <w:pPr>
        <w:spacing w:before="210" w:after="0"/>
        <w:ind w:left="120"/>
        <w:jc w:val="both"/>
      </w:pPr>
      <w:r>
        <w:rPr>
          <w:rFonts w:ascii="Times New Roman" w:hAnsi="Times New Roman"/>
          <w:b/>
          <w:i w:val="false"/>
          <w:color w:val="000000"/>
          <w:sz w:val="22"/>
        </w:rPr>
        <w:t>493—13.4</w:t>
      </w:r>
      <w:r>
        <w:rPr>
          <w:rFonts w:ascii="Times New Roman" w:hAnsi="Times New Roman"/>
          <w:b/>
          <w:i w:val="false"/>
          <w:color w:val="000000"/>
          <w:sz w:val="22"/>
        </w:rPr>
        <w:t xml:space="preserve">(13B,815) </w:t>
      </w:r>
      <w:r>
        <w:rPr>
          <w:rFonts w:ascii="Times New Roman" w:hAnsi="Times New Roman"/>
          <w:b/>
          <w:i w:val="false"/>
          <w:color w:val="000000"/>
          <w:sz w:val="22"/>
        </w:rPr>
        <w:t xml:space="preserve">Processing and payment. </w:t>
      </w:r>
      <w:r>
        <w:rPr>
          <w:rFonts w:ascii="Times New Roman" w:hAnsi="Times New Roman"/>
          <w:b w:val="false"/>
          <w:i w:val="false"/>
          <w:color w:val="000000"/>
          <w:sz w:val="22"/>
        </w:rPr>
        <w:t>The state public defender will submit claims to the department for processing and payment. The department will submit claims that are not approved in the current fiscal year to the state appeal board for processing and payment.</w:t>
      </w:r>
    </w:p>
    <w:p>
      <w:pPr>
        <w:spacing w:before="0" w:after="0"/>
        <w:ind w:left="120"/>
        <w:jc w:val="both"/>
      </w:pPr>
      <w:r>
        <w:rPr>
          <w:rFonts w:ascii="Times New Roman" w:hAnsi="Times New Roman"/>
          <w:b/>
          <w:i w:val="false"/>
          <w:color w:val="000000"/>
          <w:sz w:val="22"/>
        </w:rPr>
        <w:t>493—13.5</w:t>
      </w:r>
      <w:r>
        <w:rPr>
          <w:rFonts w:ascii="Times New Roman" w:hAnsi="Times New Roman"/>
          <w:b/>
          <w:i w:val="false"/>
          <w:color w:val="000000"/>
          <w:sz w:val="22"/>
        </w:rPr>
        <w:t xml:space="preserve">(13B,815) </w:t>
      </w:r>
      <w:r>
        <w:rPr>
          <w:rFonts w:ascii="Times New Roman" w:hAnsi="Times New Roman"/>
          <w:b/>
          <w:i w:val="false"/>
          <w:color w:val="000000"/>
          <w:sz w:val="22"/>
        </w:rPr>
        <w:t xml:space="preserve">Payment errors. </w:t>
      </w:r>
      <w:r>
        <w:rPr>
          <w:rFonts w:ascii="Times New Roman" w:hAnsi="Times New Roman"/>
          <w:b w:val="false"/>
          <w:i w:val="false"/>
          <w:color w:val="000000"/>
          <w:sz w:val="22"/>
        </w:rPr>
        <w:t>If an error resulting in an overpayment or double payment of a claim is discovered by the claimant, by the state public defender, by the department, or otherwise, the claimant shall reimburse the indigent defense fund for the amount of the overpayment. An overpayment or double payment shall be repaid by check. The check, made payable to “Treasurer, State of Iowa,” together with a copy of the payment voucher containing the overpayment or double payment, shall be mailed to the Office of the State Public Defender, Lucas State Office Building, 321 East 12th Street, Des Moines, Iowa 50319-0083.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0137C</w:t>
      </w:r>
      <w:r>
        <w:rPr>
          <w:rFonts w:ascii="Times New Roman" w:hAnsi="Times New Roman"/>
          <w:b w:val="false"/>
          <w:i w:val="false"/>
          <w:color w:val="000000"/>
          <w:sz w:val="16"/>
        </w:rPr>
        <w:t>, IAB 5/30/12, effective 7/11/12</w:t>
      </w:r>
      <w:r>
        <w:rPr>
          <w:rFonts w:ascii="Times New Roman" w:hAnsi="Times New Roman"/>
          <w:b w:val="false"/>
          <w:i w:val="false"/>
          <w:color w:val="000000"/>
          <w:sz w:val="16"/>
        </w:rPr>
        <w:t xml:space="preserve">; </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493—13.6</w:t>
      </w:r>
      <w:r>
        <w:rPr>
          <w:rFonts w:ascii="Times New Roman" w:hAnsi="Times New Roman"/>
          <w:b/>
          <w:i w:val="false"/>
          <w:color w:val="000000"/>
          <w:sz w:val="22"/>
        </w:rPr>
        <w:t xml:space="preserve">(815) </w:t>
      </w:r>
      <w:r>
        <w:rPr>
          <w:rFonts w:ascii="Times New Roman" w:hAnsi="Times New Roman"/>
          <w:b/>
          <w:i w:val="false"/>
          <w:color w:val="000000"/>
          <w:sz w:val="22"/>
        </w:rPr>
        <w:t xml:space="preserve">Claims submitted by a county.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1/3/07</w:t>
      </w:r>
      <w:r>
        <w:rPr>
          <w:rFonts w:ascii="Times New Roman" w:hAnsi="Times New Roman"/>
          <w:b w:val="false"/>
          <w:i w:val="false"/>
          <w:color w:val="000000"/>
          <w:sz w:val="22"/>
        </w:rPr>
        <w:t>, effective 2/7/07.</w:t>
      </w:r>
    </w:p>
    <w:p>
      <w:pPr>
        <w:spacing w:before="0" w:after="0"/>
        <w:ind w:left="120"/>
        <w:jc w:val="both"/>
      </w:pPr>
      <w:r>
        <w:rPr>
          <w:rFonts w:ascii="Times New Roman" w:hAnsi="Times New Roman"/>
          <w:b/>
          <w:i w:val="false"/>
          <w:color w:val="000000"/>
          <w:sz w:val="22"/>
        </w:rPr>
        <w:t>493—13.7</w:t>
      </w:r>
      <w:r>
        <w:rPr>
          <w:rFonts w:ascii="Times New Roman" w:hAnsi="Times New Roman"/>
          <w:b/>
          <w:i w:val="false"/>
          <w:color w:val="000000"/>
          <w:sz w:val="22"/>
        </w:rPr>
        <w:t xml:space="preserve">(13B,815) </w:t>
      </w:r>
      <w:r>
        <w:rPr>
          <w:rFonts w:ascii="Times New Roman" w:hAnsi="Times New Roman"/>
          <w:b/>
          <w:i w:val="false"/>
          <w:color w:val="000000"/>
          <w:sz w:val="22"/>
        </w:rPr>
        <w:t xml:space="preserve">Payment of costs incurred by privately retained attorney representing indigent person. </w:t>
      </w:r>
      <w:r>
        <w:rPr>
          <w:rFonts w:ascii="Times New Roman" w:hAnsi="Times New Roman"/>
          <w:b w:val="false"/>
          <w:i w:val="false"/>
          <w:color w:val="000000"/>
          <w:sz w:val="22"/>
        </w:rPr>
        <w:t>No payment of state funds for the costs incurred in the legal representation of an indigent person shall be authorized or paid unless the requirements of this rule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payment. </w:t>
      </w:r>
      <w:r>
        <w:rPr>
          <w:rFonts w:ascii="Times New Roman" w:hAnsi="Times New Roman"/>
          <w:b w:val="false"/>
          <w:i w:val="false"/>
          <w:color w:val="000000"/>
          <w:sz w:val="22"/>
        </w:rPr>
        <w:t>An application or motion for the payment of state funds for the costs incurred in the legal representation of an indigent person that is submitted by the privately retained attorney shall be filed with the court in the county in which the case was filed and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attorney’s fee agreement for the representation, including hourly rate, amount of retainer or other moneys received, and number of hours of work completed by the attorney to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showing that the costs are reasonable and necessary for the representation of the indigent person in a case for which counsel could have been appointed under Iowa Code section </w:t>
      </w:r>
      <w:hyperlink r:id="rId20">
        <w:r>
          <w:rPr>
            <w:rStyle w:val="Hyperlink"/>
            <w:rFonts w:ascii="Times New Roman" w:hAnsi="Times New Roman"/>
            <w:b w:val="false"/>
            <w:i w:val="false"/>
            <w:color w:val="000000"/>
            <w:sz w:val="22"/>
          </w:rPr>
          <w:t>815.10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itemized accounting of all compensation paid to the attorney including the amount of any retainer.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of compensation earned by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on any expected additional costs to be paid or owed by the indigent person to the attorney for the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signed financial affidavit completed by the indigent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color w:val="000000"/>
          <w:sz w:val="22"/>
        </w:rPr>
        <w:t xml:space="preserve">Copy of application to state public defender. </w:t>
      </w:r>
      <w:r>
        <w:rPr>
          <w:rFonts w:ascii="Times New Roman" w:hAnsi="Times New Roman"/>
          <w:b w:val="false"/>
          <w:i w:val="false"/>
          <w:color w:val="000000"/>
          <w:sz w:val="22"/>
        </w:rPr>
        <w:t>The privately retained attorney shall submit a copy of the application or motion and all attached documents to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color w:val="000000"/>
          <w:sz w:val="22"/>
        </w:rPr>
        <w:t xml:space="preserve">Response of state public defender. </w:t>
      </w:r>
      <w:r>
        <w:rPr>
          <w:rFonts w:ascii="Times New Roman" w:hAnsi="Times New Roman"/>
          <w:b w:val="false"/>
          <w:i w:val="false"/>
          <w:color w:val="000000"/>
          <w:sz w:val="22"/>
        </w:rPr>
        <w:t>If the state public defender resists the motion in whole or in part, the state public defender shall file a response to the application or motion within ten days of the state public defender’s receipt of the application or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13.7(4)</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authorization and payment. </w:t>
      </w:r>
      <w:r>
        <w:rPr>
          <w:rFonts w:ascii="Times New Roman" w:hAnsi="Times New Roman"/>
          <w:b w:val="false"/>
          <w:i w:val="false"/>
          <w:color w:val="000000"/>
          <w:sz w:val="22"/>
        </w:rPr>
        <w:t xml:space="preserve">The court shall not grant the application or motion authorizing all or a portion of the payment to be made from state funds unless the court determines, after reviewing the application, any supporting documents, and any response from the state public defender pursuant to </w:t>
      </w:r>
      <w:hyperlink r:id="rId21">
        <w:r>
          <w:rPr>
            <w:rStyle w:val="Hyperlink"/>
            <w:rFonts w:ascii="Times New Roman" w:hAnsi="Times New Roman"/>
            <w:b w:val="false"/>
            <w:i w:val="false"/>
            <w:color w:val="000000"/>
            <w:sz w:val="22"/>
          </w:rPr>
          <w:t>subrule 13.7(3)</w:t>
        </w:r>
      </w:hyperlink>
      <w:r>
        <w:rPr>
          <w:rFonts w:ascii="Times New Roman" w:hAnsi="Times New Roman"/>
          <w:b w:val="false"/>
          <w:i w:val="false"/>
          <w:color w:val="000000"/>
          <w:sz w:val="22"/>
        </w:rPr>
        <w:t>, that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represented person is indigent and unable to pay for the costs sought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are reasonable and necessary for the representation of the indigent person in a case for which counsel could have been appointed under Iowa Code section </w:t>
      </w:r>
      <w:hyperlink r:id="rId22">
        <w:r>
          <w:rPr>
            <w:rStyle w:val="Hyperlink"/>
            <w:rFonts w:ascii="Times New Roman" w:hAnsi="Times New Roman"/>
            <w:b w:val="false"/>
            <w:i w:val="false"/>
            <w:color w:val="000000"/>
            <w:sz w:val="22"/>
          </w:rPr>
          <w:t>815.10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moneys paid or to be paid to the privately retained attorney by or on behalf of the indigent person are insufficient to pay all or a portion of the costs sought to be paid from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whether the moneys paid or to be paid to the attorney are insufficient for purposes of this paragraph, the court shall add the hours previously worked to the hours expected to be worked to finish the case and multiply that sum by the hourly rate of compensation specified in rule </w:t>
      </w:r>
      <w:hyperlink r:id="rId23">
        <w:r>
          <w:rPr>
            <w:rStyle w:val="Hyperlink"/>
            <w:rFonts w:ascii="Times New Roman" w:hAnsi="Times New Roman"/>
            <w:b w:val="false"/>
            <w:i w:val="false"/>
            <w:color w:val="000000"/>
            <w:sz w:val="22"/>
          </w:rPr>
          <w:t>493—12.4</w:t>
        </w:r>
      </w:hyperlink>
      <w:r>
        <w:rPr>
          <w:rFonts w:ascii="Times New Roman" w:hAnsi="Times New Roman"/>
          <w:b w:val="false"/>
          <w:i w:val="false"/>
          <w:color w:val="000000"/>
          <w:sz w:val="22"/>
        </w:rPr>
        <w:t xml:space="preserve">(13B,815) for the type of case in which the costs are requested.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product calculated in subparagraph 13.7(4)</w:t>
      </w:r>
      <w:r>
        <w:rPr>
          <w:rFonts w:ascii="Times New Roman" w:hAnsi="Times New Roman"/>
          <w:b w:val="false"/>
          <w:i/>
          <w:color w:val="000000"/>
          <w:sz w:val="22"/>
        </w:rPr>
        <w:t>“c”</w:t>
      </w:r>
      <w:r>
        <w:rPr>
          <w:rFonts w:ascii="Times New Roman" w:hAnsi="Times New Roman"/>
          <w:b w:val="false"/>
          <w:i w:val="false"/>
          <w:color w:val="000000"/>
          <w:sz w:val="22"/>
        </w:rPr>
        <w:t>(1) is greater than the moneys paid or to be paid to the attorney by or on behalf of the indigent person, the moneys shall be considered insufficient to pay all or a portion of the costs sought to be paid from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private attorney is retained on a flat fee agreement and a precise record of hours worked is not available, the attorney shall provide the court a reasonable estimate of the time expended to allow the court to make the calculation pursuant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w:t>
      </w:r>
      <w:r>
        <w:rPr>
          <w:rFonts w:ascii="Times New Roman" w:hAnsi="Times New Roman"/>
          <w:b w:val="false"/>
          <w:i w:val="false"/>
          <w:color w:val="000000"/>
          <w:sz w:val="22"/>
        </w:rPr>
        <w:t> </w:t>
      </w:r>
      <w:r>
        <w:rPr>
          <w:rFonts w:ascii="Times New Roman" w:hAnsi="Times New Roman"/>
          <w:b w:val="false"/>
          <w:i/>
          <w:color w:val="000000"/>
          <w:sz w:val="22"/>
        </w:rPr>
        <w:t xml:space="preserve">Opportunity to request a hearing and hearing on the application. </w:t>
      </w:r>
      <w:r>
        <w:rPr>
          <w:rFonts w:ascii="Times New Roman" w:hAnsi="Times New Roman"/>
          <w:b w:val="false"/>
          <w:i w:val="false"/>
          <w:color w:val="000000"/>
          <w:sz w:val="22"/>
        </w:rPr>
        <w:t xml:space="preserve">The state public defender shall be afforded reasonable notice and opportunity to respond to the motion and participate in any hearing on the application or motion. Either the privately retained attorney for the indigent person or a representative from the office of the state public defender may participate in a hearing on the application or motion by telephone.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13.7(6)</w:t>
      </w:r>
      <w:r>
        <w:rPr>
          <w:rFonts w:ascii="Times New Roman" w:hAnsi="Times New Roman"/>
          <w:b w:val="false"/>
          <w:i w:val="false"/>
          <w:color w:val="000000"/>
          <w:sz w:val="22"/>
        </w:rPr>
        <w:t> </w:t>
      </w:r>
      <w:r>
        <w:rPr>
          <w:rFonts w:ascii="Times New Roman" w:hAnsi="Times New Roman"/>
          <w:b w:val="false"/>
          <w:i/>
          <w:color w:val="000000"/>
          <w:sz w:val="22"/>
        </w:rPr>
        <w:t xml:space="preserve">Protection of defense strategy and work product. </w:t>
      </w:r>
      <w:r>
        <w:rPr>
          <w:rFonts w:ascii="Times New Roman" w:hAnsi="Times New Roman"/>
          <w:b w:val="false"/>
          <w:i w:val="false"/>
          <w:color w:val="000000"/>
          <w:sz w:val="22"/>
        </w:rPr>
        <w:t xml:space="preserve">In considering and ruling on the application or motion, the court shall order appropriate procedures to protect against disclosure of defense strategy and defense work product to the prosecution, including but not limited to allowance of information or filings, or portions thereof, to be submitted in camera, ex parte hearings, sealing of any transcript or order to avoid such disclosure, protective orders, or other safeguards to protect defense strategy and work product from disclosure to the prosecution.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13.7(7)</w:t>
      </w:r>
      <w:r>
        <w:rPr>
          <w:rFonts w:ascii="Times New Roman" w:hAnsi="Times New Roman"/>
          <w:b w:val="false"/>
          <w:i w:val="false"/>
          <w:color w:val="000000"/>
          <w:sz w:val="22"/>
        </w:rPr>
        <w:t> </w:t>
      </w:r>
      <w:r>
        <w:rPr>
          <w:rFonts w:ascii="Times New Roman" w:hAnsi="Times New Roman"/>
          <w:b w:val="false"/>
          <w:i/>
          <w:color w:val="000000"/>
          <w:sz w:val="22"/>
        </w:rPr>
        <w:t xml:space="preserve">Order on the application. </w:t>
      </w:r>
      <w:r>
        <w:rPr>
          <w:rFonts w:ascii="Times New Roman" w:hAnsi="Times New Roman"/>
          <w:b w:val="false"/>
          <w:i w:val="false"/>
          <w:color w:val="000000"/>
          <w:sz w:val="22"/>
        </w:rPr>
        <w:t xml:space="preserve">If the court finds the payment of the costs incurred or to be incurred by a privately retained attorney are reasonable and necessary, the order of the court shall specify the maximum amount of costs which the attorney may incur without further court order, and that the actual amount of such costs to be allowed are subject to review by the state public defender for reasonableness.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13.7(8)</w:t>
      </w:r>
      <w:r>
        <w:rPr>
          <w:rFonts w:ascii="Times New Roman" w:hAnsi="Times New Roman"/>
          <w:b w:val="false"/>
          <w:i w:val="false"/>
          <w:color w:val="000000"/>
          <w:sz w:val="22"/>
        </w:rPr>
        <w:t> </w:t>
      </w:r>
      <w:r>
        <w:rPr>
          <w:rFonts w:ascii="Times New Roman" w:hAnsi="Times New Roman"/>
          <w:b w:val="false"/>
          <w:i/>
          <w:color w:val="000000"/>
          <w:sz w:val="22"/>
        </w:rPr>
        <w:t xml:space="preserve">Submission of claim for payment to state public defender. </w:t>
      </w:r>
      <w:r>
        <w:rPr>
          <w:rFonts w:ascii="Times New Roman" w:hAnsi="Times New Roman"/>
          <w:b w:val="false"/>
          <w:i w:val="false"/>
          <w:color w:val="000000"/>
          <w:sz w:val="22"/>
        </w:rPr>
        <w:t xml:space="preserve">Following entry of an order allowing costs to be incurred by a privately retained attorney representing an indigent person, the attorney or the service provider may seek payment or reimbursement for costs. The attorney shall submit a claim in accordance with rules </w:t>
      </w:r>
      <w:hyperlink r:id="rId24">
        <w:r>
          <w:rPr>
            <w:rStyle w:val="Hyperlink"/>
            <w:rFonts w:ascii="Times New Roman" w:hAnsi="Times New Roman"/>
            <w:b w:val="false"/>
            <w:i w:val="false"/>
            <w:color w:val="000000"/>
            <w:sz w:val="22"/>
          </w:rPr>
          <w:t>493—12.7</w:t>
        </w:r>
      </w:hyperlink>
      <w:r>
        <w:rPr>
          <w:rFonts w:ascii="Times New Roman" w:hAnsi="Times New Roman"/>
          <w:b w:val="false"/>
          <w:i w:val="false"/>
          <w:color w:val="000000"/>
          <w:sz w:val="22"/>
        </w:rPr>
        <w:t xml:space="preserve">(13B,815) and </w:t>
      </w:r>
      <w:hyperlink r:id="rId25">
        <w:r>
          <w:rPr>
            <w:rStyle w:val="Hyperlink"/>
            <w:rFonts w:ascii="Times New Roman" w:hAnsi="Times New Roman"/>
            <w:b w:val="false"/>
            <w:i w:val="false"/>
            <w:color w:val="000000"/>
            <w:sz w:val="22"/>
          </w:rPr>
          <w:t>493—12.8</w:t>
        </w:r>
      </w:hyperlink>
      <w:r>
        <w:rPr>
          <w:rFonts w:ascii="Times New Roman" w:hAnsi="Times New Roman"/>
          <w:b w:val="false"/>
          <w:i w:val="false"/>
          <w:color w:val="000000"/>
          <w:sz w:val="22"/>
        </w:rPr>
        <w:t xml:space="preserve">(13B,815). The service provider shall submit a claim in accordance with </w:t>
      </w:r>
      <w:hyperlink r:id="rId26">
        <w:r>
          <w:rPr>
            <w:rStyle w:val="Hyperlink"/>
            <w:rFonts w:ascii="Times New Roman" w:hAnsi="Times New Roman"/>
            <w:b w:val="false"/>
            <w:i w:val="false"/>
            <w:color w:val="000000"/>
            <w:sz w:val="22"/>
          </w:rPr>
          <w:t>493—Chapter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13.7(9)</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for noncompliance. </w:t>
      </w:r>
      <w:r>
        <w:rPr>
          <w:rFonts w:ascii="Times New Roman" w:hAnsi="Times New Roman"/>
          <w:b w:val="false"/>
          <w:i w:val="false"/>
          <w:color w:val="000000"/>
          <w:sz w:val="22"/>
        </w:rPr>
        <w:t>If the privately retained attorney or claimant seeking payment or reimbursement for costs pursuant to this rule fails to comply with the requirements of this rule, the state public defender may deny all or a part of the costs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13.7(10)</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rule. </w:t>
      </w:r>
      <w:r>
        <w:rPr>
          <w:rFonts w:ascii="Times New Roman" w:hAnsi="Times New Roman"/>
          <w:b w:val="false"/>
          <w:i w:val="false"/>
          <w:color w:val="000000"/>
          <w:sz w:val="22"/>
        </w:rPr>
        <w:t xml:space="preserve">This rule applies to payments to witnesses under Iowa Code section </w:t>
      </w:r>
      <w:hyperlink r:id="rId27">
        <w:r>
          <w:rPr>
            <w:rStyle w:val="Hyperlink"/>
            <w:rFonts w:ascii="Times New Roman" w:hAnsi="Times New Roman"/>
            <w:b w:val="false"/>
            <w:i w:val="false"/>
            <w:color w:val="000000"/>
            <w:sz w:val="22"/>
          </w:rPr>
          <w:t>815.4</w:t>
        </w:r>
      </w:hyperlink>
      <w:r>
        <w:rPr>
          <w:rFonts w:ascii="Times New Roman" w:hAnsi="Times New Roman"/>
          <w:b w:val="false"/>
          <w:i w:val="false"/>
          <w:color w:val="000000"/>
          <w:sz w:val="22"/>
        </w:rPr>
        <w:t xml:space="preserve">, evaluators, investigators, and certified shorthand reporters, and to other costs incurred by a privately retained attorney in the legal representation of the indigent person. This rule does not apply to payment of costs on behalf of an indigent person represented on a pro bono basis.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4872C</w:t>
      </w:r>
      <w:r>
        <w:rPr>
          <w:rFonts w:ascii="Times New Roman" w:hAnsi="Times New Roman"/>
          <w:b w:val="false"/>
          <w:i w:val="false"/>
          <w:color w:val="000000"/>
          <w:sz w:val="16"/>
        </w:rPr>
        <w:t>, IAB 1/15/20, effective 3/1/20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8">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815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6/4/04—published 6/23/04, effective 7/1/04]</w:t>
      </w:r>
    </w:p>
    <w:p>
      <w:pPr>
        <w:spacing w:before="0" w:after="0"/>
        <w:ind w:left="120"/>
        <w:jc w:val="center"/>
      </w:pPr>
      <w:r>
        <w:rPr>
          <w:rFonts w:ascii="Times New Roman" w:hAnsi="Times New Roman"/>
          <w:b w:val="false"/>
          <w:i w:val="false"/>
          <w:color w:val="000000"/>
          <w:sz w:val="21"/>
        </w:rPr>
        <w:t>[Filed 11/3/04, Notice 6/23/04—published 11/24/04, effective 12/29/04]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emergency 8/6/07—published 8/29/07, effective 9/1/07]</w:t>
      </w:r>
    </w:p>
    <w:p>
      <w:pPr>
        <w:spacing w:before="0" w:after="0"/>
        <w:ind w:left="120"/>
        <w:jc w:val="center"/>
      </w:pPr>
      <w:r>
        <w:rPr>
          <w:rFonts w:ascii="Times New Roman" w:hAnsi="Times New Roman"/>
          <w:b w:val="false"/>
          <w:i w:val="false"/>
          <w:color w:val="000000"/>
          <w:sz w:val="21"/>
        </w:rPr>
        <w:t>[Filed 10/3/07, Notice 8/29/07—published 10/24/07, effective 12/1/07]</w:t>
      </w:r>
    </w:p>
    <w:p>
      <w:pPr>
        <w:spacing w:before="0" w:after="0"/>
        <w:ind w:left="120"/>
        <w:jc w:val="center"/>
      </w:pPr>
      <w:r>
        <w:rPr>
          <w:rFonts w:ascii="Times New Roman" w:hAnsi="Times New Roman"/>
          <w:b w:val="false"/>
          <w:i w:val="false"/>
          <w:color w:val="000000"/>
          <w:sz w:val="21"/>
        </w:rPr>
        <w:t>[Filed 4/3/08, Notice 2/27/08—published 4/23/08, effective 5/28/08]</w:t>
      </w:r>
    </w:p>
    <w:p>
      <w:pPr>
        <w:spacing w:before="0" w:after="0"/>
        <w:ind w:left="120"/>
        <w:jc w:val="center"/>
      </w:pPr>
      <w:r>
        <w:rPr>
          <w:rFonts w:ascii="Times New Roman" w:hAnsi="Times New Roman"/>
          <w:b w:val="false"/>
          <w:i w:val="false"/>
          <w:color w:val="000000"/>
          <w:sz w:val="21"/>
        </w:rPr>
        <w:t>[Filed ARC 0137C</w:t>
      </w:r>
      <w:r>
        <w:rPr>
          <w:rFonts w:ascii="Times New Roman" w:hAnsi="Times New Roman"/>
          <w:b w:val="false"/>
          <w:i w:val="false"/>
          <w:color w:val="000000"/>
          <w:sz w:val="21"/>
        </w:rPr>
        <w:t xml:space="preserve"> (Notice ARC 0050C, IAB 3/21/12)</w:t>
      </w:r>
      <w:r>
        <w:rPr>
          <w:rFonts w:ascii="Times New Roman" w:hAnsi="Times New Roman"/>
          <w:b w:val="false"/>
          <w:i w:val="false"/>
          <w:color w:val="000000"/>
          <w:sz w:val="21"/>
        </w:rPr>
        <w:t>, IAB 5/30/12, effective 7/11/12]</w:t>
      </w:r>
    </w:p>
    <w:p>
      <w:pPr>
        <w:spacing w:before="0" w:after="0"/>
        <w:ind w:left="120"/>
        <w:jc w:val="center"/>
      </w:pPr>
      <w:r>
        <w:rPr>
          <w:rFonts w:ascii="Times New Roman" w:hAnsi="Times New Roman"/>
          <w:b w:val="false"/>
          <w:i w:val="false"/>
          <w:color w:val="000000"/>
          <w:sz w:val="21"/>
        </w:rPr>
        <w:t>[Filed ARC 1512C</w:t>
      </w:r>
      <w:r>
        <w:rPr>
          <w:rFonts w:ascii="Times New Roman" w:hAnsi="Times New Roman"/>
          <w:b w:val="false"/>
          <w:i w:val="false"/>
          <w:color w:val="000000"/>
          <w:sz w:val="21"/>
        </w:rPr>
        <w:t xml:space="preserve"> (Notice ARC 1437C,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2378C</w:t>
      </w:r>
      <w:r>
        <w:rPr>
          <w:rFonts w:ascii="Times New Roman" w:hAnsi="Times New Roman"/>
          <w:b w:val="false"/>
          <w:i w:val="false"/>
          <w:color w:val="000000"/>
          <w:sz w:val="21"/>
        </w:rPr>
        <w:t xml:space="preserve"> (Notice ARC 2233C, IAB 11/11/15)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4872C</w:t>
      </w:r>
      <w:r>
        <w:rPr>
          <w:rFonts w:ascii="Times New Roman" w:hAnsi="Times New Roman"/>
          <w:b w:val="false"/>
          <w:i w:val="false"/>
          <w:color w:val="000000"/>
          <w:sz w:val="21"/>
        </w:rPr>
        <w:t xml:space="preserve"> (Notice ARC 4778C, IAB 11/20/19)</w:t>
      </w:r>
      <w:r>
        <w:rPr>
          <w:rFonts w:ascii="Times New Roman" w:hAnsi="Times New Roman"/>
          <w:b w:val="false"/>
          <w:i w:val="false"/>
          <w:color w:val="000000"/>
          <w:sz w:val="21"/>
        </w:rPr>
        <w:t>, IAB 1/15/20, effective 3/1/20]</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8684C</w:t>
      </w:r>
      <w:r>
        <w:rPr>
          <w:rFonts w:ascii="Times New Roman" w:hAnsi="Times New Roman"/>
          <w:b w:val="false"/>
          <w:i w:val="false"/>
          <w:color w:val="000000"/>
          <w:sz w:val="21"/>
        </w:rPr>
        <w:t xml:space="preserve"> (Notice ARC 8279C, IAB 10/30/24)</w:t>
      </w:r>
      <w:r>
        <w:rPr>
          <w:rFonts w:ascii="Times New Roman" w:hAnsi="Times New Roman"/>
          <w:b w:val="false"/>
          <w:i w:val="false"/>
          <w:color w:val="000000"/>
          <w:sz w:val="21"/>
        </w:rPr>
        <w:t>, IAB 12/25/24, effective 1/29/25]</w:t>
      </w:r>
    </w:p>
    <w:p>
      <w:pPr>
        <w:pBdr>
          <w:bottom w:space="2"/>
        </w:pBdr>
        <w:spacing w:before="0" w:after="0"/>
        <w:ind w:left="120"/>
        <w:jc w:val="both"/>
      </w:pPr>
      <w:r>
        <w:rPr>
          <w:rFonts w:ascii="Times New Roman" w:hAnsi="Times New Roman"/>
          <w:b w:val="false"/>
          <w:i w:val="false"/>
          <w:color w:val="000000"/>
          <w:sz w:val="22"/>
        </w:rPr>
        <w:t>12/29/04 effective date delayed 70 days by the Administrative Rules Review Committee at its meeting held 12/14/04.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93.7.pdf" Type="http://schemas.openxmlformats.org/officeDocument/2006/relationships/hyperlink" Id="rId5"/>
    <Relationship TargetMode="External" Target="https://www.legis.iowa.gov/docs/iac/rule/493.13.7.pdf" Type="http://schemas.openxmlformats.org/officeDocument/2006/relationships/hyperlink" Id="rId6"/>
    <Relationship TargetMode="External" Target="https://www.legis.iowa.gov/docs/iac/rule/493.13.7.pdf" Type="http://schemas.openxmlformats.org/officeDocument/2006/relationships/hyperlink" Id="rId7"/>
    <Relationship TargetMode="External" Target="https://www.legis.iowa.gov/docs/iac/rule/493.13.7.pdf" Type="http://schemas.openxmlformats.org/officeDocument/2006/relationships/hyperlink" Id="rId8"/>
    <Relationship TargetMode="External" Target="https://www.legis.iowa.gov/docs/iac/rule/493.13.2.pdf" Type="http://schemas.openxmlformats.org/officeDocument/2006/relationships/hyperlink" Id="rId9"/>
    <Relationship TargetMode="External" Target="https://www.legis.iowa.gov/docs/iac/rule/493.13.2.pdf" Type="http://schemas.openxmlformats.org/officeDocument/2006/relationships/hyperlink" Id="rId10"/>
    <Relationship TargetMode="External" Target="https://www.legis.iowa.gov/docs/iac/rule/493.13.2.pdf" Type="http://schemas.openxmlformats.org/officeDocument/2006/relationships/hyperlink" Id="rId11"/>
    <Relationship TargetMode="External" Target="https://www.legis.iowa.gov/docs/iac/rule/493.13.2.pdf" Type="http://schemas.openxmlformats.org/officeDocument/2006/relationships/hyperlink" Id="rId12"/>
    <Relationship TargetMode="External" Target="https://www.legis.iowa.gov/docs/iac/rule/493.13.2.pdf" Type="http://schemas.openxmlformats.org/officeDocument/2006/relationships/hyperlink" Id="rId13"/>
    <Relationship TargetMode="External" Target="https://www.legis.iowa.gov/docs/iac/rule/493.7.1.pdf" Type="http://schemas.openxmlformats.org/officeDocument/2006/relationships/hyperlink" Id="rId14"/>
    <Relationship TargetMode="External" Target="http://spd.iowa.gov" Type="http://schemas.openxmlformats.org/officeDocument/2006/relationships/hyperlink" Id="rId15"/>
    <Relationship TargetMode="External" Target="https://www.legis.iowa.gov/docs/iac/rule/493.13.7.pdf" Type="http://schemas.openxmlformats.org/officeDocument/2006/relationships/hyperlink" Id="rId16"/>
    <Relationship TargetMode="External" Target="https://www.legis.iowa.gov/docs/iac/rule/493.12.7.pdf" Type="http://schemas.openxmlformats.org/officeDocument/2006/relationships/hyperlink" Id="rId17"/>
    <Relationship TargetMode="External" Target="https://www.legis.iowa.gov/docs/iac/rule/493.12.8.pdf" Type="http://schemas.openxmlformats.org/officeDocument/2006/relationships/hyperlink" Id="rId18"/>
    <Relationship TargetMode="External" Target="http://spdclaims.iowa.gov" Type="http://schemas.openxmlformats.org/officeDocument/2006/relationships/hyperlink" Id="rId19"/>
    <Relationship TargetMode="External" Target="https://www.legis.iowa.gov/docs/ico/chapter/815.10.pdf" Type="http://schemas.openxmlformats.org/officeDocument/2006/relationships/hyperlink" Id="rId20"/>
    <Relationship TargetMode="External" Target="https://www.legis.iowa.gov/docs/iac/rule/493.13.7.pdf" Type="http://schemas.openxmlformats.org/officeDocument/2006/relationships/hyperlink" Id="rId21"/>
    <Relationship TargetMode="External" Target="https://www.legis.iowa.gov/docs/ico/chapter/815.10.pdf" Type="http://schemas.openxmlformats.org/officeDocument/2006/relationships/hyperlink" Id="rId22"/>
    <Relationship TargetMode="External" Target="https://www.legis.iowa.gov/docs/iac/rule/493.12.4.pdf" Type="http://schemas.openxmlformats.org/officeDocument/2006/relationships/hyperlink" Id="rId23"/>
    <Relationship TargetMode="External" Target="https://www.legis.iowa.gov/docs/iac/rule/493.12.7.pdf" Type="http://schemas.openxmlformats.org/officeDocument/2006/relationships/hyperlink" Id="rId24"/>
    <Relationship TargetMode="External" Target="https://www.legis.iowa.gov/docs/iac/rule/493.12.8.pdf" Type="http://schemas.openxmlformats.org/officeDocument/2006/relationships/hyperlink" Id="rId25"/>
    <Relationship TargetMode="External" Target="https://www.legis.iowa.gov/docs/iac/chapter/493.13.pdf" Type="http://schemas.openxmlformats.org/officeDocument/2006/relationships/hyperlink" Id="rId26"/>
    <Relationship TargetMode="External" Target="https://www.legis.iowa.gov/docs/ico/chapter/815.4.pdf" Type="http://schemas.openxmlformats.org/officeDocument/2006/relationships/hyperlink" Id="rId27"/>
    <Relationship TargetMode="External" Target="https://www.legis.iowa.gov/docs/ico/chapter/13B.pdf" Type="http://schemas.openxmlformats.org/officeDocument/2006/relationships/hyperlink" Id="rId28"/>
    <Relationship TargetMode="External" Target="https://www.legis.iowa.gov/docs/ico/chapter/815.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