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racing and gaming commission adopts, with the following exceptions and amendments, rules of the Governor’s Task Force on Uniform Rules of Agency Procedure relating to fair information practices which are printed in the first volume of the Iowa Administrative Code.</w:t>
      </w:r>
    </w:p>
    <w:p>
      <w:pPr>
        <w:spacing w:before="0" w:after="0"/>
        <w:ind w:left="120"/>
        <w:jc w:val="both"/>
      </w:pPr>
      <w:r>
        <w:rPr>
          <w:rFonts w:ascii="Times New Roman" w:hAnsi="Times New Roman"/>
          <w:b/>
          <w:i w:val="false"/>
          <w:color w:val="000000"/>
          <w:sz w:val="22"/>
        </w:rPr>
        <w:t>491—3.1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“(official or body issuing these rules)”, insert “racing and gaming commission”.</w:t>
      </w:r>
    </w:p>
    <w:p>
      <w:pPr>
        <w:spacing w:before="0" w:after="0"/>
        <w:ind w:left="120"/>
        <w:jc w:val="both"/>
      </w:pPr>
      <w:r>
        <w:rPr>
          <w:rFonts w:ascii="Times New Roman" w:hAnsi="Times New Roman"/>
          <w:b/>
          <w:i w:val="false"/>
          <w:color w:val="000000"/>
          <w:sz w:val="22"/>
        </w:rPr>
        <w:t>491—3.3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“Administrator”. In lieu of the words “(insert agency name and address)”, insert “Racing and Gaming Commission,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5">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Monday through Friday except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the words “(specify time period)”, insert “30 minutes”.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3/6/24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491—3.6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the words “(designate office)”, insert “racing and gaming commission”.</w:t>
      </w:r>
    </w:p>
    <w:p>
      <w:pPr>
        <w:spacing w:before="0" w:after="0"/>
        <w:ind w:left="120"/>
        <w:jc w:val="both"/>
      </w:pPr>
      <w:r>
        <w:rPr>
          <w:rFonts w:ascii="Times New Roman" w:hAnsi="Times New Roman"/>
          <w:b/>
          <w:i w:val="false"/>
          <w:color w:val="000000"/>
          <w:sz w:val="22"/>
        </w:rPr>
        <w:t>491—3.9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6">
        <w:r>
          <w:rPr>
            <w:rStyle w:val="Hyperlink"/>
            <w:rFonts w:ascii="Times New Roman" w:hAnsi="Times New Roman"/>
            <w:b w:val="false"/>
            <w:i w:val="false"/>
            <w:color w:val="000000"/>
            <w:sz w:val="22"/>
          </w:rPr>
          <w:t>491—3.10(17A, 22)</w:t>
        </w:r>
      </w:hyperlink>
      <w:r>
        <w:rPr>
          <w:rFonts w:ascii="Times New Roman" w:hAnsi="Times New Roman"/>
          <w:b w:val="false"/>
          <w:i w:val="false"/>
          <w:color w:val="000000"/>
          <w:sz w:val="22"/>
        </w:rPr>
        <w:t xml:space="preserve"> or in the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 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7">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491—3.10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color w:val="000000"/>
          <w:sz w:val="22"/>
        </w:rPr>
        <w:t>“Routine use”</w:t>
      </w:r>
      <w:r>
        <w:rPr>
          <w:rFonts w:ascii="Times New Roman" w:hAnsi="Times New Roman"/>
          <w:b w:val="false"/>
          <w:i w:val="false"/>
          <w:color w:val="000000"/>
          <w:sz w:val="22"/>
        </w:rPr>
        <w:t xml:space="preserv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3.10(1)</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Information transferred to any originating agency when racing and gaming commission has completed the authorized audit, investigation, 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reported pursuant to Iowa Code sections </w:t>
      </w:r>
      <w:hyperlink r:id="rId9">
        <w:r>
          <w:rPr>
            <w:rStyle w:val="Hyperlink"/>
            <w:rFonts w:ascii="Times New Roman" w:hAnsi="Times New Roman"/>
            <w:b w:val="false"/>
            <w:i w:val="false"/>
            <w:color w:val="000000"/>
            <w:sz w:val="22"/>
          </w:rPr>
          <w:t>99E.8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99F.12</w:t>
        </w:r>
      </w:hyperlink>
      <w:r>
        <w:rPr>
          <w:rFonts w:ascii="Times New Roman" w:hAnsi="Times New Roman"/>
          <w:b w:val="false"/>
          <w:i w:val="false"/>
          <w:color w:val="000000"/>
          <w:sz w:val="22"/>
        </w:rPr>
        <w:t xml:space="preserve"> to any sports team or governing body having jurisdiction over sports teams.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491—3.11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agency disclosure of confidential records as provided in rule </w:t>
      </w:r>
      <w:hyperlink r:id="rId11">
        <w:r>
          <w:rPr>
            <w:rStyle w:val="Hyperlink"/>
            <w:rFonts w:ascii="Times New Roman" w:hAnsi="Times New Roman"/>
            <w:b w:val="false"/>
            <w:i w:val="false"/>
            <w:color w:val="000000"/>
            <w:sz w:val="22"/>
          </w:rPr>
          <w:t>491—3.7</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w:t>
      </w:r>
      <w:r>
        <w:rPr>
          <w:rFonts w:ascii="Times New Roman" w:hAnsi="Times New Roman"/>
          <w:b w:val="false"/>
          <w:i w:val="false"/>
          <w:color w:val="000000"/>
          <w:sz w:val="22"/>
        </w:rPr>
        <w:t> </w:t>
      </w:r>
      <w:r>
        <w:rPr>
          <w:rFonts w:ascii="Times New Roman" w:hAnsi="Times New Roman"/>
          <w:b w:val="false"/>
          <w:i/>
          <w:color w:val="000000"/>
          <w:sz w:val="22"/>
        </w:rPr>
        <w:t xml:space="preserve">Sharing information. </w:t>
      </w:r>
      <w:r>
        <w:rPr>
          <w:rFonts w:ascii="Times New Roman" w:hAnsi="Times New Roman"/>
          <w:b w:val="false"/>
          <w:i w:val="false"/>
          <w:color w:val="000000"/>
          <w:sz w:val="22"/>
        </w:rPr>
        <w:t xml:space="preserve">Notwithstanding any statutory confidentiality provision, the agency may share information with the child support recovery unit and the centralized collection unit of the department of revenue through manual or automated means for the sole purpose of identifying licensees or applicants subject to enforcement under Iowa Code chapter </w:t>
      </w:r>
      <w:hyperlink r:id="rId1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272D or </w:t>
      </w:r>
      <w:hyperlink r:id="rId13">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5075C</w:t>
      </w:r>
      <w:r>
        <w:rPr>
          <w:rFonts w:ascii="Times New Roman" w:hAnsi="Times New Roman"/>
          <w:b w:val="false"/>
          <w:i w:val="false"/>
          <w:color w:val="000000"/>
          <w:sz w:val="16"/>
        </w:rPr>
        <w:t>, IAB 7/1/20, effective 8/5/20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491—3.12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request to review confidential records may be filed by the subject of the record as provided in rule </w:t>
      </w:r>
      <w:hyperlink r:id="rId14">
        <w:r>
          <w:rPr>
            <w:rStyle w:val="Hyperlink"/>
            <w:rFonts w:ascii="Times New Roman" w:hAnsi="Times New Roman"/>
            <w:b w:val="false"/>
            <w:i w:val="false"/>
            <w:color w:val="000000"/>
            <w:sz w:val="22"/>
          </w:rPr>
          <w:t>491—3.6</w:t>
        </w:r>
      </w:hyperlink>
      <w:r>
        <w:rPr>
          <w:rFonts w:ascii="Times New Roman" w:hAnsi="Times New Roman"/>
          <w:b w:val="false"/>
          <w:i w:val="false"/>
          <w:color w:val="000000"/>
          <w:sz w:val="22"/>
        </w:rPr>
        <w:t>(17A,22). The commission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15">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Investigative reports may be withheld from the subject, except as required by the Iowa Code. (See Iowa Code section </w:t>
      </w:r>
      <w:hyperlink r:id="rId16">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commission may take reasonable steps to protect confidential information relating to another subject.</w:t>
      </w:r>
    </w:p>
    <w:p>
      <w:pPr>
        <w:spacing w:before="0" w:after="0"/>
        <w:ind w:left="120"/>
        <w:jc w:val="both"/>
      </w:pPr>
      <w:r>
        <w:rPr>
          <w:rFonts w:ascii="Times New Roman" w:hAnsi="Times New Roman"/>
          <w:b/>
          <w:i w:val="false"/>
          <w:color w:val="000000"/>
          <w:sz w:val="22"/>
        </w:rPr>
        <w:t>491—3.13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val="false"/>
          <w:color w:val="000000"/>
          <w:sz w:val="22"/>
        </w:rPr>
        <w:t>Confidential records. 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(Iowa Code section </w:t>
      </w:r>
      <w:hyperlink r:id="rId17">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sections </w:t>
      </w:r>
      <w:hyperlink r:id="rId18">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Exempt records under Iowa Code section </w:t>
      </w:r>
      <w:hyperlink r:id="rId2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(Iowa Code section </w:t>
      </w:r>
      <w:hyperlink r:id="rId21">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22">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Those portions of commission staff manuals, instructions or other statements issued which set forth criteria or guidelines to be used by commission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agency. (Iowa Code sections </w:t>
      </w:r>
      <w:hyperlink r:id="rId23">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25">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R.C.P. 1.503,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investigative reports. (Iowa Code section </w:t>
      </w:r>
      <w:hyperlink r:id="rId28">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gathered during an investigation during pendency of the investigation or information requested for inspection by the commission or a representative of the commission. (Iowa Code sections </w:t>
      </w:r>
      <w:hyperlink r:id="rId29">
        <w:r>
          <w:rPr>
            <w:rStyle w:val="Hyperlink"/>
            <w:rFonts w:ascii="Times New Roman" w:hAnsi="Times New Roman"/>
            <w:b w:val="false"/>
            <w:i w:val="false"/>
            <w:color w:val="000000"/>
            <w:sz w:val="22"/>
          </w:rPr>
          <w:t>99D.7(9)</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99D.19(3)</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99E.3(2)</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99E.8(2)</w:t>
        </w:r>
      </w:hyperlink>
      <w:r>
        <w:rPr>
          <w:rFonts w:ascii="Times New Roman" w:hAnsi="Times New Roman"/>
          <w:b w:val="false"/>
          <w:i w:val="false"/>
          <w:color w:val="000000"/>
          <w:sz w:val="22"/>
        </w:rPr>
        <w:t>, </w:t>
      </w:r>
      <w:hyperlink r:id="rId33">
        <w:r>
          <w:rPr>
            <w:rStyle w:val="Hyperlink"/>
            <w:rFonts w:ascii="Times New Roman" w:hAnsi="Times New Roman"/>
            <w:b w:val="false"/>
            <w:i w:val="false"/>
            <w:color w:val="000000"/>
            <w:sz w:val="22"/>
          </w:rPr>
          <w:t>99F.4(6)</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99F.12(2)</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99F.12(4)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and employee records. Information required for tax withholding, information concerning employee benefits, affirmative action reports, and other information concerning the employer-employee relationship. Some of this information is confidential under Iowa Code section </w:t>
      </w:r>
      <w:hyperlink r:id="rId36">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Security plans, surveillance system plans and records, network audits, internal controls, and compliance records of the licensees that are made available to the commission that would enable law violators to avoid detection and give a clearly improper advantage to persons who are in an adverse position to the agency. (Iowa Code sections </w:t>
      </w:r>
      <w:hyperlink r:id="rId37">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99D.19(3)</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99E.8(4)</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99F.12(2)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99F.12(4)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Promotional play receipts records and marketing expenses. (Iowa Code sections </w:t>
      </w:r>
      <w:hyperlink r:id="rId44">
        <w:r>
          <w:rPr>
            <w:rStyle w:val="Hyperlink"/>
            <w:rFonts w:ascii="Times New Roman" w:hAnsi="Times New Roman"/>
            <w:b w:val="false"/>
            <w:i w:val="false"/>
            <w:color w:val="000000"/>
            <w:sz w:val="22"/>
          </w:rPr>
          <w:t>99D.19(3)</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99E.8(4)</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99F.12(4)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Patron and customer records. (Iowa Code sections </w:t>
      </w:r>
      <w:hyperlink r:id="rId47">
        <w:r>
          <w:rPr>
            <w:rStyle w:val="Hyperlink"/>
            <w:rFonts w:ascii="Times New Roman" w:hAnsi="Times New Roman"/>
            <w:b w:val="false"/>
            <w:i w:val="false"/>
            <w:color w:val="000000"/>
            <w:sz w:val="22"/>
          </w:rPr>
          <w:t>99D.19(3)</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99E.8(4)</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99F.12(4)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Supplemental schedules to the certified audit that are obtained by the commission in connection with the annual audit under Iowa Code sections </w:t>
      </w:r>
      <w:hyperlink r:id="rId50">
        <w:r>
          <w:rPr>
            <w:rStyle w:val="Hyperlink"/>
            <w:rFonts w:ascii="Times New Roman" w:hAnsi="Times New Roman"/>
            <w:b w:val="false"/>
            <w:i w:val="false"/>
            <w:color w:val="000000"/>
            <w:sz w:val="22"/>
          </w:rPr>
          <w:t>99D.20</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99E.9</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99F.13</w:t>
        </w:r>
      </w:hyperlink>
      <w:r>
        <w:rPr>
          <w:rFonts w:ascii="Times New Roman" w:hAnsi="Times New Roman"/>
          <w:b w:val="false"/>
          <w:i w:val="false"/>
          <w:color w:val="000000"/>
          <w:sz w:val="22"/>
        </w:rPr>
        <w:t xml:space="preserve">. (Iowa Code sections </w:t>
      </w:r>
      <w:hyperlink r:id="rId53">
        <w:r>
          <w:rPr>
            <w:rStyle w:val="Hyperlink"/>
            <w:rFonts w:ascii="Times New Roman" w:hAnsi="Times New Roman"/>
            <w:b w:val="false"/>
            <w:i w:val="false"/>
            <w:color w:val="000000"/>
            <w:sz w:val="22"/>
          </w:rPr>
          <w:t>99D.19(3)</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99F.12(4)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Names, social security numbers and any other personally identifiable information regarding persons who have voluntarily excluded themselves and are a part of the interactive Internet site maintained by the commission. (Iowa Code sections </w:t>
      </w:r>
      <w:hyperlink r:id="rId55">
        <w:r>
          <w:rPr>
            <w:rStyle w:val="Hyperlink"/>
            <w:rFonts w:ascii="Times New Roman" w:hAnsi="Times New Roman"/>
            <w:b w:val="false"/>
            <w:i w:val="false"/>
            <w:color w:val="000000"/>
            <w:sz w:val="22"/>
          </w:rPr>
          <w:t>99D.7(23)</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2018 Iowa Acts, House File 2349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3608C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 xml:space="preserve">; </w:t>
      </w:r>
      <w:r>
        <w:rPr>
          <w:rFonts w:ascii="Times New Roman" w:hAnsi="Times New Roman"/>
          <w:b/>
          <w:i w:val="false"/>
          <w:color w:val="000000"/>
          <w:sz w:val="16"/>
        </w:rPr>
        <w:t>ARC 4378C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491—3.14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The commission maintains systems of records which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3.14(1)</w:t>
      </w:r>
      <w:r>
        <w:rPr>
          <w:rFonts w:ascii="Times New Roman" w:hAnsi="Times New Roman"/>
          <w:b w:val="false"/>
          <w:i w:val="false"/>
          <w:color w:val="000000"/>
          <w:sz w:val="22"/>
        </w:rPr>
        <w:t> </w:t>
      </w:r>
      <w:r>
        <w:rPr>
          <w:rFonts w:ascii="Times New Roman" w:hAnsi="Times New Roman"/>
          <w:b w:val="false"/>
          <w:i/>
          <w:color w:val="000000"/>
          <w:sz w:val="22"/>
        </w:rPr>
        <w:t xml:space="preserve">Board of stewards or gaming board hearings and contested case records. </w:t>
      </w:r>
      <w:r>
        <w:rPr>
          <w:rFonts w:ascii="Times New Roman" w:hAnsi="Times New Roman"/>
          <w:b w:val="false"/>
          <w:i w:val="false"/>
          <w:color w:val="000000"/>
          <w:sz w:val="22"/>
        </w:rPr>
        <w:t>Records are maintained in paper and computer files and contain names and identifying numbers of people involved. Evidence and documents submitted as a result of a hearing are contained in the board of stewards or gaming board hearing or contested case records as well as summary lists of enforcement activities.</w:t>
      </w:r>
    </w:p>
    <w:p>
      <w:pPr>
        <w:spacing w:before="0" w:after="0"/>
        <w:ind w:left="120"/>
        <w:jc w:val="both"/>
      </w:pPr>
      <w:r>
        <w:rPr>
          <w:rFonts w:ascii="Times New Roman" w:hAnsi="Times New Roman"/>
          <w:b w:val="false"/>
          <w:i w:val="false"/>
          <w:color w:val="000000"/>
          <w:sz w:val="22"/>
        </w:rPr>
        <w:t xml:space="preserve">Records are collected by authority of Iowa Code chapters </w:t>
      </w:r>
      <w:hyperlink r:id="rId57">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None of the information stored in a data processing system is compared with information in any other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3.14(2)</w:t>
      </w:r>
      <w:r>
        <w:rPr>
          <w:rFonts w:ascii="Times New Roman" w:hAnsi="Times New Roman"/>
          <w:b w:val="false"/>
          <w:i w:val="false"/>
          <w:color w:val="000000"/>
          <w:sz w:val="22"/>
        </w:rPr>
        <w:t> </w:t>
      </w:r>
      <w:r>
        <w:rPr>
          <w:rFonts w:ascii="Times New Roman" w:hAnsi="Times New Roman"/>
          <w:b w:val="false"/>
          <w:i/>
          <w:color w:val="000000"/>
          <w:sz w:val="22"/>
        </w:rPr>
        <w:t xml:space="preserve">Occupational licensing. </w:t>
      </w:r>
      <w:r>
        <w:rPr>
          <w:rFonts w:ascii="Times New Roman" w:hAnsi="Times New Roman"/>
          <w:b w:val="false"/>
          <w:i w:val="false"/>
          <w:color w:val="000000"/>
          <w:sz w:val="22"/>
        </w:rPr>
        <w:t xml:space="preserve">Records associated with occupational licensing conducted under Iowa Code chapters </w:t>
      </w:r>
      <w:hyperlink r:id="rId60">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are maintained by this commission. The licensing system of records includes numerous files and crossfiles which include but are not limited to: computer storage of licensing records and photos, fingerprint cards, and license applications. The records associated with occupational licenses, which contain personally identifiable information, are open for public inspection only upon the approval of the administrator or the administrator’s designee. The information stored in a data processing system is not compared with information in any other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3.14(3)</w:t>
      </w:r>
      <w:r>
        <w:rPr>
          <w:rFonts w:ascii="Times New Roman" w:hAnsi="Times New Roman"/>
          <w:b w:val="false"/>
          <w:i w:val="false"/>
          <w:color w:val="000000"/>
          <w:sz w:val="22"/>
        </w:rPr>
        <w:t> </w:t>
      </w:r>
      <w:r>
        <w:rPr>
          <w:rFonts w:ascii="Times New Roman" w:hAnsi="Times New Roman"/>
          <w:b w:val="false"/>
          <w:i/>
          <w:color w:val="000000"/>
          <w:sz w:val="22"/>
        </w:rPr>
        <w:t xml:space="preserve">List of contested cases and stewards’ hearings. </w:t>
      </w:r>
      <w:r>
        <w:rPr>
          <w:rFonts w:ascii="Times New Roman" w:hAnsi="Times New Roman"/>
          <w:b w:val="false"/>
          <w:i w:val="false"/>
          <w:color w:val="000000"/>
          <w:sz w:val="22"/>
        </w:rPr>
        <w:t xml:space="preserve">The commission may utilize a listing of contested case and stewards’ hearings furnished by a national organization and provide individually identifiable information to that organization. The list is used for purposes delineated in Iowa Code chapter </w:t>
      </w:r>
      <w:hyperlink r:id="rId63">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4">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and chapters </w:t>
      </w:r>
      <w:hyperlink r:id="rId65">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9/1/88—published 9/21/88, effective 9/1/88]</w:t>
      </w:r>
    </w:p>
    <w:p>
      <w:pPr>
        <w:spacing w:before="0" w:after="0"/>
        <w:ind w:left="120"/>
        <w:jc w:val="center"/>
      </w:pPr>
      <w:r>
        <w:rPr>
          <w:rFonts w:ascii="Times New Roman" w:hAnsi="Times New Roman"/>
          <w:b w:val="false"/>
          <w:i w:val="false"/>
          <w:color w:val="000000"/>
          <w:sz w:val="21"/>
        </w:rPr>
        <w:t>[Filed 11/4/88, Notice 9/21/88—published 11/30/88, effective 1/4/89]</w:t>
      </w:r>
    </w:p>
    <w:p>
      <w:pPr>
        <w:spacing w:before="0" w:after="0"/>
        <w:ind w:left="120"/>
        <w:jc w:val="center"/>
      </w:pPr>
      <w:r>
        <w:rPr>
          <w:rFonts w:ascii="Times New Roman" w:hAnsi="Times New Roman"/>
          <w:b w:val="false"/>
          <w:i w:val="false"/>
          <w:color w:val="000000"/>
          <w:sz w:val="21"/>
        </w:rPr>
        <w:t>[Filed 2/16/90, Notice 12/27/89—published 3/7/90, effective 4/11/90]</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7/22/94, Notice 6/8/94—published 8/17/94, effective 9/21/94]</w:t>
      </w:r>
    </w:p>
    <w:p>
      <w:pPr>
        <w:spacing w:before="0" w:after="0"/>
        <w:ind w:left="120"/>
        <w:jc w:val="center"/>
      </w:pPr>
      <w:r>
        <w:rPr>
          <w:rFonts w:ascii="Times New Roman" w:hAnsi="Times New Roman"/>
          <w:b w:val="false"/>
          <w:i w:val="false"/>
          <w:color w:val="000000"/>
          <w:sz w:val="21"/>
        </w:rPr>
        <w:t>[Filed 1/23/96, Notice 12/6/95—published 2/14/96, effective 3/20/96]</w:t>
      </w:r>
    </w:p>
    <w:p>
      <w:pPr>
        <w:spacing w:before="0" w:after="0"/>
        <w:ind w:left="120"/>
        <w:jc w:val="center"/>
      </w:pPr>
      <w:r>
        <w:rPr>
          <w:rFonts w:ascii="Times New Roman" w:hAnsi="Times New Roman"/>
          <w:b w:val="false"/>
          <w:i w:val="false"/>
          <w:color w:val="000000"/>
          <w:sz w:val="21"/>
        </w:rPr>
        <w:t>[Filed 4/10/97, Notice 2/12/97—published 5/7/97, effective 6/11/97]</w:t>
      </w:r>
    </w:p>
    <w:p>
      <w:pPr>
        <w:spacing w:before="0" w:after="0"/>
        <w:ind w:left="120"/>
        <w:jc w:val="center"/>
      </w:pPr>
      <w:r>
        <w:rPr>
          <w:rFonts w:ascii="Times New Roman" w:hAnsi="Times New Roman"/>
          <w:b w:val="false"/>
          <w:i w:val="false"/>
          <w:color w:val="000000"/>
          <w:sz w:val="21"/>
        </w:rPr>
        <w:t>[Filed 8/22/97, Notice 7/16/97—published 9/10/97, effective 10/15/97]</w:t>
      </w:r>
    </w:p>
    <w:p>
      <w:pPr>
        <w:spacing w:before="0" w:after="0"/>
        <w:ind w:left="120"/>
        <w:jc w:val="center"/>
      </w:pPr>
      <w:r>
        <w:rPr>
          <w:rFonts w:ascii="Times New Roman" w:hAnsi="Times New Roman"/>
          <w:b w:val="false"/>
          <w:i w:val="false"/>
          <w:color w:val="000000"/>
          <w:sz w:val="21"/>
        </w:rPr>
        <w:t>[Filed 10/26/98, Notice 9/9/98—published 11/18/98, effective 12/23/98]</w:t>
      </w:r>
    </w:p>
    <w:p>
      <w:pPr>
        <w:spacing w:before="0" w:after="0"/>
        <w:ind w:left="120"/>
        <w:jc w:val="center"/>
      </w:pPr>
      <w:r>
        <w:rPr>
          <w:rFonts w:ascii="Times New Roman" w:hAnsi="Times New Roman"/>
          <w:b w:val="false"/>
          <w:i w:val="false"/>
          <w:color w:val="000000"/>
          <w:sz w:val="21"/>
        </w:rPr>
        <w:t>[Filed 10/13/00, Notice 9/6/00—published 11/1/00, effective 12/6/00]</w:t>
      </w:r>
    </w:p>
    <w:p>
      <w:pPr>
        <w:spacing w:before="0" w:after="0"/>
        <w:ind w:left="120"/>
        <w:jc w:val="center"/>
      </w:pPr>
      <w:r>
        <w:rPr>
          <w:rFonts w:ascii="Times New Roman" w:hAnsi="Times New Roman"/>
          <w:b w:val="false"/>
          <w:i w:val="false"/>
          <w:color w:val="000000"/>
          <w:sz w:val="21"/>
        </w:rPr>
        <w:t>[Filed 4/21/04, Notice 2/4/04—published 5/12/04, effective 6/16/04]</w:t>
      </w:r>
    </w:p>
    <w:p>
      <w:pPr>
        <w:spacing w:before="0" w:after="0"/>
        <w:ind w:left="120"/>
        <w:jc w:val="center"/>
      </w:pPr>
      <w:r>
        <w:rPr>
          <w:rFonts w:ascii="Times New Roman" w:hAnsi="Times New Roman"/>
          <w:b w:val="false"/>
          <w:i w:val="false"/>
          <w:color w:val="000000"/>
          <w:sz w:val="21"/>
        </w:rPr>
        <w:t>[Filed 9/7/04, Notice 7/7/04—published 9/29/04, effective 11/3/04]</w:t>
      </w:r>
    </w:p>
    <w:p>
      <w:pPr>
        <w:spacing w:before="0" w:after="0"/>
        <w:ind w:left="120"/>
        <w:jc w:val="center"/>
      </w:pPr>
      <w:r>
        <w:rPr>
          <w:rFonts w:ascii="Times New Roman" w:hAnsi="Times New Roman"/>
          <w:b w:val="false"/>
          <w:i w:val="false"/>
          <w:color w:val="000000"/>
          <w:sz w:val="21"/>
        </w:rPr>
        <w:t>[Filed ARC 0734C</w:t>
      </w:r>
      <w:r>
        <w:rPr>
          <w:rFonts w:ascii="Times New Roman" w:hAnsi="Times New Roman"/>
          <w:b w:val="false"/>
          <w:i w:val="false"/>
          <w:color w:val="000000"/>
          <w:sz w:val="21"/>
        </w:rPr>
        <w:t xml:space="preserve"> (Notice ARC 0604C, IAB 2/20/13)</w:t>
      </w:r>
      <w:r>
        <w:rPr>
          <w:rFonts w:ascii="Times New Roman" w:hAnsi="Times New Roman"/>
          <w:b w:val="false"/>
          <w:i w:val="false"/>
          <w:color w:val="000000"/>
          <w:sz w:val="21"/>
        </w:rPr>
        <w:t>, IAB 5/15/13, effective 6/19/13]</w:t>
      </w:r>
    </w:p>
    <w:p>
      <w:pPr>
        <w:spacing w:before="0" w:after="0"/>
        <w:ind w:left="120"/>
        <w:jc w:val="center"/>
      </w:pPr>
      <w:r>
        <w:rPr>
          <w:rFonts w:ascii="Times New Roman" w:hAnsi="Times New Roman"/>
          <w:b w:val="false"/>
          <w:i w:val="false"/>
          <w:color w:val="000000"/>
          <w:sz w:val="21"/>
        </w:rPr>
        <w:t>[Filed ARC 3608C</w:t>
      </w:r>
      <w:r>
        <w:rPr>
          <w:rFonts w:ascii="Times New Roman" w:hAnsi="Times New Roman"/>
          <w:b w:val="false"/>
          <w:i w:val="false"/>
          <w:color w:val="000000"/>
          <w:sz w:val="21"/>
        </w:rPr>
        <w:t xml:space="preserve"> (Notice ARC 3434C, IAB 11/8/17)</w:t>
      </w:r>
      <w:r>
        <w:rPr>
          <w:rFonts w:ascii="Times New Roman" w:hAnsi="Times New Roman"/>
          <w:b w:val="false"/>
          <w:i w:val="false"/>
          <w:color w:val="000000"/>
          <w:sz w:val="21"/>
        </w:rPr>
        <w:t>, IAB 1/31/18, effective 3/7/18]</w:t>
      </w:r>
    </w:p>
    <w:p>
      <w:pPr>
        <w:spacing w:before="0" w:after="0"/>
        <w:ind w:left="120"/>
        <w:jc w:val="center"/>
      </w:pPr>
      <w:r>
        <w:rPr>
          <w:rFonts w:ascii="Times New Roman" w:hAnsi="Times New Roman"/>
          <w:b w:val="false"/>
          <w:i w:val="false"/>
          <w:color w:val="000000"/>
          <w:sz w:val="21"/>
        </w:rPr>
        <w:t>[Filed ARC 4378C</w:t>
      </w:r>
      <w:r>
        <w:rPr>
          <w:rFonts w:ascii="Times New Roman" w:hAnsi="Times New Roman"/>
          <w:b w:val="false"/>
          <w:i w:val="false"/>
          <w:color w:val="000000"/>
          <w:sz w:val="21"/>
        </w:rPr>
        <w:t xml:space="preserve"> (Notice ARC 4107C, IAB 11/7/18)</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Emergency ARC 4618C, IAB 8/28/19, effective 7/31/19]</w:t>
      </w:r>
    </w:p>
    <w:p>
      <w:pPr>
        <w:spacing w:before="0" w:after="0"/>
        <w:ind w:left="120"/>
        <w:jc w:val="center"/>
      </w:pPr>
      <w:r>
        <w:rPr>
          <w:rFonts w:ascii="Times New Roman" w:hAnsi="Times New Roman"/>
          <w:b w:val="false"/>
          <w:i w:val="false"/>
          <w:color w:val="000000"/>
          <w:sz w:val="21"/>
        </w:rPr>
        <w:t>[Filed ARC 5016C</w:t>
      </w:r>
      <w:r>
        <w:rPr>
          <w:rFonts w:ascii="Times New Roman" w:hAnsi="Times New Roman"/>
          <w:b w:val="false"/>
          <w:i w:val="false"/>
          <w:color w:val="000000"/>
          <w:sz w:val="21"/>
        </w:rPr>
        <w:t xml:space="preserve"> (Amended Notice ARC 4807C, IAB 12/18/19; </w:t>
      </w:r>
      <w:r>
        <w:rPr>
          <w:rFonts w:ascii="Times New Roman" w:hAnsi="Times New Roman"/>
          <w:b w:val="false"/>
          <w:i w:val="false"/>
          <w:color w:val="000000"/>
          <w:sz w:val="21"/>
        </w:rPr>
        <w:t>Notice ARC 4617C, IAB 8/28/19)</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5075C</w:t>
      </w:r>
      <w:r>
        <w:rPr>
          <w:rFonts w:ascii="Times New Roman" w:hAnsi="Times New Roman"/>
          <w:b w:val="false"/>
          <w:i w:val="false"/>
          <w:color w:val="000000"/>
          <w:sz w:val="21"/>
        </w:rPr>
        <w:t xml:space="preserve"> (Notice ARC 5026C, IAB 4/8/20)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[Editorial change: IAC Supplement 3/6/24]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4.pdf" Type="http://schemas.openxmlformats.org/officeDocument/2006/relationships/hyperlink" Id="rId5"/>
    <Relationship TargetMode="External" Target="https://www.legis.iowa.gov/docs/iac/rule/491.3.10.pdf" Type="http://schemas.openxmlformats.org/officeDocument/2006/relationships/hyperlink" Id="rId6"/>
    <Relationship TargetMode="External" Target="https://www.legis.iowa.gov/docs/ico/chapter/2A.3.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99E.8.pdf" Type="http://schemas.openxmlformats.org/officeDocument/2006/relationships/hyperlink" Id="rId9"/>
    <Relationship TargetMode="External" Target="https://www.legis.iowa.gov/docs/ico/chapter/99F.12.pdf" Type="http://schemas.openxmlformats.org/officeDocument/2006/relationships/hyperlink" Id="rId10"/>
    <Relationship TargetMode="External" Target="https://www.legis.iowa.gov/docs/iac/rule/491.3.7.pdf" Type="http://schemas.openxmlformats.org/officeDocument/2006/relationships/hyperlink" Id="rId11"/>
    <Relationship TargetMode="External" Target="https://www.legis.iowa.gov/docs/ico/chapter/252J.pdf" Type="http://schemas.openxmlformats.org/officeDocument/2006/relationships/hyperlink" Id="rId12"/>
    <Relationship TargetMode="External" Target="https://www.legis.iowa.gov/docs/ico/chapter/598.pdf" Type="http://schemas.openxmlformats.org/officeDocument/2006/relationships/hyperlink" Id="rId13"/>
    <Relationship TargetMode="External" Target="https://www.legis.iowa.gov/docs/iac/rule/491.3.6.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72.3.pdf" Type="http://schemas.openxmlformats.org/officeDocument/2006/relationships/hyperlink" Id="rId17"/>
    <Relationship TargetMode="External" Target="https://www.legis.iowa.gov/docs/ico/chapter/422.20.pdf" Type="http://schemas.openxmlformats.org/officeDocument/2006/relationships/hyperlink" Id="rId18"/>
    <Relationship TargetMode="External" Target="https://www.legis.iowa.gov/docs/ico/chapter/422.72.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1.5.pdf" Type="http://schemas.openxmlformats.org/officeDocument/2006/relationships/hyperlink" Id="rId21"/>
    <Relationship TargetMode="External" Target="https://www.legis.iowa.gov/docs/ico/chapter/17A.3.pdf" Type="http://schemas.openxmlformats.org/officeDocument/2006/relationships/hyperlink" Id="rId22"/>
    <Relationship TargetMode="External" Target="https://www.legis.iowa.gov/docs/ico/chapter/17A.2.pdf" Type="http://schemas.openxmlformats.org/officeDocument/2006/relationships/hyperlink" Id="rId23"/>
    <Relationship TargetMode="External" Target="https://www.legis.iowa.gov/docs/ico/chapter/17A.3.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co/chapter/622.10.pdf" Type="http://schemas.openxmlformats.org/officeDocument/2006/relationships/hyperlink" Id="rId26"/>
    <Relationship TargetMode="External" Target="https://www.legis.iowa.gov/docs/ico/chapter/622.11.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co/chapter/99D.7.pdf" Type="http://schemas.openxmlformats.org/officeDocument/2006/relationships/hyperlink" Id="rId29"/>
    <Relationship TargetMode="External" Target="https://www.legis.iowa.gov/docs/ico/chapter/99D.19.pdf" Type="http://schemas.openxmlformats.org/officeDocument/2006/relationships/hyperlink" Id="rId30"/>
    <Relationship TargetMode="External" Target="https://www.legis.iowa.gov/docs/ico/chapter/99E.3.pdf" Type="http://schemas.openxmlformats.org/officeDocument/2006/relationships/hyperlink" Id="rId31"/>
    <Relationship TargetMode="External" Target="https://www.legis.iowa.gov/docs/ico/chapter/99E.8.pdf" Type="http://schemas.openxmlformats.org/officeDocument/2006/relationships/hyperlink" Id="rId32"/>
    <Relationship TargetMode="External" Target="https://www.legis.iowa.gov/docs/ico/chapter/99F.4.pdf" Type="http://schemas.openxmlformats.org/officeDocument/2006/relationships/hyperlink" Id="rId33"/>
    <Relationship TargetMode="External" Target="https://www.legis.iowa.gov/docs/ico/chapter/99F.12.pdf" Type="http://schemas.openxmlformats.org/officeDocument/2006/relationships/hyperlink" Id="rId34"/>
    <Relationship TargetMode="External" Target="https://www.legis.iowa.gov/docs/ico/chapter/99F.12.pdf" Type="http://schemas.openxmlformats.org/officeDocument/2006/relationships/hyperlink" Id="rId35"/>
    <Relationship TargetMode="External" Target="https://www.legis.iowa.gov/docs/ico/chapter/22.7.pdf" Type="http://schemas.openxmlformats.org/officeDocument/2006/relationships/hyperlink" Id="rId36"/>
    <Relationship TargetMode="External" Target="https://www.legis.iowa.gov/docs/ico/chapter/17A.2.pdf" Type="http://schemas.openxmlformats.org/officeDocument/2006/relationships/hyperlink" Id="rId37"/>
    <Relationship TargetMode="External" Target="https://www.legis.iowa.gov/docs/ico/chapter/17A.3.pdf" Type="http://schemas.openxmlformats.org/officeDocument/2006/relationships/hyperlink" Id="rId38"/>
    <Relationship TargetMode="External" Target="https://www.legis.iowa.gov/docs/ico/chapter/22.7.pdf" Type="http://schemas.openxmlformats.org/officeDocument/2006/relationships/hyperlink" Id="rId39"/>
    <Relationship TargetMode="External" Target="https://www.legis.iowa.gov/docs/ico/chapter/99D.19.pdf" Type="http://schemas.openxmlformats.org/officeDocument/2006/relationships/hyperlink" Id="rId40"/>
    <Relationship TargetMode="External" Target="https://www.legis.iowa.gov/docs/ico/chapter/99E.8.pdf" Type="http://schemas.openxmlformats.org/officeDocument/2006/relationships/hyperlink" Id="rId41"/>
    <Relationship TargetMode="External" Target="https://www.legis.iowa.gov/docs/ico/chapter/99F.12.pdf" Type="http://schemas.openxmlformats.org/officeDocument/2006/relationships/hyperlink" Id="rId42"/>
    <Relationship TargetMode="External" Target="https://www.legis.iowa.gov/docs/ico/chapter/99F.12.pdf" Type="http://schemas.openxmlformats.org/officeDocument/2006/relationships/hyperlink" Id="rId43"/>
    <Relationship TargetMode="External" Target="https://www.legis.iowa.gov/docs/ico/chapter/99D.19.pdf" Type="http://schemas.openxmlformats.org/officeDocument/2006/relationships/hyperlink" Id="rId44"/>
    <Relationship TargetMode="External" Target="https://www.legis.iowa.gov/docs/ico/chapter/99E.8.pdf" Type="http://schemas.openxmlformats.org/officeDocument/2006/relationships/hyperlink" Id="rId45"/>
    <Relationship TargetMode="External" Target="https://www.legis.iowa.gov/docs/ico/chapter/99F.12.pdf" Type="http://schemas.openxmlformats.org/officeDocument/2006/relationships/hyperlink" Id="rId46"/>
    <Relationship TargetMode="External" Target="https://www.legis.iowa.gov/docs/ico/chapter/99D.19.pdf" Type="http://schemas.openxmlformats.org/officeDocument/2006/relationships/hyperlink" Id="rId47"/>
    <Relationship TargetMode="External" Target="https://www.legis.iowa.gov/docs/ico/chapter/99E.8.pdf" Type="http://schemas.openxmlformats.org/officeDocument/2006/relationships/hyperlink" Id="rId48"/>
    <Relationship TargetMode="External" Target="https://www.legis.iowa.gov/docs/ico/chapter/99F.12.pdf" Type="http://schemas.openxmlformats.org/officeDocument/2006/relationships/hyperlink" Id="rId49"/>
    <Relationship TargetMode="External" Target="https://www.legis.iowa.gov/docs/ico/chapter/99D.20.pdf" Type="http://schemas.openxmlformats.org/officeDocument/2006/relationships/hyperlink" Id="rId50"/>
    <Relationship TargetMode="External" Target="https://www.legis.iowa.gov/docs/ico/chapter/99E.9.pdf" Type="http://schemas.openxmlformats.org/officeDocument/2006/relationships/hyperlink" Id="rId51"/>
    <Relationship TargetMode="External" Target="https://www.legis.iowa.gov/docs/ico/chapter/99F.13.pdf" Type="http://schemas.openxmlformats.org/officeDocument/2006/relationships/hyperlink" Id="rId52"/>
    <Relationship TargetMode="External" Target="https://www.legis.iowa.gov/docs/ico/chapter/99D.19.pdf" Type="http://schemas.openxmlformats.org/officeDocument/2006/relationships/hyperlink" Id="rId53"/>
    <Relationship TargetMode="External" Target="https://www.legis.iowa.gov/docs/ico/chapter/99F.12.pdf" Type="http://schemas.openxmlformats.org/officeDocument/2006/relationships/hyperlink" Id="rId54"/>
    <Relationship TargetMode="External" Target="https://www.legis.iowa.gov/docs/ico/chapter/99D.7.pdf" Type="http://schemas.openxmlformats.org/officeDocument/2006/relationships/hyperlink" Id="rId55"/>
    <Relationship TargetMode="External" Target="https://www.legis.iowa.gov/docs/ico/chapter/99F.4.pdf" Type="http://schemas.openxmlformats.org/officeDocument/2006/relationships/hyperlink" Id="rId56"/>
    <Relationship TargetMode="External" Target="https://www.legis.iowa.gov/docs/ico/chapter/99D.pdf" Type="http://schemas.openxmlformats.org/officeDocument/2006/relationships/hyperlink" Id="rId57"/>
    <Relationship TargetMode="External" Target="https://www.legis.iowa.gov/docs/ico/chapter/99E.pdf" Type="http://schemas.openxmlformats.org/officeDocument/2006/relationships/hyperlink" Id="rId58"/>
    <Relationship TargetMode="External" Target="https://www.legis.iowa.gov/docs/ico/chapter/99F.pdf" Type="http://schemas.openxmlformats.org/officeDocument/2006/relationships/hyperlink" Id="rId59"/>
    <Relationship TargetMode="External" Target="https://www.legis.iowa.gov/docs/ico/chapter/99D.pdf" Type="http://schemas.openxmlformats.org/officeDocument/2006/relationships/hyperlink" Id="rId60"/>
    <Relationship TargetMode="External" Target="https://www.legis.iowa.gov/docs/ico/chapter/99E.pdf" Type="http://schemas.openxmlformats.org/officeDocument/2006/relationships/hyperlink" Id="rId61"/>
    <Relationship TargetMode="External" Target="https://www.legis.iowa.gov/docs/ico/chapter/99F.pdf" Type="http://schemas.openxmlformats.org/officeDocument/2006/relationships/hyperlink" Id="rId62"/>
    <Relationship TargetMode="External" Target="https://www.legis.iowa.gov/docs/ico/chapter/99D.pdf" Type="http://schemas.openxmlformats.org/officeDocument/2006/relationships/hyperlink" Id="rId63"/>
    <Relationship TargetMode="External" Target="https://www.legis.iowa.gov/docs/ico/chapter/22.11.pdf" Type="http://schemas.openxmlformats.org/officeDocument/2006/relationships/hyperlink" Id="rId64"/>
    <Relationship TargetMode="External" Target="https://www.legis.iowa.gov/docs/ico/chapter/99D.pdf" Type="http://schemas.openxmlformats.org/officeDocument/2006/relationships/hyperlink" Id="rId65"/>
    <Relationship TargetMode="External" Target="https://www.legis.iowa.gov/docs/ico/chapter/17A.pdf" Type="http://schemas.openxmlformats.org/officeDocument/2006/relationships/hyperlink" Id="rId6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