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w:t>
      </w:r>
    </w:p>
    <w:p>
      <w:pPr>
        <w:spacing w:before="0" w:after="0"/>
        <w:ind w:left="120"/>
        <w:jc w:val="center"/>
      </w:pPr>
      <w:r>
        <w:rPr>
          <w:rFonts w:ascii="Times New Roman" w:hAnsi="Times New Roman"/>
          <w:b w:val="false"/>
          <w:i w:val="false"/>
          <w:color w:val="000000"/>
          <w:sz w:val="21"/>
        </w:rPr>
        <w:t xml:space="preserve"> RULEMAKING AND DECLARATORY ORDERS</w:t>
      </w:r>
    </w:p>
    <w:p>
      <w:pPr>
        <w:spacing w:before="0" w:after="0"/>
        <w:ind w:left="120"/>
        <w:jc w:val="center"/>
      </w:pPr>
      <w:r>
        <w:rPr>
          <w:rFonts w:ascii="Times New Roman" w:hAnsi="Times New Roman"/>
          <w:b w:val="false"/>
          <w:i w:val="false"/>
          <w:color w:val="000000"/>
          <w:sz w:val="14"/>
        </w:rPr>
        <w:t>[Prior to 11/19/86, Racing Commission[693]]</w:t>
      </w:r>
    </w:p>
    <w:p>
      <w:pPr>
        <w:spacing w:before="0" w:after="0"/>
        <w:ind w:left="120"/>
        <w:jc w:val="center"/>
      </w:pPr>
      <w:r>
        <w:rPr>
          <w:rFonts w:ascii="Times New Roman" w:hAnsi="Times New Roman"/>
          <w:b w:val="false"/>
          <w:i w:val="false"/>
          <w:color w:val="000000"/>
          <w:sz w:val="14"/>
        </w:rPr>
        <w:t>[Prior to 11/18/87, Racing and Gaming Division[195]]</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210" w:after="0"/>
        <w:ind w:left="120"/>
        <w:jc w:val="both"/>
      </w:pPr>
      <w:r>
        <w:rPr>
          <w:rFonts w:ascii="Times New Roman" w:hAnsi="Times New Roman"/>
          <w:b/>
          <w:i w:val="false"/>
          <w:color w:val="000000"/>
          <w:sz w:val="22"/>
        </w:rPr>
        <w:t>491—2.1</w:t>
      </w:r>
      <w:r>
        <w:rPr>
          <w:rFonts w:ascii="Times New Roman" w:hAnsi="Times New Roman"/>
          <w:b/>
          <w:i w:val="false"/>
          <w:color w:val="000000"/>
          <w:sz w:val="22"/>
        </w:rPr>
        <w:t xml:space="preserve">(17A) </w:t>
      </w:r>
      <w:r>
        <w:rPr>
          <w:rFonts w:ascii="Times New Roman" w:hAnsi="Times New Roman"/>
          <w:b/>
          <w:i w:val="false"/>
          <w:color w:val="000000"/>
          <w:sz w:val="22"/>
        </w:rPr>
        <w:t xml:space="preserve">Applicability. </w:t>
      </w:r>
      <w:r>
        <w:rPr>
          <w:rFonts w:ascii="Times New Roman" w:hAnsi="Times New Roman"/>
          <w:b w:val="false"/>
          <w:i w:val="false"/>
          <w:color w:val="000000"/>
          <w:sz w:val="22"/>
        </w:rPr>
        <w:t xml:space="preserve">Except to the extent otherwise expressly provided by statute, all rules adopted by the agency are subject to the provisions of Iowa Code chapter </w:t>
      </w:r>
      <w:hyperlink r:id="rId5">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the Iowa administrative procedure Act, and the provisions of this chapter.</w:t>
      </w:r>
    </w:p>
    <w:p>
      <w:pPr>
        <w:spacing w:before="0" w:after="0"/>
        <w:ind w:left="120"/>
        <w:jc w:val="both"/>
      </w:pPr>
      <w:r>
        <w:rPr>
          <w:rFonts w:ascii="Times New Roman" w:hAnsi="Times New Roman"/>
          <w:b/>
          <w:i w:val="false"/>
          <w:color w:val="000000"/>
          <w:sz w:val="22"/>
        </w:rPr>
        <w:t>491—2.2</w:t>
      </w:r>
      <w:r>
        <w:rPr>
          <w:rFonts w:ascii="Times New Roman" w:hAnsi="Times New Roman"/>
          <w:b/>
          <w:i w:val="false"/>
          <w:color w:val="000000"/>
          <w:sz w:val="22"/>
        </w:rPr>
        <w:t xml:space="preserve">(17A) </w:t>
      </w:r>
      <w:r>
        <w:rPr>
          <w:rFonts w:ascii="Times New Roman" w:hAnsi="Times New Roman"/>
          <w:b/>
          <w:i w:val="false"/>
          <w:color w:val="000000"/>
          <w:sz w:val="22"/>
        </w:rPr>
        <w:t xml:space="preserve">Advice on possible rules before notice of proposed rule adoption. </w:t>
      </w:r>
      <w:r>
        <w:rPr>
          <w:rFonts w:ascii="Times New Roman" w:hAnsi="Times New Roman"/>
          <w:b w:val="false"/>
          <w:i w:val="false"/>
          <w:color w:val="000000"/>
          <w:sz w:val="22"/>
        </w:rPr>
        <w:t xml:space="preserve">In addition to seeking information by other methods, the racing and gaming commission (commission) may, before publication of a Notice of Intended Action under Iowa Code section </w:t>
      </w:r>
      <w:hyperlink r:id="rId6">
        <w:r>
          <w:rPr>
            <w:rStyle w:val="Hyperlink"/>
            <w:rFonts w:ascii="Times New Roman" w:hAnsi="Times New Roman"/>
            <w:b w:val="false"/>
            <w:i w:val="false"/>
            <w:color w:val="000000"/>
            <w:sz w:val="22"/>
          </w:rPr>
          <w:t>17A.4(1)</w:t>
        </w:r>
        <w:r>
          <w:rPr>
            <w:rFonts w:ascii="Times New Roman" w:hAnsi="Times New Roman"/>
            <w:b w:val="false"/>
            <w:i/>
            <w:color w:val="000000"/>
            <w:sz w:val="22"/>
          </w:rPr>
          <w:t>“a,”</w:t>
        </w:r>
      </w:hyperlink>
      <w:r>
        <w:rPr>
          <w:rFonts w:ascii="Times New Roman" w:hAnsi="Times New Roman"/>
          <w:b w:val="false"/>
          <w:i w:val="false"/>
          <w:color w:val="000000"/>
          <w:sz w:val="22"/>
        </w:rPr>
        <w:t xml:space="preserve"> solicit comments from the public on a subject matter of possible rulemaking by the commission by causing notice to be published in the Iowa Administrative Bulletin of the subject matter and indicating where, when, and how persons may comment.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3/6/24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491—2.3</w:t>
      </w:r>
      <w:r>
        <w:rPr>
          <w:rFonts w:ascii="Times New Roman" w:hAnsi="Times New Roman"/>
          <w:b/>
          <w:i w:val="false"/>
          <w:color w:val="000000"/>
          <w:sz w:val="22"/>
        </w:rPr>
        <w:t xml:space="preserve">(17A) </w:t>
      </w:r>
      <w:r>
        <w:rPr>
          <w:rFonts w:ascii="Times New Roman" w:hAnsi="Times New Roman"/>
          <w:b/>
          <w:i w:val="false"/>
          <w:color w:val="000000"/>
          <w:sz w:val="22"/>
        </w:rPr>
        <w:t xml:space="preserve">Public rulemaking docket.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w:t>
      </w:r>
      <w:r>
        <w:rPr>
          <w:rFonts w:ascii="Times New Roman" w:hAnsi="Times New Roman"/>
          <w:b w:val="false"/>
          <w:i w:val="false"/>
          <w:color w:val="000000"/>
          <w:sz w:val="22"/>
        </w:rPr>
        <w:t> </w:t>
      </w:r>
      <w:r>
        <w:rPr>
          <w:rFonts w:ascii="Times New Roman" w:hAnsi="Times New Roman"/>
          <w:b w:val="false"/>
          <w:i/>
          <w:color w:val="000000"/>
          <w:sz w:val="22"/>
        </w:rPr>
        <w:t xml:space="preserve">Docket maintained. </w:t>
      </w:r>
      <w:r>
        <w:rPr>
          <w:rFonts w:ascii="Times New Roman" w:hAnsi="Times New Roman"/>
          <w:b w:val="false"/>
          <w:i w:val="false"/>
          <w:color w:val="000000"/>
          <w:sz w:val="22"/>
        </w:rPr>
        <w:t>The commission shall maintain a current public rulemaking docket.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2.3(2)</w:t>
      </w:r>
      <w:r>
        <w:rPr>
          <w:rFonts w:ascii="Times New Roman" w:hAnsi="Times New Roman"/>
          <w:b w:val="false"/>
          <w:i w:val="false"/>
          <w:color w:val="000000"/>
          <w:sz w:val="22"/>
        </w:rPr>
        <w:t> </w:t>
      </w:r>
      <w:r>
        <w:rPr>
          <w:rFonts w:ascii="Times New Roman" w:hAnsi="Times New Roman"/>
          <w:b w:val="false"/>
          <w:i/>
          <w:color w:val="000000"/>
          <w:sz w:val="22"/>
        </w:rPr>
        <w:t xml:space="preserve">Anticipated rulemaking. </w:t>
      </w:r>
      <w:r>
        <w:rPr>
          <w:rFonts w:ascii="Times New Roman" w:hAnsi="Times New Roman"/>
          <w:b w:val="false"/>
          <w:i w:val="false"/>
          <w:color w:val="000000"/>
          <w:sz w:val="22"/>
        </w:rPr>
        <w:t xml:space="preserve">The rulemaking docket shall list each anticipated rulemaking proceeding. A rulemaking proceeding is deemed “anticipated” from the time a draft of proposed rules is distributed for internal discussion within the commission. For each anticipated rulemaking proceeding, the docket shall contain a listing of the precise subject matter which may be submitted for consideration by the commission for subsequent proposal under the provisions of Iowa Code section </w:t>
      </w:r>
      <w:hyperlink r:id="rId7">
        <w:r>
          <w:rPr>
            <w:rStyle w:val="Hyperlink"/>
            <w:rFonts w:ascii="Times New Roman" w:hAnsi="Times New Roman"/>
            <w:b w:val="false"/>
            <w:i w:val="false"/>
            <w:color w:val="000000"/>
            <w:sz w:val="22"/>
          </w:rPr>
          <w:t>17A.4(1)</w:t>
        </w:r>
        <w:r>
          <w:rPr>
            <w:rFonts w:ascii="Times New Roman" w:hAnsi="Times New Roman"/>
            <w:b w:val="false"/>
            <w:i/>
            <w:color w:val="000000"/>
            <w:sz w:val="22"/>
          </w:rPr>
          <w:t>“a,”</w:t>
        </w:r>
      </w:hyperlink>
      <w:r>
        <w:rPr>
          <w:rFonts w:ascii="Times New Roman" w:hAnsi="Times New Roman"/>
          <w:b w:val="false"/>
          <w:i w:val="false"/>
          <w:color w:val="000000"/>
          <w:sz w:val="22"/>
        </w:rPr>
        <w:t xml:space="preserve"> the name and address of commission personnel with whom persons may communicate with respect to the matter, and an indication of the present status within the commission of that possible rule. The commission may also include in the docket other subjects upon which public comment is desired.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2.3(3)</w:t>
      </w:r>
      <w:r>
        <w:rPr>
          <w:rFonts w:ascii="Times New Roman" w:hAnsi="Times New Roman"/>
          <w:b w:val="false"/>
          <w:i w:val="false"/>
          <w:color w:val="000000"/>
          <w:sz w:val="22"/>
        </w:rPr>
        <w:t> </w:t>
      </w:r>
      <w:r>
        <w:rPr>
          <w:rFonts w:ascii="Times New Roman" w:hAnsi="Times New Roman"/>
          <w:b w:val="false"/>
          <w:i/>
          <w:color w:val="000000"/>
          <w:sz w:val="22"/>
        </w:rPr>
        <w:t xml:space="preserve">Pending rulemaking proceedings. </w:t>
      </w:r>
      <w:r>
        <w:rPr>
          <w:rFonts w:ascii="Times New Roman" w:hAnsi="Times New Roman"/>
          <w:b w:val="false"/>
          <w:i w:val="false"/>
          <w:color w:val="000000"/>
          <w:sz w:val="22"/>
        </w:rPr>
        <w:t xml:space="preserve">The rulemaking docket shall list each pending rulemaking proceeding. A rulemaking proceeding is pending from the time it is commenced, by publication in the Iowa Administrative Bulletin of a Notice of Intended Action pursuant to Iowa Code section </w:t>
      </w:r>
      <w:hyperlink r:id="rId8">
        <w:r>
          <w:rPr>
            <w:rStyle w:val="Hyperlink"/>
            <w:rFonts w:ascii="Times New Roman" w:hAnsi="Times New Roman"/>
            <w:b w:val="false"/>
            <w:i w:val="false"/>
            <w:color w:val="000000"/>
            <w:sz w:val="22"/>
          </w:rPr>
          <w:t>17A.4(1)</w:t>
        </w:r>
        <w:r>
          <w:rPr>
            <w:rFonts w:ascii="Times New Roman" w:hAnsi="Times New Roman"/>
            <w:b w:val="false"/>
            <w:i/>
            <w:color w:val="000000"/>
            <w:sz w:val="22"/>
          </w:rPr>
          <w:t>“a,”</w:t>
        </w:r>
      </w:hyperlink>
      <w:r>
        <w:rPr>
          <w:rFonts w:ascii="Times New Roman" w:hAnsi="Times New Roman"/>
          <w:b w:val="false"/>
          <w:i w:val="false"/>
          <w:color w:val="000000"/>
          <w:sz w:val="22"/>
        </w:rPr>
        <w:t xml:space="preserve"> to the time it is terminated, by publication of a Notice of Termination in the Iowa Administrative Bulletin or the rule becoming effective. For each rulemaking proceeding, the docket shall indicate: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subject matter of the proposed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citation to all published notices relating to the proceeding;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Where written submissions on the proposed rule may be inspected;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time during which written submissions may be made;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names of persons who have made written requests for an opportunity to make oral presentations on the proposed rule, where those requests may be inspected, and where and when oral presentations may be made;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Whether a written request for the issuance of a regulatory analysis, or a concise statement of reasons, has been filed, and whether such written request, analysis, or statement may be inspected;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current status of the proposed rule and any commission determinations with respect thereto;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Any known timetable for commission decisions or other action in the proceedings;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The date of the rule’s adoption;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The date of the rule’s filing, indexing, and publication;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The date on which the rule will become effective;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Where the rulemaking record may be inspected.</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3/6/24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491—2.4</w:t>
      </w:r>
      <w:r>
        <w:rPr>
          <w:rFonts w:ascii="Times New Roman" w:hAnsi="Times New Roman"/>
          <w:b/>
          <w:i w:val="false"/>
          <w:color w:val="000000"/>
          <w:sz w:val="22"/>
        </w:rPr>
        <w:t xml:space="preserve">(17A) </w:t>
      </w:r>
      <w:r>
        <w:rPr>
          <w:rFonts w:ascii="Times New Roman" w:hAnsi="Times New Roman"/>
          <w:b/>
          <w:i w:val="false"/>
          <w:color w:val="000000"/>
          <w:sz w:val="22"/>
        </w:rPr>
        <w:t xml:space="preserve">Notice of proposed rulemaking.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w:t>
      </w:r>
      <w:r>
        <w:rPr>
          <w:rFonts w:ascii="Times New Roman" w:hAnsi="Times New Roman"/>
          <w:b w:val="false"/>
          <w:i w:val="false"/>
          <w:color w:val="000000"/>
          <w:sz w:val="22"/>
        </w:rPr>
        <w:t> </w:t>
      </w:r>
      <w:r>
        <w:rPr>
          <w:rFonts w:ascii="Times New Roman" w:hAnsi="Times New Roman"/>
          <w:b w:val="false"/>
          <w:i/>
          <w:color w:val="000000"/>
          <w:sz w:val="22"/>
        </w:rPr>
        <w:t xml:space="preserve">Contents. </w:t>
      </w:r>
      <w:r>
        <w:rPr>
          <w:rFonts w:ascii="Times New Roman" w:hAnsi="Times New Roman"/>
          <w:b w:val="false"/>
          <w:i w:val="false"/>
          <w:color w:val="000000"/>
          <w:sz w:val="22"/>
        </w:rPr>
        <w:t>At least 35 days before the adoption of a rule the commission shall cause Notice of Intended Action to be published in the Iowa Administrative Bulletin. The Notice of Intended Action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brief explanation of the purpose of the proposed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specific legal authority for the proposed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Except to the extent impracticable, the text of the proposed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Where, when, and how persons may present their views on the proposed rule;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Where, when, and how persons may demand an oral proceeding on the proposed rule if the notice does not already provide for one.</w:t>
      </w:r>
    </w:p>
    <w:p>
      <w:pPr>
        <w:spacing w:before="0" w:after="0"/>
        <w:ind w:left="120"/>
        <w:jc w:val="both"/>
      </w:pPr>
      <w:r>
        <w:rPr>
          <w:rFonts w:ascii="Times New Roman" w:hAnsi="Times New Roman"/>
          <w:b w:val="false"/>
          <w:i w:val="false"/>
          <w:color w:val="000000"/>
          <w:sz w:val="22"/>
        </w:rPr>
        <w:t>Where inclusion of the complete text of a proposed rule in the Notice of Intended Action is impracticable, the commission shall include in the notice a statement fully describing the specific subject matter of the omitted portion of the text of the proposed rule, the specific issues to be addressed by that omitted text of the proposed rule, and the range of possible choices being considered by the commission for the resolution of each of those issues.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2.4(2)</w:t>
      </w:r>
      <w:r>
        <w:rPr>
          <w:rFonts w:ascii="Times New Roman" w:hAnsi="Times New Roman"/>
          <w:b w:val="false"/>
          <w:i w:val="false"/>
          <w:color w:val="000000"/>
          <w:sz w:val="22"/>
        </w:rPr>
        <w:t> </w:t>
      </w:r>
      <w:r>
        <w:rPr>
          <w:rFonts w:ascii="Times New Roman" w:hAnsi="Times New Roman"/>
          <w:b w:val="false"/>
          <w:i/>
          <w:color w:val="000000"/>
          <w:sz w:val="22"/>
        </w:rPr>
        <w:t xml:space="preserve">Incorporation by reference. </w:t>
      </w:r>
      <w:r>
        <w:rPr>
          <w:rFonts w:ascii="Times New Roman" w:hAnsi="Times New Roman"/>
          <w:b w:val="false"/>
          <w:i w:val="false"/>
          <w:color w:val="000000"/>
          <w:sz w:val="22"/>
        </w:rPr>
        <w:t xml:space="preserve">A proposed rule may incorporate other materials by reference only if it complies with all of the requirements applicable to the incorporation by reference of other materials in an adopted rule that are contained in subrule </w:t>
      </w:r>
      <w:hyperlink r:id="rId9">
        <w:r>
          <w:rPr>
            <w:rStyle w:val="Hyperlink"/>
            <w:rFonts w:ascii="Times New Roman" w:hAnsi="Times New Roman"/>
            <w:b w:val="false"/>
            <w:i w:val="false"/>
            <w:color w:val="000000"/>
            <w:sz w:val="22"/>
          </w:rPr>
          <w:t>2.12(2)</w:t>
        </w:r>
      </w:hyperlink>
      <w:r>
        <w:rPr>
          <w:rFonts w:ascii="Times New Roman" w:hAnsi="Times New Roman"/>
          <w:b w:val="false"/>
          <w:i w:val="false"/>
          <w:color w:val="000000"/>
          <w:sz w:val="22"/>
        </w:rPr>
        <w:t xml:space="preserve"> of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2.4(3)</w:t>
      </w:r>
      <w:r>
        <w:rPr>
          <w:rFonts w:ascii="Times New Roman" w:hAnsi="Times New Roman"/>
          <w:b w:val="false"/>
          <w:i w:val="false"/>
          <w:color w:val="000000"/>
          <w:sz w:val="22"/>
        </w:rPr>
        <w:t> </w:t>
      </w:r>
      <w:r>
        <w:rPr>
          <w:rFonts w:ascii="Times New Roman" w:hAnsi="Times New Roman"/>
          <w:b w:val="false"/>
          <w:i/>
          <w:color w:val="000000"/>
          <w:sz w:val="22"/>
        </w:rPr>
        <w:t xml:space="preserve">Copies of notices. </w:t>
      </w:r>
      <w:r>
        <w:rPr>
          <w:rFonts w:ascii="Times New Roman" w:hAnsi="Times New Roman"/>
          <w:b w:val="false"/>
          <w:i w:val="false"/>
          <w:color w:val="000000"/>
          <w:sz w:val="22"/>
        </w:rPr>
        <w:t>Persons desiring to receive copies of future Notices of Intended Action by subscription must file with the commission a written request indicating the name and address to which such notices should be sent. The commission will attach the proposed rules to the agenda for the commission meeting in which the rules will be addressed. If the individual desiring a copy of the rules did not receive the rules with the copy of the agenda either through the mail or on the commission web page within seven days after submission of a Notice of Intended Action to the administrative rules coordinator for publication in the Iowa Administrative Bulletin, the commission shall mail or electronically transmit a copy of that notice to subscribers who have filed a written request for either mailing or electronic transmittal with the commission for Notices of Intended Action. The written request shall be accompanied by payment of the subscription price which may cover the full cost of the subscription service, including its administrative overhead and the cost of copying and mailing the Notices of Intended Action for a period of one year.</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3/6/24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491—2.5</w:t>
      </w:r>
      <w:r>
        <w:rPr>
          <w:rFonts w:ascii="Times New Roman" w:hAnsi="Times New Roman"/>
          <w:b/>
          <w:i w:val="false"/>
          <w:color w:val="000000"/>
          <w:sz w:val="22"/>
        </w:rPr>
        <w:t xml:space="preserve">(17A) </w:t>
      </w:r>
      <w:r>
        <w:rPr>
          <w:rFonts w:ascii="Times New Roman" w:hAnsi="Times New Roman"/>
          <w:b/>
          <w:i w:val="false"/>
          <w:color w:val="000000"/>
          <w:sz w:val="22"/>
        </w:rPr>
        <w:t xml:space="preserve">Public participation.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2.5(1)</w:t>
      </w:r>
      <w:r>
        <w:rPr>
          <w:rFonts w:ascii="Times New Roman" w:hAnsi="Times New Roman"/>
          <w:b w:val="false"/>
          <w:i w:val="false"/>
          <w:color w:val="000000"/>
          <w:sz w:val="22"/>
        </w:rPr>
        <w:t> </w:t>
      </w:r>
      <w:r>
        <w:rPr>
          <w:rFonts w:ascii="Times New Roman" w:hAnsi="Times New Roman"/>
          <w:b w:val="false"/>
          <w:i/>
          <w:color w:val="000000"/>
          <w:sz w:val="22"/>
        </w:rPr>
        <w:t xml:space="preserve">Written comments. </w:t>
      </w:r>
      <w:r>
        <w:rPr>
          <w:rFonts w:ascii="Times New Roman" w:hAnsi="Times New Roman"/>
          <w:b w:val="false"/>
          <w:i w:val="false"/>
          <w:color w:val="000000"/>
          <w:sz w:val="22"/>
        </w:rPr>
        <w:t>For at least 20 days after publication of the Notice of Intended Action, persons may submit argument, data, and views, in writing, on the proposed rule. Such written submissions should identify the proposed rule to which they relate and should be submitted to the Racing and Gaming Commission, 6200 Park Avenue, Suite 100, Des Moines, Iowa 50321.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2.5(2)</w:t>
      </w:r>
      <w:r>
        <w:rPr>
          <w:rFonts w:ascii="Times New Roman" w:hAnsi="Times New Roman"/>
          <w:b w:val="false"/>
          <w:i w:val="false"/>
          <w:color w:val="000000"/>
          <w:sz w:val="22"/>
        </w:rPr>
        <w:t> </w:t>
      </w:r>
      <w:r>
        <w:rPr>
          <w:rFonts w:ascii="Times New Roman" w:hAnsi="Times New Roman"/>
          <w:b w:val="false"/>
          <w:i/>
          <w:color w:val="000000"/>
          <w:sz w:val="22"/>
        </w:rPr>
        <w:t xml:space="preserve">Oral proceedings. </w:t>
      </w:r>
      <w:r>
        <w:rPr>
          <w:rFonts w:ascii="Times New Roman" w:hAnsi="Times New Roman"/>
          <w:b w:val="false"/>
          <w:i w:val="false"/>
          <w:color w:val="000000"/>
          <w:sz w:val="22"/>
        </w:rPr>
        <w:t>The commission may, at any time, schedule an oral proceeding on a proposed rule. The commission shall schedule an oral proceeding on a proposed rule if, within 20 days after the published Notice of Intended Action, a written request for an opportunity to make oral presentations is submitted to the commission by the administrative rules review committee, a governmental subdivision, an agency, an association having not less than 25 members, or at least 25 persons. That request must also contain the following additional information:</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 request by one or more individual persons must be signed by each of them and include the address and telephone number of each of them.</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 request by an association must be signed by an officer or designee of the association and must contain a statement that the association has at least 25 members and the address and telephone number of the person signing that request.</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 request by an agency or governmental subdivision must be signed by an official having authority to act on behalf of the entity and must contain the address and telephone number of the person signing that request.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2.5(3)</w:t>
      </w:r>
      <w:r>
        <w:rPr>
          <w:rFonts w:ascii="Times New Roman" w:hAnsi="Times New Roman"/>
          <w:b w:val="false"/>
          <w:i w:val="false"/>
          <w:color w:val="000000"/>
          <w:sz w:val="22"/>
        </w:rPr>
        <w:t> </w:t>
      </w:r>
      <w:r>
        <w:rPr>
          <w:rFonts w:ascii="Times New Roman" w:hAnsi="Times New Roman"/>
          <w:b w:val="false"/>
          <w:i/>
          <w:color w:val="000000"/>
          <w:sz w:val="22"/>
        </w:rPr>
        <w:t xml:space="preserve">Conduct of oral proceedings.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Applicability. </w:t>
      </w:r>
      <w:r>
        <w:rPr>
          <w:rFonts w:ascii="Times New Roman" w:hAnsi="Times New Roman"/>
          <w:b w:val="false"/>
          <w:i w:val="false"/>
          <w:color w:val="000000"/>
          <w:sz w:val="22"/>
        </w:rPr>
        <w:t xml:space="preserve">This subrule applies only to those oral rulemaking proceedings in which an opportunity to make oral presentations is authorized or required by Iowa Code section </w:t>
      </w:r>
      <w:hyperlink r:id="rId10">
        <w:r>
          <w:rPr>
            <w:rStyle w:val="Hyperlink"/>
            <w:rFonts w:ascii="Times New Roman" w:hAnsi="Times New Roman"/>
            <w:b w:val="false"/>
            <w:i w:val="false"/>
            <w:color w:val="000000"/>
            <w:sz w:val="22"/>
          </w:rPr>
          <w:t>17A.4(1)</w:t>
        </w:r>
        <w:r>
          <w:rPr>
            <w:rFonts w:ascii="Times New Roman" w:hAnsi="Times New Roman"/>
            <w:b w:val="false"/>
            <w:i/>
            <w:color w:val="000000"/>
            <w:sz w:val="22"/>
          </w:rPr>
          <w:t>“b.”</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Scheduling and notice. </w:t>
      </w:r>
      <w:r>
        <w:rPr>
          <w:rFonts w:ascii="Times New Roman" w:hAnsi="Times New Roman"/>
          <w:b w:val="false"/>
          <w:i w:val="false"/>
          <w:color w:val="000000"/>
          <w:sz w:val="22"/>
        </w:rPr>
        <w:t>An oral proceeding on a proposed rule may be held in one or more locations and shall not be held earlier than 20 days after notice of its location and time is published in the Iowa Administrative Bulletin. That notice shall also identify the proposed rule by ARC number and citation to the Iowa Administrative Bulletin.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Presiding officer. </w:t>
      </w:r>
      <w:r>
        <w:rPr>
          <w:rFonts w:ascii="Times New Roman" w:hAnsi="Times New Roman"/>
          <w:b w:val="false"/>
          <w:i w:val="false"/>
          <w:color w:val="000000"/>
          <w:sz w:val="22"/>
        </w:rPr>
        <w:t>The commission, a member of the commission, or another person designated by the commission who will be familiar with the substance of the proposed rule, shall preside at the oral proceeding on a proposed rule. If the commission does not preside, the presiding officer shall prepare a memorandum for consideration by the commission summarizing the contents of the presentations made at the oral proceeding unless the commission determines that such a memorandum is unnecessary because the commission will personally listen to or read the entire transcript of the oral proceeding.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Conduct of proceeding. </w:t>
      </w:r>
      <w:r>
        <w:rPr>
          <w:rFonts w:ascii="Times New Roman" w:hAnsi="Times New Roman"/>
          <w:b w:val="false"/>
          <w:i w:val="false"/>
          <w:color w:val="000000"/>
          <w:sz w:val="22"/>
        </w:rPr>
        <w:t>At an oral proceeding on a proposed rule, persons may make oral statements and make documentary and physical submissions, which may include data, views, comments or arguments concerning the proposed rule. Persons wishing to make oral presentations at such a proceeding are encouraged to notify the commission at least one business day prior to the proceeding and indicate the general subject of their presentations. At the proceeding, those who participate shall indicate their names and addresses, identify any persons or organizations they may represent, and provide any other information relating to their participation deemed appropriate by the presiding officer. Oral proceedings shall be open to the public and shall be recorded by stenographic or electronic means.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At the beginning of the oral proceeding, the presiding officer shall give a brief synopsis of the proposed rule, a statement of the statutory authority for the proposed rule, and the reasons for the commission decision to propose the rule. The presiding officer may place time limitations on individual oral presentations when necessary to ensure the orderly and expeditious conduct of the oral proceeding. To encourage joint oral presentations and to avoid repetition, additional time may be provided for persons whose presentations represent the views of other individuals as well as their own views.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Persons making oral presentations are encouraged to avoid restating matters which have already been submitted in writing.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To facilitate the exchange of information, the presiding officer may, where time permits, open the floor to questions or general discussion.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presiding officer shall have the authority to take any reasonable action necessary for the orderly conduct of the meeting.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Physical and documentary submissions presented by participants in the oral proceeding shall be submitted to the presiding officer. Such submissions become the property of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oral proceeding may be continued by the presiding officer to a later time without notice other than by announcement at the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Participants in an oral proceeding shall not be required to take an oath or to submit to cross-examination. However, the presiding officer in an oral proceeding may question participants and permit the questioning of participants by other participants about any matter relating to that rulemaking proceeding, including any prior written submissions made by those participants in that proceeding; but no participant shall be required to answer any questions.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The presiding officer in an oral proceeding may permit rebuttal statements and request the filing of written statements subsequent to the adjournment of the oral presentations.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2.5(4)</w:t>
      </w:r>
      <w:r>
        <w:rPr>
          <w:rFonts w:ascii="Times New Roman" w:hAnsi="Times New Roman"/>
          <w:b w:val="false"/>
          <w:i w:val="false"/>
          <w:color w:val="000000"/>
          <w:sz w:val="22"/>
        </w:rPr>
        <w:t> </w:t>
      </w:r>
      <w:r>
        <w:rPr>
          <w:rFonts w:ascii="Times New Roman" w:hAnsi="Times New Roman"/>
          <w:b w:val="false"/>
          <w:i/>
          <w:color w:val="000000"/>
          <w:sz w:val="22"/>
        </w:rPr>
        <w:t xml:space="preserve">Additional information. </w:t>
      </w:r>
      <w:r>
        <w:rPr>
          <w:rFonts w:ascii="Times New Roman" w:hAnsi="Times New Roman"/>
          <w:b w:val="false"/>
          <w:i w:val="false"/>
          <w:color w:val="000000"/>
          <w:sz w:val="22"/>
        </w:rPr>
        <w:t>In addition to receiving written comments and oral presentations on a proposed rule according to the provisions of this rule, the commission may obtain information concerning a proposed rule through any other lawful means deemed appropriate under the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2.5(5)</w:t>
      </w:r>
      <w:r>
        <w:rPr>
          <w:rFonts w:ascii="Times New Roman" w:hAnsi="Times New Roman"/>
          <w:b w:val="false"/>
          <w:i w:val="false"/>
          <w:color w:val="000000"/>
          <w:sz w:val="22"/>
        </w:rPr>
        <w:t> </w:t>
      </w:r>
      <w:r>
        <w:rPr>
          <w:rFonts w:ascii="Times New Roman" w:hAnsi="Times New Roman"/>
          <w:b w:val="false"/>
          <w:i/>
          <w:color w:val="000000"/>
          <w:sz w:val="22"/>
        </w:rPr>
        <w:t xml:space="preserve">Accessibility. </w:t>
      </w:r>
      <w:r>
        <w:rPr>
          <w:rFonts w:ascii="Times New Roman" w:hAnsi="Times New Roman"/>
          <w:b w:val="false"/>
          <w:i w:val="false"/>
          <w:color w:val="000000"/>
          <w:sz w:val="22"/>
        </w:rPr>
        <w:t>The commission shall schedule oral proceedings in rooms accessible to and functional for persons with physical disabilities. Persons who have special requirements should contact the commission at 515.281.7352 in advance to arrange access or other needed services.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0734C</w:t>
      </w:r>
      <w:r>
        <w:rPr>
          <w:rFonts w:ascii="Times New Roman" w:hAnsi="Times New Roman"/>
          <w:b w:val="false"/>
          <w:i w:val="false"/>
          <w:color w:val="000000"/>
          <w:sz w:val="16"/>
        </w:rPr>
        <w:t>, IAB 5/15/13, effective 6/19/13</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3/6/24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491—2.6</w:t>
      </w:r>
      <w:r>
        <w:rPr>
          <w:rFonts w:ascii="Times New Roman" w:hAnsi="Times New Roman"/>
          <w:b/>
          <w:i w:val="false"/>
          <w:color w:val="000000"/>
          <w:sz w:val="22"/>
        </w:rPr>
        <w:t xml:space="preserve">(17A) </w:t>
      </w:r>
      <w:r>
        <w:rPr>
          <w:rFonts w:ascii="Times New Roman" w:hAnsi="Times New Roman"/>
          <w:b/>
          <w:i w:val="false"/>
          <w:color w:val="000000"/>
          <w:sz w:val="22"/>
        </w:rPr>
        <w:t xml:space="preserve">Regulatory analysis.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2.6(1)</w:t>
      </w:r>
      <w:r>
        <w:rPr>
          <w:rFonts w:ascii="Times New Roman" w:hAnsi="Times New Roman"/>
          <w:b w:val="false"/>
          <w:i w:val="false"/>
          <w:color w:val="000000"/>
          <w:sz w:val="22"/>
        </w:rPr>
        <w:t> </w:t>
      </w:r>
      <w:r>
        <w:rPr>
          <w:rFonts w:ascii="Times New Roman" w:hAnsi="Times New Roman"/>
          <w:b w:val="false"/>
          <w:i/>
          <w:color w:val="000000"/>
          <w:sz w:val="22"/>
        </w:rPr>
        <w:t xml:space="preserve">Qualified requesters for regulatory analysis—business impact. </w:t>
      </w:r>
      <w:r>
        <w:rPr>
          <w:rFonts w:ascii="Times New Roman" w:hAnsi="Times New Roman"/>
          <w:b w:val="false"/>
          <w:i w:val="false"/>
          <w:color w:val="000000"/>
          <w:sz w:val="22"/>
        </w:rPr>
        <w:t xml:space="preserve">The commission shall issue a regulatory analysis of a proposed rule that conforms to the requirements of Iowa Code section </w:t>
      </w:r>
      <w:hyperlink r:id="rId11">
        <w:r>
          <w:rPr>
            <w:rStyle w:val="Hyperlink"/>
            <w:rFonts w:ascii="Times New Roman" w:hAnsi="Times New Roman"/>
            <w:b w:val="false"/>
            <w:i w:val="false"/>
            <w:color w:val="000000"/>
            <w:sz w:val="22"/>
          </w:rPr>
          <w:t>17A.4A(1)</w:t>
        </w:r>
      </w:hyperlink>
      <w:r>
        <w:rPr>
          <w:rFonts w:ascii="Times New Roman" w:hAnsi="Times New Roman"/>
          <w:b w:val="false"/>
          <w:i w:val="false"/>
          <w:color w:val="000000"/>
          <w:sz w:val="22"/>
        </w:rPr>
        <w:t xml:space="preserve"> after a proper request from: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administrative rules review committee,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administrative rules coordinator.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2.6(2)</w:t>
      </w:r>
      <w:r>
        <w:rPr>
          <w:rFonts w:ascii="Times New Roman" w:hAnsi="Times New Roman"/>
          <w:b w:val="false"/>
          <w:i w:val="false"/>
          <w:color w:val="000000"/>
          <w:sz w:val="22"/>
        </w:rPr>
        <w:t> </w:t>
      </w:r>
      <w:r>
        <w:rPr>
          <w:rFonts w:ascii="Times New Roman" w:hAnsi="Times New Roman"/>
          <w:b w:val="false"/>
          <w:i/>
          <w:color w:val="000000"/>
          <w:sz w:val="22"/>
        </w:rPr>
        <w:t xml:space="preserve">Time period for analysis. </w:t>
      </w:r>
      <w:r>
        <w:rPr>
          <w:rFonts w:ascii="Times New Roman" w:hAnsi="Times New Roman"/>
          <w:b w:val="false"/>
          <w:i w:val="false"/>
          <w:color w:val="000000"/>
          <w:sz w:val="22"/>
        </w:rPr>
        <w:t xml:space="preserve">Upon receipt of a timely request for a regulatory analysis, the commission shall adhere to the time lines described in Iowa Code section </w:t>
      </w:r>
      <w:hyperlink r:id="rId12">
        <w:r>
          <w:rPr>
            <w:rStyle w:val="Hyperlink"/>
            <w:rFonts w:ascii="Times New Roman" w:hAnsi="Times New Roman"/>
            <w:b w:val="false"/>
            <w:i w:val="false"/>
            <w:color w:val="000000"/>
            <w:sz w:val="22"/>
          </w:rPr>
          <w:t>17A.4A(4)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2.6(3)</w:t>
      </w:r>
      <w:r>
        <w:rPr>
          <w:rFonts w:ascii="Times New Roman" w:hAnsi="Times New Roman"/>
          <w:b w:val="false"/>
          <w:i w:val="false"/>
          <w:color w:val="000000"/>
          <w:sz w:val="22"/>
        </w:rPr>
        <w:t> </w:t>
      </w:r>
      <w:r>
        <w:rPr>
          <w:rFonts w:ascii="Times New Roman" w:hAnsi="Times New Roman"/>
          <w:b w:val="false"/>
          <w:i/>
          <w:color w:val="000000"/>
          <w:sz w:val="22"/>
        </w:rPr>
        <w:t xml:space="preserve">Contents of request. </w:t>
      </w:r>
      <w:r>
        <w:rPr>
          <w:rFonts w:ascii="Times New Roman" w:hAnsi="Times New Roman"/>
          <w:b w:val="false"/>
          <w:i w:val="false"/>
          <w:color w:val="000000"/>
          <w:sz w:val="22"/>
        </w:rPr>
        <w:t xml:space="preserve">A request for a regulatory analysis is made when it is mailed or delivered to the commission. The request shall be in writing and satisfy the requirements of Iowa Code section </w:t>
      </w:r>
      <w:hyperlink r:id="rId13">
        <w:r>
          <w:rPr>
            <w:rStyle w:val="Hyperlink"/>
            <w:rFonts w:ascii="Times New Roman" w:hAnsi="Times New Roman"/>
            <w:b w:val="false"/>
            <w:i w:val="false"/>
            <w:color w:val="000000"/>
            <w:sz w:val="22"/>
          </w:rPr>
          <w:t>17A.4A(1)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2.6(4)</w:t>
      </w:r>
      <w:r>
        <w:rPr>
          <w:rFonts w:ascii="Times New Roman" w:hAnsi="Times New Roman"/>
          <w:b w:val="false"/>
          <w:i w:val="false"/>
          <w:color w:val="000000"/>
          <w:sz w:val="22"/>
        </w:rPr>
        <w:t> </w:t>
      </w:r>
      <w:r>
        <w:rPr>
          <w:rFonts w:ascii="Times New Roman" w:hAnsi="Times New Roman"/>
          <w:b w:val="false"/>
          <w:i/>
          <w:color w:val="000000"/>
          <w:sz w:val="22"/>
        </w:rPr>
        <w:t xml:space="preserve">Contents of concise summary. </w:t>
      </w:r>
      <w:r>
        <w:rPr>
          <w:rFonts w:ascii="Times New Roman" w:hAnsi="Times New Roman"/>
          <w:b w:val="false"/>
          <w:i w:val="false"/>
          <w:color w:val="000000"/>
          <w:sz w:val="22"/>
        </w:rPr>
        <w:t xml:space="preserve">The contents of the concise summary shall conform to the requirements of Iowa Code sections </w:t>
      </w:r>
      <w:hyperlink r:id="rId14">
        <w:r>
          <w:rPr>
            <w:rStyle w:val="Hyperlink"/>
            <w:rFonts w:ascii="Times New Roman" w:hAnsi="Times New Roman"/>
            <w:b w:val="false"/>
            <w:i w:val="false"/>
            <w:color w:val="000000"/>
            <w:sz w:val="22"/>
          </w:rPr>
          <w:t>17A.4A(2), (3) and (5)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2.6(5)</w:t>
      </w:r>
      <w:r>
        <w:rPr>
          <w:rFonts w:ascii="Times New Roman" w:hAnsi="Times New Roman"/>
          <w:b w:val="false"/>
          <w:i w:val="false"/>
          <w:color w:val="000000"/>
          <w:sz w:val="22"/>
        </w:rPr>
        <w:t> </w:t>
      </w:r>
      <w:r>
        <w:rPr>
          <w:rFonts w:ascii="Times New Roman" w:hAnsi="Times New Roman"/>
          <w:b w:val="false"/>
          <w:i/>
          <w:color w:val="000000"/>
          <w:sz w:val="22"/>
        </w:rPr>
        <w:t xml:space="preserve">Publication of a concise summary. </w:t>
      </w:r>
      <w:r>
        <w:rPr>
          <w:rFonts w:ascii="Times New Roman" w:hAnsi="Times New Roman"/>
          <w:b w:val="false"/>
          <w:i w:val="false"/>
          <w:color w:val="000000"/>
          <w:sz w:val="22"/>
        </w:rPr>
        <w:t xml:space="preserve">The commission shall make available, to the maximum extent feasible, copies of the published summary in conformance with Iowa Code section </w:t>
      </w:r>
      <w:hyperlink r:id="rId15">
        <w:r>
          <w:rPr>
            <w:rStyle w:val="Hyperlink"/>
            <w:rFonts w:ascii="Times New Roman" w:hAnsi="Times New Roman"/>
            <w:b w:val="false"/>
            <w:i w:val="false"/>
            <w:color w:val="000000"/>
            <w:sz w:val="22"/>
          </w:rPr>
          <w:t>17A.4A(5)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2.6(6)</w:t>
      </w:r>
      <w:r>
        <w:rPr>
          <w:rFonts w:ascii="Times New Roman" w:hAnsi="Times New Roman"/>
          <w:b w:val="false"/>
          <w:i w:val="false"/>
          <w:color w:val="000000"/>
          <w:sz w:val="22"/>
        </w:rPr>
        <w:t> </w:t>
      </w:r>
      <w:r>
        <w:rPr>
          <w:rFonts w:ascii="Times New Roman" w:hAnsi="Times New Roman"/>
          <w:b w:val="false"/>
          <w:i/>
          <w:color w:val="000000"/>
          <w:sz w:val="22"/>
        </w:rPr>
        <w:t xml:space="preserve">Regulatory analysis contents—rules review committee or rules coordinator. </w:t>
      </w:r>
      <w:r>
        <w:rPr>
          <w:rFonts w:ascii="Times New Roman" w:hAnsi="Times New Roman"/>
          <w:b w:val="false"/>
          <w:i w:val="false"/>
          <w:color w:val="000000"/>
          <w:sz w:val="22"/>
        </w:rPr>
        <w:t xml:space="preserve">When a regulatory analysis is issued in response to a written request from the administrative rules review committee, or the administrative rules coordinator, the regulatory analysis shall conform to the requirements of Iowa Code sections </w:t>
      </w:r>
      <w:hyperlink r:id="rId16">
        <w:r>
          <w:rPr>
            <w:rStyle w:val="Hyperlink"/>
            <w:rFonts w:ascii="Times New Roman" w:hAnsi="Times New Roman"/>
            <w:b w:val="false"/>
            <w:i w:val="false"/>
            <w:color w:val="000000"/>
            <w:sz w:val="22"/>
          </w:rPr>
          <w:t>17A.4A(1)</w:t>
        </w:r>
      </w:hyperlink>
      <w:r>
        <w:rPr>
          <w:rFonts w:ascii="Times New Roman" w:hAnsi="Times New Roman"/>
          <w:b w:val="false"/>
          <w:i w:val="false"/>
          <w:color w:val="000000"/>
          <w:sz w:val="22"/>
        </w:rPr>
        <w:t xml:space="preserve">, </w:t>
      </w:r>
      <w:hyperlink r:id="rId17">
        <w:r>
          <w:rPr>
            <w:rStyle w:val="Hyperlink"/>
            <w:rFonts w:ascii="Times New Roman" w:hAnsi="Times New Roman"/>
            <w:b w:val="false"/>
            <w:i w:val="false"/>
            <w:color w:val="000000"/>
            <w:sz w:val="22"/>
          </w:rPr>
          <w:t>(2)</w:t>
        </w:r>
        <w:r>
          <w:rPr>
            <w:rFonts w:ascii="Times New Roman" w:hAnsi="Times New Roman"/>
            <w:b w:val="false"/>
            <w:i/>
            <w:color w:val="000000"/>
            <w:sz w:val="22"/>
          </w:rPr>
          <w:t>“a”</w:t>
        </w:r>
        <w:r>
          <w:rPr>
            <w:rFonts w:ascii="Times New Roman" w:hAnsi="Times New Roman"/>
            <w:b w:val="false"/>
            <w:i w:val="false"/>
            <w:color w:val="000000"/>
            <w:sz w:val="22"/>
          </w:rPr>
          <w:t xml:space="preserve"> and </w:t>
        </w:r>
        <w:r>
          <w:rPr>
            <w:rFonts w:ascii="Times New Roman" w:hAnsi="Times New Roman"/>
            <w:b w:val="false"/>
            <w:i/>
            <w:color w:val="000000"/>
            <w:sz w:val="22"/>
          </w:rPr>
          <w:t>“b,”</w:t>
        </w:r>
      </w:hyperlink>
      <w:r>
        <w:rPr>
          <w:rFonts w:ascii="Times New Roman" w:hAnsi="Times New Roman"/>
          <w:b w:val="false"/>
          <w:i w:val="false"/>
          <w:color w:val="000000"/>
          <w:sz w:val="22"/>
        </w:rPr>
        <w:t xml:space="preserve"> and </w:t>
      </w:r>
      <w:hyperlink r:id="rId18">
        <w:r>
          <w:rPr>
            <w:rStyle w:val="Hyperlink"/>
            <w:rFonts w:ascii="Times New Roman" w:hAnsi="Times New Roman"/>
            <w:b w:val="false"/>
            <w:i w:val="false"/>
            <w:color w:val="000000"/>
            <w:sz w:val="22"/>
          </w:rPr>
          <w:t>(3)</w:t>
        </w:r>
      </w:hyperlink>
      <w:r>
        <w:rPr>
          <w:rFonts w:ascii="Times New Roman" w:hAnsi="Times New Roman"/>
          <w:b w:val="false"/>
          <w:i w:val="false"/>
          <w:color w:val="000000"/>
          <w:sz w:val="22"/>
        </w:rPr>
        <w:t xml:space="preserve"> unless a written request expressly waives one or more of the items listed in the section.</w:t>
      </w:r>
    </w:p>
    <w:p>
      <w:pPr>
        <w:spacing w:before="0" w:after="0"/>
        <w:ind w:left="120"/>
        <w:jc w:val="both"/>
      </w:pPr>
      <w:r>
        <w:rPr>
          <w:rFonts w:ascii="Times New Roman" w:hAnsi="Times New Roman"/>
          <w:b/>
          <w:i w:val="false"/>
          <w:color w:val="000000"/>
          <w:sz w:val="22"/>
        </w:rPr>
        <w:t>491—2.7</w:t>
      </w:r>
      <w:r>
        <w:rPr>
          <w:rFonts w:ascii="Times New Roman" w:hAnsi="Times New Roman"/>
          <w:b/>
          <w:i w:val="false"/>
          <w:color w:val="000000"/>
          <w:sz w:val="22"/>
        </w:rPr>
        <w:t xml:space="preserve">(17A,25B) </w:t>
      </w:r>
      <w:r>
        <w:rPr>
          <w:rFonts w:ascii="Times New Roman" w:hAnsi="Times New Roman"/>
          <w:b/>
          <w:i w:val="false"/>
          <w:color w:val="000000"/>
          <w:sz w:val="22"/>
        </w:rPr>
        <w:t xml:space="preserve">Fiscal impact statement.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2.7(1)</w:t>
      </w:r>
      <w:r>
        <w:rPr>
          <w:rFonts w:ascii="Times New Roman" w:hAnsi="Times New Roman"/>
          <w:b w:val="false"/>
          <w:i w:val="false"/>
          <w:color w:val="000000"/>
          <w:sz w:val="22"/>
        </w:rPr>
        <w:t> </w:t>
      </w:r>
      <w:r>
        <w:rPr>
          <w:rFonts w:ascii="Times New Roman" w:hAnsi="Times New Roman"/>
          <w:b w:val="false"/>
          <w:i w:val="false"/>
          <w:color w:val="000000"/>
          <w:sz w:val="22"/>
        </w:rPr>
        <w:t xml:space="preserve">A proposed rule that mandates additional combined expenditures exceeding $100,000 by all affected political subdivisions or agencies and entities which contract with political subdivisions to provide services must be accompanied by a fiscal impact statement outlining the costs associated with the rule. A fiscal impact statement must satisfy the requirements of Iowa Code section </w:t>
      </w:r>
      <w:hyperlink r:id="rId19">
        <w:r>
          <w:rPr>
            <w:rStyle w:val="Hyperlink"/>
            <w:rFonts w:ascii="Times New Roman" w:hAnsi="Times New Roman"/>
            <w:b w:val="false"/>
            <w:i w:val="false"/>
            <w:color w:val="000000"/>
            <w:sz w:val="22"/>
          </w:rPr>
          <w:t>25B.6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2.7(2)</w:t>
      </w:r>
      <w:r>
        <w:rPr>
          <w:rFonts w:ascii="Times New Roman" w:hAnsi="Times New Roman"/>
          <w:b w:val="false"/>
          <w:i w:val="false"/>
          <w:color w:val="000000"/>
          <w:sz w:val="22"/>
        </w:rPr>
        <w:t> </w:t>
      </w:r>
      <w:r>
        <w:rPr>
          <w:rFonts w:ascii="Times New Roman" w:hAnsi="Times New Roman"/>
          <w:b w:val="false"/>
          <w:i w:val="false"/>
          <w:color w:val="000000"/>
          <w:sz w:val="22"/>
        </w:rPr>
        <w:t>If the commission determines at the time it adopts a rule that the fiscal impact statement upon which the rule is based contains errors, the commission shall, at the same time, issue a corrected fiscal impact statement and publish the correct fiscal impact statement in the Iowa Administrative Bulletin.</w:t>
      </w:r>
    </w:p>
    <w:p>
      <w:pPr>
        <w:spacing w:before="0" w:after="0"/>
        <w:ind w:left="120"/>
        <w:jc w:val="both"/>
      </w:pPr>
      <w:r>
        <w:rPr>
          <w:rFonts w:ascii="Times New Roman" w:hAnsi="Times New Roman"/>
          <w:b/>
          <w:i w:val="false"/>
          <w:color w:val="000000"/>
          <w:sz w:val="22"/>
        </w:rPr>
        <w:t>491—2.8</w:t>
      </w:r>
      <w:r>
        <w:rPr>
          <w:rFonts w:ascii="Times New Roman" w:hAnsi="Times New Roman"/>
          <w:b/>
          <w:i w:val="false"/>
          <w:color w:val="000000"/>
          <w:sz w:val="22"/>
        </w:rPr>
        <w:t xml:space="preserve">(17A) </w:t>
      </w:r>
      <w:r>
        <w:rPr>
          <w:rFonts w:ascii="Times New Roman" w:hAnsi="Times New Roman"/>
          <w:b/>
          <w:i w:val="false"/>
          <w:color w:val="000000"/>
          <w:sz w:val="22"/>
        </w:rPr>
        <w:t xml:space="preserve">Time and manner of rule adoption.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2.8(1)</w:t>
      </w:r>
      <w:r>
        <w:rPr>
          <w:rFonts w:ascii="Times New Roman" w:hAnsi="Times New Roman"/>
          <w:b w:val="false"/>
          <w:i w:val="false"/>
          <w:color w:val="000000"/>
          <w:sz w:val="22"/>
        </w:rPr>
        <w:t> </w:t>
      </w:r>
      <w:r>
        <w:rPr>
          <w:rFonts w:ascii="Times New Roman" w:hAnsi="Times New Roman"/>
          <w:b w:val="false"/>
          <w:i/>
          <w:color w:val="000000"/>
          <w:sz w:val="22"/>
        </w:rPr>
        <w:t xml:space="preserve">Time of adoption. </w:t>
      </w:r>
      <w:r>
        <w:rPr>
          <w:rFonts w:ascii="Times New Roman" w:hAnsi="Times New Roman"/>
          <w:b w:val="false"/>
          <w:i w:val="false"/>
          <w:color w:val="000000"/>
          <w:sz w:val="22"/>
        </w:rPr>
        <w:t>The commission shall not adopt a rule until the period for making written submissions and oral presentations has expired. Within 180 days after the later of the publication of the Notice of Intended Action, or the end of oral proceedings thereon, the commission shall adopt a rule pursuant to the rulemaking proceeding or terminate the proceeding by publication of a notice to that effect in the Iowa Administrative Bulletin.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2.8(2)</w:t>
      </w:r>
      <w:r>
        <w:rPr>
          <w:rFonts w:ascii="Times New Roman" w:hAnsi="Times New Roman"/>
          <w:b w:val="false"/>
          <w:i w:val="false"/>
          <w:color w:val="000000"/>
          <w:sz w:val="22"/>
        </w:rPr>
        <w:t> </w:t>
      </w:r>
      <w:r>
        <w:rPr>
          <w:rFonts w:ascii="Times New Roman" w:hAnsi="Times New Roman"/>
          <w:b w:val="false"/>
          <w:i/>
          <w:color w:val="000000"/>
          <w:sz w:val="22"/>
        </w:rPr>
        <w:t xml:space="preserve">Consideration of public comment. </w:t>
      </w:r>
      <w:r>
        <w:rPr>
          <w:rFonts w:ascii="Times New Roman" w:hAnsi="Times New Roman"/>
          <w:b w:val="false"/>
          <w:i w:val="false"/>
          <w:color w:val="000000"/>
          <w:sz w:val="22"/>
        </w:rPr>
        <w:t>Before the adoption of a rule, the commission shall consider fully all of the written submissions and oral submissions received in that rule-making proceeding or any memorandum summarizing such oral submissions, and any regulatory analysis or fiscal impact statement issued in that rulemaking proceeding.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2.8(3)</w:t>
      </w:r>
      <w:r>
        <w:rPr>
          <w:rFonts w:ascii="Times New Roman" w:hAnsi="Times New Roman"/>
          <w:b w:val="false"/>
          <w:i w:val="false"/>
          <w:color w:val="000000"/>
          <w:sz w:val="22"/>
        </w:rPr>
        <w:t> </w:t>
      </w:r>
      <w:r>
        <w:rPr>
          <w:rFonts w:ascii="Times New Roman" w:hAnsi="Times New Roman"/>
          <w:b w:val="false"/>
          <w:i/>
          <w:color w:val="000000"/>
          <w:sz w:val="22"/>
        </w:rPr>
        <w:t xml:space="preserve">Reliance on commission expertise. </w:t>
      </w:r>
      <w:r>
        <w:rPr>
          <w:rFonts w:ascii="Times New Roman" w:hAnsi="Times New Roman"/>
          <w:b w:val="false"/>
          <w:i w:val="false"/>
          <w:color w:val="000000"/>
          <w:sz w:val="22"/>
        </w:rPr>
        <w:t>Except as otherwise provided by law, the commission may use its own experience, technical competence, specialized knowledge, and judgment in the adoption of a rule.</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3/6/24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491—2.9</w:t>
      </w:r>
      <w:r>
        <w:rPr>
          <w:rFonts w:ascii="Times New Roman" w:hAnsi="Times New Roman"/>
          <w:b/>
          <w:i w:val="false"/>
          <w:color w:val="000000"/>
          <w:sz w:val="22"/>
        </w:rPr>
        <w:t xml:space="preserve">(17A) </w:t>
      </w:r>
      <w:r>
        <w:rPr>
          <w:rFonts w:ascii="Times New Roman" w:hAnsi="Times New Roman"/>
          <w:b/>
          <w:i w:val="false"/>
          <w:color w:val="000000"/>
          <w:sz w:val="22"/>
        </w:rPr>
        <w:t xml:space="preserve">Variance between adopted rule and published notice of proposed rule adoption.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2.9(1)</w:t>
      </w:r>
      <w:r>
        <w:rPr>
          <w:rFonts w:ascii="Times New Roman" w:hAnsi="Times New Roman"/>
          <w:b w:val="false"/>
          <w:i w:val="false"/>
          <w:color w:val="000000"/>
          <w:sz w:val="22"/>
        </w:rPr>
        <w:t> </w:t>
      </w:r>
      <w:r>
        <w:rPr>
          <w:rFonts w:ascii="Times New Roman" w:hAnsi="Times New Roman"/>
          <w:b w:val="false"/>
          <w:i w:val="false"/>
          <w:color w:val="000000"/>
          <w:sz w:val="22"/>
        </w:rPr>
        <w:t>The commission shall not adopt a rule that differs from the rule proposed in the Notice of Intended Action on which the rule is based unless: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differences are within the scope of the subject matter announced in the Notice of Intended Action and are in character with the issues raised in that notice;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differences are a logical outgrowth of the contents of that Notice of Intended Action and the comments submitted in response thereto;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Notice of Intended Action provided fair warning that the outcome of that rulemaking proceeding could be the rule in question.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2.9(2)</w:t>
      </w:r>
      <w:r>
        <w:rPr>
          <w:rFonts w:ascii="Times New Roman" w:hAnsi="Times New Roman"/>
          <w:b w:val="false"/>
          <w:i w:val="false"/>
          <w:color w:val="000000"/>
          <w:sz w:val="22"/>
        </w:rPr>
        <w:t> </w:t>
      </w:r>
      <w:r>
        <w:rPr>
          <w:rFonts w:ascii="Times New Roman" w:hAnsi="Times New Roman"/>
          <w:b w:val="false"/>
          <w:i w:val="false"/>
          <w:color w:val="000000"/>
          <w:sz w:val="22"/>
        </w:rPr>
        <w:t>In determining whether the Notice of Intended Action provided fair warning that the outcome of that rulemaking proceeding could be the rule in question, the commission shall consider the following factors: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extent to which the person who will be affected by the rule should have understood that the rulemaking proceeding on which it is based could affect their interests;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extent to which the subject matter of the rule or the issues determined by the rule are different from the subject matter or issues contained in the Notice of Intended Action;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extent to which the effects of the rule differ from the effects of the proposed rule contained in the Notice of Intended Action.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2.9(3)</w:t>
      </w:r>
      <w:r>
        <w:rPr>
          <w:rFonts w:ascii="Times New Roman" w:hAnsi="Times New Roman"/>
          <w:b w:val="false"/>
          <w:i w:val="false"/>
          <w:color w:val="000000"/>
          <w:sz w:val="22"/>
        </w:rPr>
        <w:t> </w:t>
      </w:r>
      <w:r>
        <w:rPr>
          <w:rFonts w:ascii="Times New Roman" w:hAnsi="Times New Roman"/>
          <w:b w:val="false"/>
          <w:i w:val="false"/>
          <w:color w:val="000000"/>
          <w:sz w:val="22"/>
        </w:rPr>
        <w:t>The commission shall commence a rulemaking proceeding within 60 days of its receipt of a petition for rulemaking seeking the amendment or repeal of a rule that differs from the proposed rule contained in the Notice of Intended Action upon which the rule is based, unless the commission finds that the differences between the adopted rule and the proposed rule are so insubstantial as to make such a rulemaking proceeding wholly unnecessary. A copy of any such finding and the petition to which it responds shall be sent to petitioner, the administrative rules coordinator, and the administrative rules review committee, within three days of its issuance.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2.9(4)</w:t>
      </w:r>
      <w:r>
        <w:rPr>
          <w:rFonts w:ascii="Times New Roman" w:hAnsi="Times New Roman"/>
          <w:b w:val="false"/>
          <w:i w:val="false"/>
          <w:color w:val="000000"/>
          <w:sz w:val="22"/>
        </w:rPr>
        <w:t> </w:t>
      </w:r>
      <w:r>
        <w:rPr>
          <w:rFonts w:ascii="Times New Roman" w:hAnsi="Times New Roman"/>
          <w:b w:val="false"/>
          <w:i w:val="false"/>
          <w:color w:val="000000"/>
          <w:sz w:val="22"/>
        </w:rPr>
        <w:t>Concurrent rulemaking proceedings. Nothing in this rule disturbs the discretion of the commission to initiate, concurrently, several different rulemaking proceedings on the same subject with several different published Notices of Intended Action.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3/6/24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491—2.10</w:t>
      </w:r>
      <w:r>
        <w:rPr>
          <w:rFonts w:ascii="Times New Roman" w:hAnsi="Times New Roman"/>
          <w:b/>
          <w:i w:val="false"/>
          <w:color w:val="000000"/>
          <w:sz w:val="22"/>
        </w:rPr>
        <w:t xml:space="preserve">(17A) </w:t>
      </w:r>
      <w:r>
        <w:rPr>
          <w:rFonts w:ascii="Times New Roman" w:hAnsi="Times New Roman"/>
          <w:b/>
          <w:i w:val="false"/>
          <w:color w:val="000000"/>
          <w:sz w:val="22"/>
        </w:rPr>
        <w:t xml:space="preserve">Exemption from public rulemaking procedures.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2.10(1)</w:t>
      </w:r>
      <w:r>
        <w:rPr>
          <w:rFonts w:ascii="Times New Roman" w:hAnsi="Times New Roman"/>
          <w:b w:val="false"/>
          <w:i w:val="false"/>
          <w:color w:val="000000"/>
          <w:sz w:val="22"/>
        </w:rPr>
        <w:t> </w:t>
      </w:r>
      <w:r>
        <w:rPr>
          <w:rFonts w:ascii="Times New Roman" w:hAnsi="Times New Roman"/>
          <w:b w:val="false"/>
          <w:i/>
          <w:color w:val="000000"/>
          <w:sz w:val="22"/>
        </w:rPr>
        <w:t xml:space="preserve">Omission of notice and comment. </w:t>
      </w:r>
      <w:r>
        <w:rPr>
          <w:rFonts w:ascii="Times New Roman" w:hAnsi="Times New Roman"/>
          <w:b w:val="false"/>
          <w:i w:val="false"/>
          <w:color w:val="000000"/>
          <w:sz w:val="22"/>
        </w:rPr>
        <w:t>To the extent the commission for good cause finds that public notice and participation are unnecessary, impracticable, or contrary to the public interest in the process of adopting a particular rule, the commission may adopt that rule without publishing advance Notice of Intended Action in the Iowa Administrative Bulletin and without providing for written or oral public submissions prior to its adoption. The commission shall incorporate the required finding and a brief statement of its supporting reasons in each rule adopted in reliance upon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2.10(2)</w:t>
      </w:r>
      <w:r>
        <w:rPr>
          <w:rFonts w:ascii="Times New Roman" w:hAnsi="Times New Roman"/>
          <w:b w:val="false"/>
          <w:i w:val="false"/>
          <w:color w:val="000000"/>
          <w:sz w:val="22"/>
        </w:rPr>
        <w:t> </w:t>
      </w:r>
      <w:r>
        <w:rPr>
          <w:rFonts w:ascii="Times New Roman" w:hAnsi="Times New Roman"/>
          <w:b w:val="false"/>
          <w:i/>
          <w:color w:val="000000"/>
          <w:sz w:val="22"/>
        </w:rPr>
        <w:t xml:space="preserve">Public proceedings on rules adopted without them. </w:t>
      </w:r>
      <w:r>
        <w:rPr>
          <w:rFonts w:ascii="Times New Roman" w:hAnsi="Times New Roman"/>
          <w:b w:val="false"/>
          <w:i w:val="false"/>
          <w:color w:val="000000"/>
          <w:sz w:val="22"/>
        </w:rPr>
        <w:t xml:space="preserve">The commission may, at any time, commence a standard rulemaking proceeding for the adoption of a rule that is identical or similar to a rule it adopts in reliance upon subrule </w:t>
      </w:r>
      <w:hyperlink r:id="rId20">
        <w:r>
          <w:rPr>
            <w:rStyle w:val="Hyperlink"/>
            <w:rFonts w:ascii="Times New Roman" w:hAnsi="Times New Roman"/>
            <w:b w:val="false"/>
            <w:i w:val="false"/>
            <w:color w:val="000000"/>
            <w:sz w:val="22"/>
          </w:rPr>
          <w:t>2.10(1)</w:t>
        </w:r>
      </w:hyperlink>
      <w:r>
        <w:rPr>
          <w:rFonts w:ascii="Times New Roman" w:hAnsi="Times New Roman"/>
          <w:b w:val="false"/>
          <w:i w:val="false"/>
          <w:color w:val="000000"/>
          <w:sz w:val="22"/>
        </w:rPr>
        <w:t xml:space="preserve">. Upon written petition by a governmental subdivision, the administrative rules review committee, an agency, the administrative rules coordinator, an association having not less than 25 members, or at least 25 persons, the commission shall commence a standard rulemaking proceeding for any rule specified in the petition that was adopted in reliance upon subrule </w:t>
      </w:r>
      <w:hyperlink r:id="rId21">
        <w:r>
          <w:rPr>
            <w:rStyle w:val="Hyperlink"/>
            <w:rFonts w:ascii="Times New Roman" w:hAnsi="Times New Roman"/>
            <w:b w:val="false"/>
            <w:i w:val="false"/>
            <w:color w:val="000000"/>
            <w:sz w:val="22"/>
          </w:rPr>
          <w:t>2.10(1)</w:t>
        </w:r>
      </w:hyperlink>
      <w:r>
        <w:rPr>
          <w:rFonts w:ascii="Times New Roman" w:hAnsi="Times New Roman"/>
          <w:b w:val="false"/>
          <w:i w:val="false"/>
          <w:color w:val="000000"/>
          <w:sz w:val="22"/>
        </w:rPr>
        <w:t xml:space="preserve">. Such a petition must be filed within one year of the publication of the specified rule in the Iowa Administrative Bulletin as an adopted rule. The rulemaking proceeding on that rule must be commenced within 60 days of the receipt of such a petition. After a standard rulemaking proceeding commenced pursuant to this subrule, the commission may either readopt the rule it adopted without benefit of all usual procedures on the basis of subrule </w:t>
      </w:r>
      <w:hyperlink r:id="rId22">
        <w:r>
          <w:rPr>
            <w:rStyle w:val="Hyperlink"/>
            <w:rFonts w:ascii="Times New Roman" w:hAnsi="Times New Roman"/>
            <w:b w:val="false"/>
            <w:i w:val="false"/>
            <w:color w:val="000000"/>
            <w:sz w:val="22"/>
          </w:rPr>
          <w:t>2.10(1)</w:t>
        </w:r>
      </w:hyperlink>
      <w:r>
        <w:rPr>
          <w:rFonts w:ascii="Times New Roman" w:hAnsi="Times New Roman"/>
          <w:b w:val="false"/>
          <w:i w:val="false"/>
          <w:color w:val="000000"/>
          <w:sz w:val="22"/>
        </w:rPr>
        <w:t>, or may take any other lawful action, including the amendment or repeal of the rule in question, with whatever further proceedings are appropriate.</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3/6/24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491—2.11</w:t>
      </w:r>
      <w:r>
        <w:rPr>
          <w:rFonts w:ascii="Times New Roman" w:hAnsi="Times New Roman"/>
          <w:b/>
          <w:i w:val="false"/>
          <w:color w:val="000000"/>
          <w:sz w:val="22"/>
        </w:rPr>
        <w:t xml:space="preserve">(17A) </w:t>
      </w:r>
      <w:r>
        <w:rPr>
          <w:rFonts w:ascii="Times New Roman" w:hAnsi="Times New Roman"/>
          <w:b/>
          <w:i w:val="false"/>
          <w:color w:val="000000"/>
          <w:sz w:val="22"/>
        </w:rPr>
        <w:t xml:space="preserve">Concise statement of reasons.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When requested by a person, either prior to the adoption of a rule or within 30 days after its publication in the Iowa Administrative Bulletin as an adopted rule, the commission shall issue a concise statement of reasons for the rule. Requests for such a statement must be in writing and be delivered to the Racing and Gaming Commission, 6200 Park Avenue, Suite 100, Des Moines, Iowa 50321. The request should indicate whether the statement is sought for all or only a specified part of the rule. Requests will be considered made on the date received.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2.11(2)</w:t>
      </w:r>
      <w:r>
        <w:rPr>
          <w:rFonts w:ascii="Times New Roman" w:hAnsi="Times New Roman"/>
          <w:b w:val="false"/>
          <w:i w:val="false"/>
          <w:color w:val="000000"/>
          <w:sz w:val="22"/>
        </w:rPr>
        <w:t> </w:t>
      </w:r>
      <w:r>
        <w:rPr>
          <w:rFonts w:ascii="Times New Roman" w:hAnsi="Times New Roman"/>
          <w:b w:val="false"/>
          <w:i/>
          <w:color w:val="000000"/>
          <w:sz w:val="22"/>
        </w:rPr>
        <w:t xml:space="preserve">Contents. </w:t>
      </w:r>
      <w:r>
        <w:rPr>
          <w:rFonts w:ascii="Times New Roman" w:hAnsi="Times New Roman"/>
          <w:b w:val="false"/>
          <w:i w:val="false"/>
          <w:color w:val="000000"/>
          <w:sz w:val="22"/>
        </w:rPr>
        <w:t>The concise statement of reasons shall contain: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reasons for adopting the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indication of any change between the text of the proposed rule contained in the published Notice of Intended Action and the text of the rule as finally adopted, with the reasons for any such change;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principal reasons urged in the rulemaking proceeding for and against the rule, and the commission’s reasons for overruling the arguments made against the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2.11(3)</w:t>
      </w:r>
      <w:r>
        <w:rPr>
          <w:rFonts w:ascii="Times New Roman" w:hAnsi="Times New Roman"/>
          <w:b w:val="false"/>
          <w:i w:val="false"/>
          <w:color w:val="000000"/>
          <w:sz w:val="22"/>
        </w:rPr>
        <w:t> </w:t>
      </w:r>
      <w:r>
        <w:rPr>
          <w:rFonts w:ascii="Times New Roman" w:hAnsi="Times New Roman"/>
          <w:b w:val="false"/>
          <w:i/>
          <w:color w:val="000000"/>
          <w:sz w:val="22"/>
        </w:rPr>
        <w:t xml:space="preserve">Time of issuance. </w:t>
      </w:r>
      <w:r>
        <w:rPr>
          <w:rFonts w:ascii="Times New Roman" w:hAnsi="Times New Roman"/>
          <w:b w:val="false"/>
          <w:i w:val="false"/>
          <w:color w:val="000000"/>
          <w:sz w:val="22"/>
        </w:rPr>
        <w:t>After a proper request, the commission shall issue a concise statement of reasons by the later of the time the rule is adopted or 35 days after receipt of the request.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0734C</w:t>
      </w:r>
      <w:r>
        <w:rPr>
          <w:rFonts w:ascii="Times New Roman" w:hAnsi="Times New Roman"/>
          <w:b w:val="false"/>
          <w:i w:val="false"/>
          <w:color w:val="000000"/>
          <w:sz w:val="16"/>
        </w:rPr>
        <w:t>, IAB 5/15/13, effective 6/19/13</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3/6/24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491—2.12</w:t>
      </w:r>
      <w:r>
        <w:rPr>
          <w:rFonts w:ascii="Times New Roman" w:hAnsi="Times New Roman"/>
          <w:b/>
          <w:i w:val="false"/>
          <w:color w:val="000000"/>
          <w:sz w:val="22"/>
        </w:rPr>
        <w:t xml:space="preserve">(17A) </w:t>
      </w:r>
      <w:r>
        <w:rPr>
          <w:rFonts w:ascii="Times New Roman" w:hAnsi="Times New Roman"/>
          <w:b/>
          <w:i w:val="false"/>
          <w:color w:val="000000"/>
          <w:sz w:val="22"/>
        </w:rPr>
        <w:t xml:space="preserve">Contents, style, and form of rule.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2.12(1)</w:t>
      </w:r>
      <w:r>
        <w:rPr>
          <w:rFonts w:ascii="Times New Roman" w:hAnsi="Times New Roman"/>
          <w:b w:val="false"/>
          <w:i w:val="false"/>
          <w:color w:val="000000"/>
          <w:sz w:val="22"/>
        </w:rPr>
        <w:t> </w:t>
      </w:r>
      <w:r>
        <w:rPr>
          <w:rFonts w:ascii="Times New Roman" w:hAnsi="Times New Roman"/>
          <w:b w:val="false"/>
          <w:i/>
          <w:color w:val="000000"/>
          <w:sz w:val="22"/>
        </w:rPr>
        <w:t xml:space="preserve">Contents. </w:t>
      </w:r>
      <w:r>
        <w:rPr>
          <w:rFonts w:ascii="Times New Roman" w:hAnsi="Times New Roman"/>
          <w:b w:val="false"/>
          <w:i w:val="false"/>
          <w:color w:val="000000"/>
          <w:sz w:val="22"/>
        </w:rPr>
        <w:t>Each rule adopted by the commission shall contain the text of the rule and, in addition: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date the commission adopted the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brief explanation of the principal reasons for the rulemaking action if such reasons are required by Iowa Code section </w:t>
      </w:r>
      <w:hyperlink r:id="rId23">
        <w:r>
          <w:rPr>
            <w:rStyle w:val="Hyperlink"/>
            <w:rFonts w:ascii="Times New Roman" w:hAnsi="Times New Roman"/>
            <w:b w:val="false"/>
            <w:i w:val="false"/>
            <w:color w:val="000000"/>
            <w:sz w:val="22"/>
          </w:rPr>
          <w:t>17A.4(1)</w:t>
        </w:r>
        <w:r>
          <w:rPr>
            <w:rFonts w:ascii="Times New Roman" w:hAnsi="Times New Roman"/>
            <w:b w:val="false"/>
            <w:i/>
            <w:color w:val="000000"/>
            <w:sz w:val="22"/>
          </w:rPr>
          <w:t>“b”</w:t>
        </w:r>
      </w:hyperlink>
      <w:r>
        <w:rPr>
          <w:rFonts w:ascii="Times New Roman" w:hAnsi="Times New Roman"/>
          <w:b w:val="false"/>
          <w:i w:val="false"/>
          <w:color w:val="000000"/>
          <w:sz w:val="22"/>
        </w:rPr>
        <w:t xml:space="preserve"> or the commission in its discretion decides to include such reasons;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reference to all rules repealed, amended, or suspended by the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reference to the specific statutory or other authority authorizing adoption of the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Any findings required by any provision of law as a prerequisite to adoption or effectiveness of the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A brief explanation of the principal reasons for the failure to provide for waivers to the rule if no waiver provision is included and a brief explanation of any waiver or special exceptions provided in the rule if such reasons are required by Iowa Code section </w:t>
      </w:r>
      <w:hyperlink r:id="rId24">
        <w:r>
          <w:rPr>
            <w:rStyle w:val="Hyperlink"/>
            <w:rFonts w:ascii="Times New Roman" w:hAnsi="Times New Roman"/>
            <w:b w:val="false"/>
            <w:i w:val="false"/>
            <w:color w:val="000000"/>
            <w:sz w:val="22"/>
          </w:rPr>
          <w:t>17A.4(1)</w:t>
        </w:r>
        <w:r>
          <w:rPr>
            <w:rFonts w:ascii="Times New Roman" w:hAnsi="Times New Roman"/>
            <w:b w:val="false"/>
            <w:i/>
            <w:color w:val="000000"/>
            <w:sz w:val="22"/>
          </w:rPr>
          <w:t>“b”</w:t>
        </w:r>
      </w:hyperlink>
      <w:r>
        <w:rPr>
          <w:rFonts w:ascii="Times New Roman" w:hAnsi="Times New Roman"/>
          <w:b w:val="false"/>
          <w:i w:val="false"/>
          <w:color w:val="000000"/>
          <w:sz w:val="22"/>
        </w:rPr>
        <w:t xml:space="preserve"> or the commission in its discretion decides to include such reasons;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effective date of the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2.12(2)</w:t>
      </w:r>
      <w:r>
        <w:rPr>
          <w:rFonts w:ascii="Times New Roman" w:hAnsi="Times New Roman"/>
          <w:b w:val="false"/>
          <w:i w:val="false"/>
          <w:color w:val="000000"/>
          <w:sz w:val="22"/>
        </w:rPr>
        <w:t> </w:t>
      </w:r>
      <w:r>
        <w:rPr>
          <w:rFonts w:ascii="Times New Roman" w:hAnsi="Times New Roman"/>
          <w:b w:val="false"/>
          <w:i/>
          <w:color w:val="000000"/>
          <w:sz w:val="22"/>
        </w:rPr>
        <w:t xml:space="preserve">Incorporation by reference. </w:t>
      </w:r>
      <w:r>
        <w:rPr>
          <w:rFonts w:ascii="Times New Roman" w:hAnsi="Times New Roman"/>
          <w:b w:val="false"/>
          <w:i w:val="false"/>
          <w:color w:val="000000"/>
          <w:sz w:val="22"/>
        </w:rPr>
        <w:t>The commission may incorporate by reference in a proposed or adopted rule, and without causing publication of the incorporated matter in full, all or any part of a code, standard, rule, or other matter if the commission finds that the incorporation of its text in the commission proposed or adopted rule would be unduly cumbersome, expensive, or otherwise inexpedient. The reference in the commission proposed or adopted rule shall fully indicate the precise subject and the general contents of the incorporated matter and shall state that the proposed or adopted rule does not include any later amendments or editions of the incorporated matter. The commission may incorporate such matter by reference in a proposed or adopted rule only if the commission makes copies of it readily available to the public. The rule shall state how and where copies of the incorporated matter may be obtained at cost from the commission, and how and where copies may be obtained from the agency of the United States, this state, another state, or the organization, association, or persons, originally issuing that matter. The commission shall retain permanently a copy of any materials incorporated by reference in a rule of the commission.</w:t>
      </w:r>
    </w:p>
    <w:p>
      <w:pPr>
        <w:spacing w:before="0" w:after="0"/>
        <w:ind w:left="120"/>
        <w:jc w:val="both"/>
      </w:pPr>
      <w:r>
        <w:rPr>
          <w:rFonts w:ascii="Times New Roman" w:hAnsi="Times New Roman"/>
          <w:b w:val="false"/>
          <w:i w:val="false"/>
          <w:color w:val="000000"/>
          <w:sz w:val="22"/>
        </w:rPr>
        <w:t>If the commission adopts standards by reference to another publication, it shall provide a copy of the publication containing the standards to the administrative rules coordinator for deposit in the state law library and may make the standards available electronically.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2.12(3)</w:t>
      </w:r>
      <w:r>
        <w:rPr>
          <w:rFonts w:ascii="Times New Roman" w:hAnsi="Times New Roman"/>
          <w:b w:val="false"/>
          <w:i w:val="false"/>
          <w:color w:val="000000"/>
          <w:sz w:val="22"/>
        </w:rPr>
        <w:t> </w:t>
      </w:r>
      <w:r>
        <w:rPr>
          <w:rFonts w:ascii="Times New Roman" w:hAnsi="Times New Roman"/>
          <w:b w:val="false"/>
          <w:i/>
          <w:color w:val="000000"/>
          <w:sz w:val="22"/>
        </w:rPr>
        <w:t xml:space="preserve">References to materials not published in full. </w:t>
      </w:r>
      <w:r>
        <w:rPr>
          <w:rFonts w:ascii="Times New Roman" w:hAnsi="Times New Roman"/>
          <w:b w:val="false"/>
          <w:i w:val="false"/>
          <w:color w:val="000000"/>
          <w:sz w:val="22"/>
        </w:rPr>
        <w:t>When the administrative code editor decides to omit the full text of a proposed or adopted rule because publication of the full text would be unduly cumbersome, expensive, or otherwise inexpedient, the commission shall prepare and submit to the administrative code editor for inclusion in the Iowa Administrative Bulletin and Iowa Administrative Code a summary statement describing the specific subject matter of the omitted material. This summary statement shall include the title and a brief description sufficient to inform the public of the specific nature and subject matter of the proposed or adopted rules, and of significant issues involved in these rules. The summary statement shall also describe how a copy of the full text of the proposed or adopted rule, including any unpublished matter and any matter incorporated by reference, may be obtained from the commission. The commission will provide a copy of that full text at the actual cost upon request and shall make copies of the full text available for review at the state law library and may make the standards available electronically.</w:t>
      </w:r>
    </w:p>
    <w:p>
      <w:pPr>
        <w:spacing w:before="0" w:after="0"/>
        <w:ind w:left="120"/>
        <w:jc w:val="both"/>
      </w:pPr>
      <w:r>
        <w:rPr>
          <w:rFonts w:ascii="Times New Roman" w:hAnsi="Times New Roman"/>
          <w:b w:val="false"/>
          <w:i w:val="false"/>
          <w:color w:val="000000"/>
          <w:sz w:val="22"/>
        </w:rPr>
        <w:t>At the request of the administrative code editor, the commission shall provide a proposed statement explaining why publication of the full text would be unduly cumbersome, expensive, or otherwise inexpedient.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2.12(4)</w:t>
      </w:r>
      <w:r>
        <w:rPr>
          <w:rFonts w:ascii="Times New Roman" w:hAnsi="Times New Roman"/>
          <w:b w:val="false"/>
          <w:i w:val="false"/>
          <w:color w:val="000000"/>
          <w:sz w:val="22"/>
        </w:rPr>
        <w:t> </w:t>
      </w:r>
      <w:r>
        <w:rPr>
          <w:rFonts w:ascii="Times New Roman" w:hAnsi="Times New Roman"/>
          <w:b w:val="false"/>
          <w:i/>
          <w:color w:val="000000"/>
          <w:sz w:val="22"/>
        </w:rPr>
        <w:t xml:space="preserve">Style and form. </w:t>
      </w:r>
      <w:r>
        <w:rPr>
          <w:rFonts w:ascii="Times New Roman" w:hAnsi="Times New Roman"/>
          <w:b w:val="false"/>
          <w:i w:val="false"/>
          <w:color w:val="000000"/>
          <w:sz w:val="22"/>
        </w:rPr>
        <w:t>In preparing its rules, the commission shall follow the uniform numbering system, form, and style prescribed by the administrative rules coordinator.</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3/6/24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491—2.13</w:t>
      </w:r>
      <w:r>
        <w:rPr>
          <w:rFonts w:ascii="Times New Roman" w:hAnsi="Times New Roman"/>
          <w:b/>
          <w:i w:val="false"/>
          <w:color w:val="000000"/>
          <w:sz w:val="22"/>
        </w:rPr>
        <w:t xml:space="preserve">(17A) </w:t>
      </w:r>
      <w:r>
        <w:rPr>
          <w:rFonts w:ascii="Times New Roman" w:hAnsi="Times New Roman"/>
          <w:b/>
          <w:i w:val="false"/>
          <w:color w:val="000000"/>
          <w:sz w:val="22"/>
        </w:rPr>
        <w:t xml:space="preserve">Agency rulemaking record.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2.13(1)</w:t>
      </w:r>
      <w:r>
        <w:rPr>
          <w:rFonts w:ascii="Times New Roman" w:hAnsi="Times New Roman"/>
          <w:b w:val="false"/>
          <w:i w:val="false"/>
          <w:color w:val="000000"/>
          <w:sz w:val="22"/>
        </w:rPr>
        <w:t> </w:t>
      </w:r>
      <w:r>
        <w:rPr>
          <w:rFonts w:ascii="Times New Roman" w:hAnsi="Times New Roman"/>
          <w:b w:val="false"/>
          <w:i/>
          <w:color w:val="000000"/>
          <w:sz w:val="22"/>
        </w:rPr>
        <w:t xml:space="preserve">Requirement. </w:t>
      </w:r>
      <w:r>
        <w:rPr>
          <w:rFonts w:ascii="Times New Roman" w:hAnsi="Times New Roman"/>
          <w:b w:val="false"/>
          <w:i w:val="false"/>
          <w:color w:val="000000"/>
          <w:sz w:val="22"/>
        </w:rPr>
        <w:t>The commission shall maintain an official rulemaking record for each rule it proposes by publication in the Iowa Administrative Bulletin of a Notice of Intended Action, or adopts. The rulemaking record and materials incorporated by reference must be available for public inspection.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2.13(2)</w:t>
      </w:r>
      <w:r>
        <w:rPr>
          <w:rFonts w:ascii="Times New Roman" w:hAnsi="Times New Roman"/>
          <w:b w:val="false"/>
          <w:i w:val="false"/>
          <w:color w:val="000000"/>
          <w:sz w:val="22"/>
        </w:rPr>
        <w:t> </w:t>
      </w:r>
      <w:r>
        <w:rPr>
          <w:rFonts w:ascii="Times New Roman" w:hAnsi="Times New Roman"/>
          <w:b w:val="false"/>
          <w:i/>
          <w:color w:val="000000"/>
          <w:sz w:val="22"/>
        </w:rPr>
        <w:t xml:space="preserve">Contents. </w:t>
      </w:r>
      <w:r>
        <w:rPr>
          <w:rFonts w:ascii="Times New Roman" w:hAnsi="Times New Roman"/>
          <w:b w:val="false"/>
          <w:i w:val="false"/>
          <w:color w:val="000000"/>
          <w:sz w:val="22"/>
        </w:rPr>
        <w:t>The commission rulemaking record shall contain: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Copies of all publications in the Iowa Administrative Bulletin with respect to the rule or the proceeding upon which the rule is based and any file-stamped copies of commission submissions to the administrative rules coordinator concerning that rule or the proceeding upon which it is based;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Copies of any portions of the commission’s public rulemaking docket containing entries relating to the rule or the proceeding upon which the rule is based;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All written petitions, requests, and submissions received by the commission, and all other written materials of a factual nature as distinguished from opinion that are relevant to the merits of the rule and that were created or compiled by the commission and considered by the administrator, in connection with the formulation, proposal, or adoption of the rule or the proceeding upon which the rule is based, except to the extent that the commission is authorized by law to keep them confidential; provided, however, that when any such materials are deleted because they are authorized by law to be kept confidential, the commission shall identify in the record the particular materials deleted and state the reasons for that deletion;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Any official transcript of oral presentations made in the proceeding upon which the rule is based or, if not transcribed, the stenographic record or electronic recording of those presentations, and any memorandum prepared by a presiding officer summarizing the contents of those presentations;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copy of any regulatory analysis or fiscal impact statement prepared for the proceeding upon which the rule is based;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copy of the rule and any concise statement of reasons prepared for that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All petitions for amendment or repeal or suspension of the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A copy of any objection to the issuance of that rule without public notice and participation that was filed pursuant to Iowa Code section </w:t>
      </w:r>
      <w:hyperlink r:id="rId25">
        <w:r>
          <w:rPr>
            <w:rStyle w:val="Hyperlink"/>
            <w:rFonts w:ascii="Times New Roman" w:hAnsi="Times New Roman"/>
            <w:b w:val="false"/>
            <w:i w:val="false"/>
            <w:color w:val="000000"/>
            <w:sz w:val="22"/>
          </w:rPr>
          <w:t>17A.4(2)</w:t>
        </w:r>
      </w:hyperlink>
      <w:r>
        <w:rPr>
          <w:rFonts w:ascii="Times New Roman" w:hAnsi="Times New Roman"/>
          <w:b w:val="false"/>
          <w:i w:val="false"/>
          <w:color w:val="000000"/>
          <w:sz w:val="22"/>
        </w:rPr>
        <w:t xml:space="preserve"> by the administrative rules review committee, the governor, or the attorney general;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 xml:space="preserve">A copy of any objection to the rule filed by the administrative rules review committee, the governor, or the attorney general pursuant to Iowa Code section </w:t>
      </w:r>
      <w:hyperlink r:id="rId26">
        <w:r>
          <w:rPr>
            <w:rStyle w:val="Hyperlink"/>
            <w:rFonts w:ascii="Times New Roman" w:hAnsi="Times New Roman"/>
            <w:b w:val="false"/>
            <w:i w:val="false"/>
            <w:color w:val="000000"/>
            <w:sz w:val="22"/>
          </w:rPr>
          <w:t>17A.4(4)</w:t>
        </w:r>
      </w:hyperlink>
      <w:r>
        <w:rPr>
          <w:rFonts w:ascii="Times New Roman" w:hAnsi="Times New Roman"/>
          <w:b w:val="false"/>
          <w:i w:val="false"/>
          <w:color w:val="000000"/>
          <w:sz w:val="22"/>
        </w:rPr>
        <w:t>, and any commission response to that objection;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A copy of any significant written criticism of the rule, including a summary of any petitions for waiver of the rule;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A copy of any executive order concerning the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2.13(3)</w:t>
      </w:r>
      <w:r>
        <w:rPr>
          <w:rFonts w:ascii="Times New Roman" w:hAnsi="Times New Roman"/>
          <w:b w:val="false"/>
          <w:i w:val="false"/>
          <w:color w:val="000000"/>
          <w:sz w:val="22"/>
        </w:rPr>
        <w:t> </w:t>
      </w:r>
      <w:r>
        <w:rPr>
          <w:rFonts w:ascii="Times New Roman" w:hAnsi="Times New Roman"/>
          <w:b w:val="false"/>
          <w:i/>
          <w:color w:val="000000"/>
          <w:sz w:val="22"/>
        </w:rPr>
        <w:t xml:space="preserve">Effect of record. </w:t>
      </w:r>
      <w:r>
        <w:rPr>
          <w:rFonts w:ascii="Times New Roman" w:hAnsi="Times New Roman"/>
          <w:b w:val="false"/>
          <w:i w:val="false"/>
          <w:color w:val="000000"/>
          <w:sz w:val="22"/>
        </w:rPr>
        <w:t>Except as otherwise required by a provision of law, the commission rulemaking record required by this rule need not constitute the exclusive basis for commission action on that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2.13(4)</w:t>
      </w:r>
      <w:r>
        <w:rPr>
          <w:rFonts w:ascii="Times New Roman" w:hAnsi="Times New Roman"/>
          <w:b w:val="false"/>
          <w:i w:val="false"/>
          <w:color w:val="000000"/>
          <w:sz w:val="22"/>
        </w:rPr>
        <w:t> </w:t>
      </w:r>
      <w:r>
        <w:rPr>
          <w:rFonts w:ascii="Times New Roman" w:hAnsi="Times New Roman"/>
          <w:b w:val="false"/>
          <w:i/>
          <w:color w:val="000000"/>
          <w:sz w:val="22"/>
        </w:rPr>
        <w:t xml:space="preserve">Maintenance of record. </w:t>
      </w:r>
      <w:r>
        <w:rPr>
          <w:rFonts w:ascii="Times New Roman" w:hAnsi="Times New Roman"/>
          <w:b w:val="false"/>
          <w:i w:val="false"/>
          <w:color w:val="000000"/>
          <w:sz w:val="22"/>
        </w:rPr>
        <w:t xml:space="preserve">The commission shall maintain the rulemaking record for a period of not less than five years from the later of the date the rule to which it pertains became effective, the date of the Notice of Intended Action, or the date of any written criticism as described in </w:t>
      </w:r>
      <w:hyperlink r:id="rId27">
        <w:r>
          <w:rPr>
            <w:rStyle w:val="Hyperlink"/>
            <w:rFonts w:ascii="Times New Roman" w:hAnsi="Times New Roman"/>
            <w:b w:val="false"/>
            <w:i w:val="false"/>
            <w:color w:val="000000"/>
            <w:sz w:val="22"/>
          </w:rPr>
          <w:t>2.13(2)</w:t>
        </w:r>
      </w:hyperlink>
      <w:r>
        <w:rPr>
          <w:rFonts w:ascii="Times New Roman" w:hAnsi="Times New Roman"/>
          <w:b w:val="false"/>
          <w:i/>
          <w:color w:val="000000"/>
          <w:sz w:val="22"/>
        </w:rPr>
        <w:t>“g,” “h,” “i,”</w:t>
      </w:r>
      <w:r>
        <w:rPr>
          <w:rFonts w:ascii="Times New Roman" w:hAnsi="Times New Roman"/>
          <w:b w:val="false"/>
          <w:i w:val="false"/>
          <w:color w:val="000000"/>
          <w:sz w:val="22"/>
        </w:rPr>
        <w:t xml:space="preserve"> or </w:t>
      </w:r>
      <w:r>
        <w:rPr>
          <w:rFonts w:ascii="Times New Roman" w:hAnsi="Times New Roman"/>
          <w:b w:val="false"/>
          <w:i/>
          <w:color w:val="000000"/>
          <w:sz w:val="22"/>
        </w:rPr>
        <w:t>“j.”</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3/6/24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491—2.14</w:t>
      </w:r>
      <w:r>
        <w:rPr>
          <w:rFonts w:ascii="Times New Roman" w:hAnsi="Times New Roman"/>
          <w:b/>
          <w:i w:val="false"/>
          <w:color w:val="000000"/>
          <w:sz w:val="22"/>
        </w:rPr>
        <w:t xml:space="preserve">(17A) </w:t>
      </w:r>
      <w:r>
        <w:rPr>
          <w:rFonts w:ascii="Times New Roman" w:hAnsi="Times New Roman"/>
          <w:b/>
          <w:i w:val="false"/>
          <w:color w:val="000000"/>
          <w:sz w:val="22"/>
        </w:rPr>
        <w:t xml:space="preserve">Filing of rules. </w:t>
      </w:r>
      <w:r>
        <w:rPr>
          <w:rFonts w:ascii="Times New Roman" w:hAnsi="Times New Roman"/>
          <w:b w:val="false"/>
          <w:i w:val="false"/>
          <w:color w:val="000000"/>
          <w:sz w:val="22"/>
        </w:rPr>
        <w:t>The commission shall file each rule it adopts in the office of the administrative rules coordinator. The filing must be executed as soon after adoption of the rule as is practicable. At the time of filing, each rule must have attached to it any fiscal impact statement and any concise statement of reasons that was issued with respect to that rule, if applicable. If a fiscal impact statement or statement of reasons for that rule was not issued until a time subsequent to the filing of that rule, the note or statement must be attached to the filed rule within five working days after the note or statement is issued. In filing a rule, the commission shall use the standard form prescribed by the administrative rules coordinator.</w:t>
      </w:r>
    </w:p>
    <w:p>
      <w:pPr>
        <w:spacing w:before="0" w:after="0"/>
        <w:ind w:left="120"/>
        <w:jc w:val="both"/>
      </w:pPr>
      <w:r>
        <w:rPr>
          <w:rFonts w:ascii="Times New Roman" w:hAnsi="Times New Roman"/>
          <w:b/>
          <w:i w:val="false"/>
          <w:color w:val="000000"/>
          <w:sz w:val="22"/>
        </w:rPr>
        <w:t>491—2.15</w:t>
      </w:r>
      <w:r>
        <w:rPr>
          <w:rFonts w:ascii="Times New Roman" w:hAnsi="Times New Roman"/>
          <w:b/>
          <w:i w:val="false"/>
          <w:color w:val="000000"/>
          <w:sz w:val="22"/>
        </w:rPr>
        <w:t xml:space="preserve">(17A) </w:t>
      </w:r>
      <w:r>
        <w:rPr>
          <w:rFonts w:ascii="Times New Roman" w:hAnsi="Times New Roman"/>
          <w:b/>
          <w:i w:val="false"/>
          <w:color w:val="000000"/>
          <w:sz w:val="22"/>
        </w:rPr>
        <w:t xml:space="preserve">Effectiveness of rules prior to publication.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2.15(1)</w:t>
      </w:r>
      <w:r>
        <w:rPr>
          <w:rFonts w:ascii="Times New Roman" w:hAnsi="Times New Roman"/>
          <w:b w:val="false"/>
          <w:i w:val="false"/>
          <w:color w:val="000000"/>
          <w:sz w:val="22"/>
        </w:rPr>
        <w:t> </w:t>
      </w:r>
      <w:r>
        <w:rPr>
          <w:rFonts w:ascii="Times New Roman" w:hAnsi="Times New Roman"/>
          <w:b w:val="false"/>
          <w:i/>
          <w:color w:val="000000"/>
          <w:sz w:val="22"/>
        </w:rPr>
        <w:t xml:space="preserve">Grounds. </w:t>
      </w:r>
      <w:r>
        <w:rPr>
          <w:rFonts w:ascii="Times New Roman" w:hAnsi="Times New Roman"/>
          <w:b w:val="false"/>
          <w:i w:val="false"/>
          <w:color w:val="000000"/>
          <w:sz w:val="22"/>
        </w:rPr>
        <w:t>The commission may make a rule effective after its filing at any stated time prior to 35 days after its indexing and publication in the Iowa Administrative Bulletin if it finds that a statute so provides, the rule confers a benefit or removes a restriction on some segment of the public, or that the effective date of the rule is necessary to avoid imminent peril to the public health, safety, or welfare. The commission shall incorporate the required finding and a brief statement of its supporting reasons in each rule adopted in reliance upon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2.15(2)</w:t>
      </w:r>
      <w:r>
        <w:rPr>
          <w:rFonts w:ascii="Times New Roman" w:hAnsi="Times New Roman"/>
          <w:b w:val="false"/>
          <w:i w:val="false"/>
          <w:color w:val="000000"/>
          <w:sz w:val="22"/>
        </w:rPr>
        <w:t> </w:t>
      </w:r>
      <w:r>
        <w:rPr>
          <w:rFonts w:ascii="Times New Roman" w:hAnsi="Times New Roman"/>
          <w:b w:val="false"/>
          <w:i/>
          <w:color w:val="000000"/>
          <w:sz w:val="22"/>
        </w:rPr>
        <w:t xml:space="preserve">Special notice. </w:t>
      </w:r>
      <w:r>
        <w:rPr>
          <w:rFonts w:ascii="Times New Roman" w:hAnsi="Times New Roman"/>
          <w:b w:val="false"/>
          <w:i w:val="false"/>
          <w:color w:val="000000"/>
          <w:sz w:val="22"/>
        </w:rPr>
        <w:t xml:space="preserve">When the commission makes a rule effective prior to its indexing and publication in reliance upon the provisions of Iowa Code section </w:t>
      </w:r>
      <w:hyperlink r:id="rId28">
        <w:r>
          <w:rPr>
            <w:rStyle w:val="Hyperlink"/>
            <w:rFonts w:ascii="Times New Roman" w:hAnsi="Times New Roman"/>
            <w:b w:val="false"/>
            <w:i w:val="false"/>
            <w:color w:val="000000"/>
            <w:sz w:val="22"/>
          </w:rPr>
          <w:t>17A.5(2)</w:t>
        </w:r>
        <w:r>
          <w:rPr>
            <w:rFonts w:ascii="Times New Roman" w:hAnsi="Times New Roman"/>
            <w:b w:val="false"/>
            <w:i/>
            <w:color w:val="000000"/>
            <w:sz w:val="22"/>
          </w:rPr>
          <w:t>“b”</w:t>
        </w:r>
        <w:r>
          <w:rPr>
            <w:rFonts w:ascii="Times New Roman" w:hAnsi="Times New Roman"/>
            <w:b w:val="false"/>
            <w:i w:val="false"/>
            <w:color w:val="000000"/>
            <w:sz w:val="22"/>
          </w:rPr>
          <w:t>(3)</w:t>
        </w:r>
      </w:hyperlink>
      <w:r>
        <w:rPr>
          <w:rFonts w:ascii="Times New Roman" w:hAnsi="Times New Roman"/>
          <w:b w:val="false"/>
          <w:i w:val="false"/>
          <w:color w:val="000000"/>
          <w:sz w:val="22"/>
        </w:rPr>
        <w:t>, the commission shall employ all reasonable efforts to make its contents known to the persons who may be affected by that rule prior to the rule’s indexing and publication. The term “all reasonable efforts” requires the commission to employ the most effective and prompt means of notice rationally calculated to inform potentially affected parties of the effectiveness of the rule that is justified and practical under the circumstances considering the various alternatives available for this purpose, the comparative costs to the commission of utilizing each of those alternatives, and the harm suffered by affected persons from any lack of notice concerning the contents of the rule prior to its indexing and publication. The means that may be used for providing notice of such rules prior to their indexing and publication include, but are not limited to, any one or more of the following means: radio, newspaper, television, signs, mail, telephone, personal notice or electronic means.</w:t>
      </w:r>
    </w:p>
    <w:p>
      <w:pPr>
        <w:spacing w:before="0" w:after="0"/>
        <w:ind w:left="120"/>
        <w:jc w:val="both"/>
      </w:pPr>
      <w:r>
        <w:rPr>
          <w:rFonts w:ascii="Times New Roman" w:hAnsi="Times New Roman"/>
          <w:b w:val="false"/>
          <w:i w:val="false"/>
          <w:color w:val="000000"/>
          <w:sz w:val="22"/>
        </w:rPr>
        <w:t xml:space="preserve">A rule made effective prior to its indexing and publication in reliance upon the provisions of Iowa Code section </w:t>
      </w:r>
      <w:hyperlink r:id="rId29">
        <w:r>
          <w:rPr>
            <w:rStyle w:val="Hyperlink"/>
            <w:rFonts w:ascii="Times New Roman" w:hAnsi="Times New Roman"/>
            <w:b w:val="false"/>
            <w:i w:val="false"/>
            <w:color w:val="000000"/>
            <w:sz w:val="22"/>
          </w:rPr>
          <w:t>17A.5(2)</w:t>
        </w:r>
        <w:r>
          <w:rPr>
            <w:rFonts w:ascii="Times New Roman" w:hAnsi="Times New Roman"/>
            <w:b w:val="false"/>
            <w:i/>
            <w:color w:val="000000"/>
            <w:sz w:val="22"/>
          </w:rPr>
          <w:t>“b”</w:t>
        </w:r>
        <w:r>
          <w:rPr>
            <w:rFonts w:ascii="Times New Roman" w:hAnsi="Times New Roman"/>
            <w:b w:val="false"/>
            <w:i w:val="false"/>
            <w:color w:val="000000"/>
            <w:sz w:val="22"/>
          </w:rPr>
          <w:t>(3)</w:t>
        </w:r>
      </w:hyperlink>
      <w:r>
        <w:rPr>
          <w:rFonts w:ascii="Times New Roman" w:hAnsi="Times New Roman"/>
          <w:b w:val="false"/>
          <w:i w:val="false"/>
          <w:color w:val="000000"/>
          <w:sz w:val="22"/>
        </w:rPr>
        <w:t xml:space="preserve"> shall include in that rule a statement describing the reasonable efforts that will be used to comply with the requirements of subrule </w:t>
      </w:r>
      <w:hyperlink r:id="rId30">
        <w:r>
          <w:rPr>
            <w:rStyle w:val="Hyperlink"/>
            <w:rFonts w:ascii="Times New Roman" w:hAnsi="Times New Roman"/>
            <w:b w:val="false"/>
            <w:i w:val="false"/>
            <w:color w:val="000000"/>
            <w:sz w:val="22"/>
          </w:rPr>
          <w:t>2.15(2)</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491—2.16</w:t>
      </w:r>
      <w:r>
        <w:rPr>
          <w:rFonts w:ascii="Times New Roman" w:hAnsi="Times New Roman"/>
          <w:b/>
          <w:i w:val="false"/>
          <w:color w:val="000000"/>
          <w:sz w:val="22"/>
        </w:rPr>
        <w:t xml:space="preserve">(17A) </w:t>
      </w:r>
      <w:r>
        <w:rPr>
          <w:rFonts w:ascii="Times New Roman" w:hAnsi="Times New Roman"/>
          <w:b/>
          <w:i w:val="false"/>
          <w:color w:val="000000"/>
          <w:sz w:val="22"/>
        </w:rPr>
        <w:t xml:space="preserve">General statements of policy.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2.16(1)</w:t>
      </w:r>
      <w:r>
        <w:rPr>
          <w:rFonts w:ascii="Times New Roman" w:hAnsi="Times New Roman"/>
          <w:b w:val="false"/>
          <w:i w:val="false"/>
          <w:color w:val="000000"/>
          <w:sz w:val="22"/>
        </w:rPr>
        <w:t> </w:t>
      </w:r>
      <w:r>
        <w:rPr>
          <w:rFonts w:ascii="Times New Roman" w:hAnsi="Times New Roman"/>
          <w:b w:val="false"/>
          <w:i/>
          <w:color w:val="000000"/>
          <w:sz w:val="22"/>
        </w:rPr>
        <w:t xml:space="preserve">Compilation, indexing, public inspection. </w:t>
      </w:r>
      <w:r>
        <w:rPr>
          <w:rFonts w:ascii="Times New Roman" w:hAnsi="Times New Roman"/>
          <w:b w:val="false"/>
          <w:i w:val="false"/>
          <w:color w:val="000000"/>
          <w:sz w:val="22"/>
        </w:rPr>
        <w:t xml:space="preserve">The commission shall maintain an official, current, and dated compilation that is indexed by subject, containing all of its general statements of policy within the scope of Iowa Code section </w:t>
      </w:r>
      <w:hyperlink r:id="rId31">
        <w:r>
          <w:rPr>
            <w:rStyle w:val="Hyperlink"/>
            <w:rFonts w:ascii="Times New Roman" w:hAnsi="Times New Roman"/>
            <w:b w:val="false"/>
            <w:i w:val="false"/>
            <w:color w:val="000000"/>
            <w:sz w:val="22"/>
          </w:rPr>
          <w:t>17A.2(10)</w:t>
        </w:r>
        <w:r>
          <w:rPr>
            <w:rFonts w:ascii="Times New Roman" w:hAnsi="Times New Roman"/>
            <w:b w:val="false"/>
            <w:i/>
            <w:color w:val="000000"/>
            <w:sz w:val="22"/>
          </w:rPr>
          <w:t>“a,” “c,” “f,” “g,” “h,” “k.”</w:t>
        </w:r>
      </w:hyperlink>
      <w:r>
        <w:rPr>
          <w:rFonts w:ascii="Times New Roman" w:hAnsi="Times New Roman"/>
          <w:b w:val="false"/>
          <w:i w:val="false"/>
          <w:color w:val="000000"/>
          <w:sz w:val="22"/>
        </w:rPr>
        <w:t xml:space="preserve"> Each addition to, change in, or deletion from the official compilation must also be dated, indexed, and a record thereof kept. Except for those portions containing rules governed by Iowa Code section </w:t>
      </w:r>
      <w:hyperlink r:id="rId32">
        <w:r>
          <w:rPr>
            <w:rStyle w:val="Hyperlink"/>
            <w:rFonts w:ascii="Times New Roman" w:hAnsi="Times New Roman"/>
            <w:b w:val="false"/>
            <w:i w:val="false"/>
            <w:color w:val="000000"/>
            <w:sz w:val="22"/>
          </w:rPr>
          <w:t>17A.2(7)</w:t>
        </w:r>
        <w:r>
          <w:rPr>
            <w:rFonts w:ascii="Times New Roman" w:hAnsi="Times New Roman"/>
            <w:b w:val="false"/>
            <w:i/>
            <w:color w:val="000000"/>
            <w:sz w:val="22"/>
          </w:rPr>
          <w:t>“f,”</w:t>
        </w:r>
      </w:hyperlink>
      <w:r>
        <w:rPr>
          <w:rFonts w:ascii="Times New Roman" w:hAnsi="Times New Roman"/>
          <w:b w:val="false"/>
          <w:i w:val="false"/>
          <w:color w:val="000000"/>
          <w:sz w:val="22"/>
        </w:rPr>
        <w:t xml:space="preserve"> or otherwise authorized by law to be kept confidential, the compilation must be made available for public inspection and copying.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2.16(2)</w:t>
      </w:r>
      <w:r>
        <w:rPr>
          <w:rFonts w:ascii="Times New Roman" w:hAnsi="Times New Roman"/>
          <w:b w:val="false"/>
          <w:i w:val="false"/>
          <w:color w:val="000000"/>
          <w:sz w:val="22"/>
        </w:rPr>
        <w:t> </w:t>
      </w:r>
      <w:r>
        <w:rPr>
          <w:rFonts w:ascii="Times New Roman" w:hAnsi="Times New Roman"/>
          <w:b w:val="false"/>
          <w:i/>
          <w:color w:val="000000"/>
          <w:sz w:val="22"/>
        </w:rPr>
        <w:t xml:space="preserve">Enforcement of requirements. </w:t>
      </w:r>
      <w:r>
        <w:rPr>
          <w:rFonts w:ascii="Times New Roman" w:hAnsi="Times New Roman"/>
          <w:b w:val="false"/>
          <w:i w:val="false"/>
          <w:color w:val="000000"/>
          <w:sz w:val="22"/>
        </w:rPr>
        <w:t xml:space="preserve">A general statement of policy subject to the requirements of this subsection shall not be relied on by the commission to the detriment of any person who does not have actual, timely knowledge of the contents of the statement until the requirements of subrule </w:t>
      </w:r>
      <w:hyperlink r:id="rId33">
        <w:r>
          <w:rPr>
            <w:rStyle w:val="Hyperlink"/>
            <w:rFonts w:ascii="Times New Roman" w:hAnsi="Times New Roman"/>
            <w:b w:val="false"/>
            <w:i w:val="false"/>
            <w:color w:val="000000"/>
            <w:sz w:val="22"/>
          </w:rPr>
          <w:t>2.16(1)</w:t>
        </w:r>
      </w:hyperlink>
      <w:r>
        <w:rPr>
          <w:rFonts w:ascii="Times New Roman" w:hAnsi="Times New Roman"/>
          <w:b w:val="false"/>
          <w:i w:val="false"/>
          <w:color w:val="000000"/>
          <w:sz w:val="22"/>
        </w:rPr>
        <w:t xml:space="preserve"> are satisfied. This provision is inapplicable to the extent necessary to avoid imminent peril to the public health, safety, or welfare.</w:t>
      </w:r>
    </w:p>
    <w:p>
      <w:pPr>
        <w:spacing w:before="0" w:after="0"/>
        <w:ind w:left="120"/>
        <w:jc w:val="both"/>
      </w:pPr>
      <w:r>
        <w:rPr>
          <w:rFonts w:ascii="Times New Roman" w:hAnsi="Times New Roman"/>
          <w:b/>
          <w:i w:val="false"/>
          <w:color w:val="000000"/>
          <w:sz w:val="22"/>
        </w:rPr>
        <w:t>491—2.17</w:t>
      </w:r>
      <w:r>
        <w:rPr>
          <w:rFonts w:ascii="Times New Roman" w:hAnsi="Times New Roman"/>
          <w:b/>
          <w:i w:val="false"/>
          <w:color w:val="000000"/>
          <w:sz w:val="22"/>
        </w:rPr>
        <w:t xml:space="preserve">(17A) </w:t>
      </w:r>
      <w:r>
        <w:rPr>
          <w:rFonts w:ascii="Times New Roman" w:hAnsi="Times New Roman"/>
          <w:b/>
          <w:i w:val="false"/>
          <w:color w:val="000000"/>
          <w:sz w:val="22"/>
        </w:rPr>
        <w:t xml:space="preserve">Review by commission of rules.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2.17(1)</w:t>
      </w:r>
      <w:r>
        <w:rPr>
          <w:rFonts w:ascii="Times New Roman" w:hAnsi="Times New Roman"/>
          <w:b w:val="false"/>
          <w:i w:val="false"/>
          <w:color w:val="000000"/>
          <w:sz w:val="22"/>
        </w:rPr>
        <w:t> </w:t>
      </w:r>
      <w:r>
        <w:rPr>
          <w:rFonts w:ascii="Times New Roman" w:hAnsi="Times New Roman"/>
          <w:b w:val="false"/>
          <w:i w:val="false"/>
          <w:color w:val="000000"/>
          <w:sz w:val="22"/>
        </w:rPr>
        <w:t>Any interested person, association, agency, or political subdivision may submit a written request to the administrative rules coordinator requesting the commission to conduct a formal review of a specified rule. Upon approval of that request by the administrative rules coordinator, the commission shall conduct a formal review of a specified rule to determine whether a new rule should be adopted instead or the rule should be amended or repealed. The commission may refuse to conduct a review if it has conducted such a review of the specified rule within five years prior to the filing of the written request.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2.17(2)</w:t>
      </w:r>
      <w:r>
        <w:rPr>
          <w:rFonts w:ascii="Times New Roman" w:hAnsi="Times New Roman"/>
          <w:b w:val="false"/>
          <w:i w:val="false"/>
          <w:color w:val="000000"/>
          <w:sz w:val="22"/>
        </w:rPr>
        <w:t> </w:t>
      </w:r>
      <w:r>
        <w:rPr>
          <w:rFonts w:ascii="Times New Roman" w:hAnsi="Times New Roman"/>
          <w:b w:val="false"/>
          <w:i w:val="false"/>
          <w:color w:val="000000"/>
          <w:sz w:val="22"/>
        </w:rPr>
        <w:t>In conducting the formal review, the commission shall prepare within a reasonable time a written report summarizing its findings, its supporting reasons, and any proposed course of action. The report must include a concise statement of the commission’s findings regarding the rule’s effectiveness in achieving its objectives, including a summary of any available supporting data. The report shall also concisely describe significant written criticisms of the rule received during the previous five years, including a summary of any petitions for waiver of the rule received by the commission or granted by the commission. The report shall describe alternative solutions to resolve the criticisms of the rule, the reasons any were rejected, and any changes made in the rule in response to the criticisms as well as the reasons for the changes. A copy of the commission’s report shall be sent to the administrative rules review committee and the administrative rules coordinator. The report must also be available for public inspection.</w:t>
      </w:r>
    </w:p>
    <w:p>
      <w:pPr>
        <w:spacing w:before="0" w:after="0"/>
        <w:ind w:left="120"/>
        <w:jc w:val="both"/>
      </w:pPr>
      <w:r>
        <w:rPr>
          <w:rFonts w:ascii="Times New Roman" w:hAnsi="Times New Roman"/>
          <w:b/>
          <w:i w:val="false"/>
          <w:color w:val="000000"/>
          <w:sz w:val="22"/>
        </w:rPr>
        <w:t>491—2.18</w:t>
      </w:r>
      <w:r>
        <w:rPr>
          <w:rFonts w:ascii="Times New Roman" w:hAnsi="Times New Roman"/>
          <w:b/>
          <w:i w:val="false"/>
          <w:color w:val="000000"/>
          <w:sz w:val="22"/>
        </w:rPr>
        <w:t xml:space="preserve">(17A) </w:t>
      </w:r>
      <w:r>
        <w:rPr>
          <w:rFonts w:ascii="Times New Roman" w:hAnsi="Times New Roman"/>
          <w:b/>
          <w:i w:val="false"/>
          <w:color w:val="000000"/>
          <w:sz w:val="22"/>
        </w:rPr>
        <w:t xml:space="preserve">Petition for rulemaking. </w:t>
      </w:r>
      <w:r>
        <w:rPr>
          <w:rFonts w:ascii="Times New Roman" w:hAnsi="Times New Roman"/>
          <w:b w:val="false"/>
          <w:i w:val="false"/>
          <w:color w:val="000000"/>
          <w:sz w:val="22"/>
        </w:rPr>
        <w:t>Any interested person or agency may file a petition for rulemaking with the commission. The petition for rulemaking shall be filed in the Racing and Gaming Commission Office, 6200 Park Avenue, Suite 100, Des Moines, Iowa 50321. The petition shall either be mailed certified, return receipt requested, or may be delivered in person. An additional copy may be provided if the petitioner wishes to retain a file-stamped copy of the petition. The petition may be either typewritten or legibly printed in ink and must substantially conform to the following form:</w:t>
      </w:r>
    </w:p>
    <w:tbl>
      <w:tblPr>
        <w:tblW w:w="5000" w:type="pct"/>
        <w:tblCellSpacing w:w="0" w:type="auto"/>
        <w:tblBorders>
          <w:top w:val="none"/>
          <w:left w:val="none"/>
          <w:bottom w:val="single" w:color="000000" w:sz="8"/>
          <w:right w:val="none"/>
          <w:insideH w:val="none"/>
          <w:insideV w:val="none"/>
        </w:tblBorders>
        <w:tblLayout w:type="fixed"/>
      </w:tblPr>
      <w:tblGrid>
        <w:gridCol w:w="4850"/>
        <w:gridCol w:w="1490"/>
        <w:gridCol w:w="4850"/>
      </w:tblGrid>
      <w:tr>
        <w:trPr>
          <w:trHeight w:val="570" w:hRule="atLeast"/>
        </w:trPr>
        <w:tc>
          <w:tcPr>
            <w:tcW w:w="0" w:type="auto"/>
            <w:gridSpan w:val="3"/>
            <w:tcBorders>
              <w:bottom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6"/>
              </w:rPr>
              <w:t>RACING AND GAMING COMMISSION</w:t>
            </w:r>
          </w:p>
          <w:p>
            <w:pPr>
              <w:spacing w:before="0" w:after="0"/>
              <w:ind w:left="160"/>
              <w:jc w:val="center"/>
            </w:pPr>
            <w:r>
              <w:rPr>
                <w:rFonts w:ascii="Times New Roman" w:hAnsi="Times New Roman"/>
                <w:b w:val="false"/>
                <w:i w:val="false"/>
                <w:color w:val="000000"/>
                <w:sz w:val="16"/>
              </w:rPr>
              <w:t>6200 Park Avenue, Suite 100</w:t>
            </w:r>
          </w:p>
          <w:p>
            <w:pPr>
              <w:spacing w:before="0" w:after="0"/>
              <w:ind w:left="160"/>
              <w:jc w:val="center"/>
            </w:pPr>
            <w:r>
              <w:rPr>
                <w:rFonts w:ascii="Times New Roman" w:hAnsi="Times New Roman"/>
                <w:b w:val="false"/>
                <w:i w:val="false"/>
                <w:color w:val="000000"/>
                <w:sz w:val="16"/>
              </w:rPr>
              <w:t>Des Moines, Iowa 50321</w:t>
            </w:r>
          </w:p>
        </w:tc>
      </w:tr>
      <w:tr>
        <w:trPr>
          <w:trHeight w:val="1245" w:hRule="atLeast"/>
        </w:trPr>
        <w:tc>
          <w:tcPr>
            <w:tcW w:w="4850" w:type="dxa"/>
            <w:tcBorders/>
            <w:tcMar>
              <w:top w:w="30" w:type="dxa"/>
              <w:left w:w="30" w:type="dxa"/>
              <w:bottom w:w="15" w:type="dxa"/>
              <w:right w:w="30" w:type="dxa"/>
            </w:tcMar>
            <w:vAlign w:val="center"/>
          </w:tcPr>
          <w:p>
            <w:pPr>
              <w:spacing w:before="0" w:after="0"/>
              <w:ind w:left="160"/>
              <w:jc w:val="left"/>
            </w:pPr>
            <w:r>
              <w:rPr>
                <w:rFonts w:ascii="Times New Roman" w:hAnsi="Times New Roman"/>
                <w:b w:val="false"/>
                <w:i w:val="false"/>
                <w:color w:val="000000"/>
                <w:sz w:val="16"/>
              </w:rPr>
              <w:t>Petition by (Name of Petitioner)</w:t>
            </w:r>
          </w:p>
          <w:p>
            <w:pPr>
              <w:spacing w:before="0" w:after="0"/>
              <w:ind w:left="160"/>
              <w:jc w:val="left"/>
            </w:pPr>
            <w:r>
              <w:rPr>
                <w:rFonts w:ascii="Times New Roman" w:hAnsi="Times New Roman"/>
                <w:b w:val="false"/>
                <w:i w:val="false"/>
                <w:color w:val="000000"/>
                <w:sz w:val="16"/>
              </w:rPr>
              <w:t>for the (adoption, amendment,</w:t>
            </w:r>
          </w:p>
          <w:p>
            <w:pPr>
              <w:spacing w:before="0" w:after="0"/>
              <w:ind w:left="160"/>
              <w:jc w:val="left"/>
            </w:pPr>
            <w:r>
              <w:rPr>
                <w:rFonts w:ascii="Times New Roman" w:hAnsi="Times New Roman"/>
                <w:b w:val="false"/>
                <w:i w:val="false"/>
                <w:color w:val="000000"/>
                <w:sz w:val="16"/>
              </w:rPr>
              <w:t>or repeal) of rules relating to</w:t>
            </w:r>
          </w:p>
          <w:p>
            <w:pPr>
              <w:spacing w:before="0" w:after="0"/>
              <w:ind w:left="160"/>
              <w:jc w:val="left"/>
            </w:pPr>
            <w:r>
              <w:rPr>
                <w:rFonts w:ascii="Times New Roman" w:hAnsi="Times New Roman"/>
                <w:b w:val="false"/>
                <w:i w:val="false"/>
                <w:color w:val="000000"/>
                <w:sz w:val="16"/>
              </w:rPr>
              <w:t>(state subject matter).</w:t>
            </w:r>
          </w:p>
        </w:tc>
        <w:tc>
          <w:tcPr>
            <w:tcW w:w="1490" w:type="dxa"/>
            <w:tcBorders/>
            <w:tcMar>
              <w:top w:w="30" w:type="dxa"/>
              <w:left w:w="30" w:type="dxa"/>
              <w:bottom w:w="15" w:type="dxa"/>
              <w:right w:w="30" w:type="dxa"/>
            </w:tcMar>
            <w:vAlign w:val="center"/>
          </w:tcPr>
          <w:p>
            <w:pPr>
              <w:spacing w:before="0" w:after="0"/>
              <w:ind w:left="160"/>
              <w:jc w:val="center"/>
            </w:pPr>
            <w:r>
              <w:rPr>
                <w:rFonts w:ascii="Times New Roman" w:hAnsi="Times New Roman"/>
                <w:b w:val="false"/>
                <w:i w:val="false"/>
                <w:color w:val="000000"/>
                <w:sz w:val="96"/>
              </w:rPr>
              <w:t>}</w:t>
            </w:r>
          </w:p>
          <w:p>
            <w:pPr>
              <w:spacing w:before="0" w:after="0"/>
              <w:ind w:left="160"/>
              <w:jc w:val="center"/>
            </w:pPr>
            <w:r>
              <w:rPr>
                <w:rFonts w:ascii="Times New Roman" w:hAnsi="Times New Roman"/>
                <w:b w:val="false"/>
                <w:i w:val="false"/>
                <w:color w:val="000000"/>
                <w:sz w:val="96"/>
              </w:rPr>
              <w:t> </w:t>
            </w:r>
          </w:p>
        </w:tc>
        <w:tc>
          <w:tcPr>
            <w:tcW w:w="4850" w:type="dxa"/>
            <w:tcBorders/>
            <w:tcMar>
              <w:top w:w="30" w:type="dxa"/>
              <w:left w:w="30" w:type="dxa"/>
              <w:bottom w:w="15" w:type="dxa"/>
              <w:right w:w="30" w:type="dxa"/>
            </w:tcMar>
            <w:vAlign w:val="center"/>
          </w:tcPr>
          <w:p>
            <w:pPr>
              <w:spacing w:before="0" w:after="0"/>
              <w:ind w:left="160"/>
              <w:jc w:val="center"/>
            </w:pPr>
            <w:r>
              <w:rPr>
                <w:rFonts w:ascii="Times New Roman" w:hAnsi="Times New Roman"/>
                <w:b w:val="false"/>
                <w:i w:val="false"/>
                <w:color w:val="000000"/>
                <w:sz w:val="16"/>
              </w:rPr>
              <w:t>PETITION FOR</w:t>
            </w:r>
          </w:p>
          <w:p>
            <w:pPr>
              <w:spacing w:before="0" w:after="0"/>
              <w:ind w:left="160"/>
              <w:jc w:val="center"/>
            </w:pPr>
            <w:r>
              <w:rPr>
                <w:rFonts w:ascii="Times New Roman" w:hAnsi="Times New Roman"/>
                <w:b w:val="false"/>
                <w:i w:val="false"/>
                <w:color w:val="000000"/>
                <w:sz w:val="16"/>
              </w:rPr>
              <w:t>RULEMAKING</w:t>
            </w:r>
          </w:p>
        </w:tc>
      </w:tr>
    </w:tbl>
    <w:p>
      <w:pPr>
        <w:spacing w:before="0" w:after="0"/>
        <w:ind w:left="120"/>
        <w:jc w:val="both"/>
      </w:pPr>
      <w:r>
        <w:rPr>
          <w:rFonts w:ascii="Times New Roman" w:hAnsi="Times New Roman"/>
          <w:b w:val="false"/>
          <w:i w:val="false"/>
          <w:color w:val="000000"/>
          <w:sz w:val="22"/>
        </w:rPr>
        <w:t>The petition must provide the following information:</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 statement of the specific rulemaking action sought by the petitioner including the text or a summary of the contents of the proposed rule or amendment to a rule and, if it is a petition to amend or repeal a rule, a citation and the relevant language to the particular portion or portions of the rule proposed to be amended or repealed.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 citation to any law deemed relevant to the commission’s authority to take the action urged or to the desirability of that action.</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 brief summary of petitioner’s arguments in support of the action urged in the petition.</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A brief summary of any data supporting the action urged in the petition.</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The names and addresses of other persons, or a description of any class of persons, known by petitioner to be affected by, or interested in, the proposed action which is the subject of the petition.</w:t>
      </w:r>
    </w:p>
    <w:p>
      <w:pPr>
        <w:spacing w:before="0" w:after="0"/>
        <w:ind w:left="120"/>
        <w:jc w:val="both"/>
      </w:pPr>
      <w:r>
        <w:rPr>
          <w:rFonts w:ascii="Times New Roman" w:hAnsi="Times New Roman"/>
          <w:b w:val="false"/>
          <w:i w:val="false"/>
          <w:color w:val="000000"/>
          <w:sz w:val="22"/>
        </w:rPr>
        <w:t>__________________________________________</w:t>
      </w:r>
    </w:p>
    <w:p>
      <w:pPr>
        <w:spacing w:before="0" w:after="0"/>
        <w:ind w:left="120"/>
        <w:jc w:val="both"/>
      </w:pPr>
      <w:r>
        <w:rPr>
          <w:rFonts w:ascii="Times New Roman" w:hAnsi="Times New Roman"/>
          <w:b w:val="false"/>
          <w:i w:val="false"/>
          <w:color w:val="000000"/>
          <w:sz w:val="22"/>
        </w:rPr>
        <w:t>Petitioner’s signature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2.18(1)</w:t>
      </w:r>
      <w:r>
        <w:rPr>
          <w:rFonts w:ascii="Times New Roman" w:hAnsi="Times New Roman"/>
          <w:b w:val="false"/>
          <w:i w:val="false"/>
          <w:color w:val="000000"/>
          <w:sz w:val="22"/>
        </w:rPr>
        <w:t> </w:t>
      </w:r>
      <w:r>
        <w:rPr>
          <w:rFonts w:ascii="Times New Roman" w:hAnsi="Times New Roman"/>
          <w:b w:val="false"/>
          <w:i/>
          <w:color w:val="000000"/>
          <w:sz w:val="22"/>
        </w:rPr>
        <w:t xml:space="preserve">Petition signed. </w:t>
      </w:r>
      <w:r>
        <w:rPr>
          <w:rFonts w:ascii="Times New Roman" w:hAnsi="Times New Roman"/>
          <w:b w:val="false"/>
          <w:i w:val="false"/>
          <w:color w:val="000000"/>
          <w:sz w:val="22"/>
        </w:rPr>
        <w:t>The petition must be dated and signed by the petitioner or the petitioner’s representative. It must also include the name, mailing address, and telephone number of the petitioner and petitioner’s representative and a statement indicating the person to whom communications concerning the petition should be directed.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2.18(2)</w:t>
      </w:r>
      <w:r>
        <w:rPr>
          <w:rFonts w:ascii="Times New Roman" w:hAnsi="Times New Roman"/>
          <w:b w:val="false"/>
          <w:i w:val="false"/>
          <w:color w:val="000000"/>
          <w:sz w:val="22"/>
        </w:rPr>
        <w:t> </w:t>
      </w:r>
      <w:r>
        <w:rPr>
          <w:rFonts w:ascii="Times New Roman" w:hAnsi="Times New Roman"/>
          <w:b w:val="false"/>
          <w:i/>
          <w:color w:val="000000"/>
          <w:sz w:val="22"/>
        </w:rPr>
        <w:t xml:space="preserve">Deny petition. </w:t>
      </w:r>
      <w:r>
        <w:rPr>
          <w:rFonts w:ascii="Times New Roman" w:hAnsi="Times New Roman"/>
          <w:b w:val="false"/>
          <w:i w:val="false"/>
          <w:color w:val="000000"/>
          <w:sz w:val="22"/>
        </w:rPr>
        <w:t>The commission may deny a petition because it does not substantially conform to the required form.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2.18(3)</w:t>
      </w:r>
      <w:r>
        <w:rPr>
          <w:rFonts w:ascii="Times New Roman" w:hAnsi="Times New Roman"/>
          <w:b w:val="false"/>
          <w:i w:val="false"/>
          <w:color w:val="000000"/>
          <w:sz w:val="22"/>
        </w:rPr>
        <w:t> </w:t>
      </w:r>
      <w:r>
        <w:rPr>
          <w:rFonts w:ascii="Times New Roman" w:hAnsi="Times New Roman"/>
          <w:b w:val="false"/>
          <w:i/>
          <w:color w:val="000000"/>
          <w:sz w:val="22"/>
        </w:rPr>
        <w:t xml:space="preserve">Procedure after petition is filed. </w:t>
      </w:r>
      <w:r>
        <w:rPr>
          <w:rFonts w:ascii="Times New Roman" w:hAnsi="Times New Roman"/>
          <w:b w:val="false"/>
          <w:i w:val="false"/>
          <w:color w:val="000000"/>
          <w:sz w:val="22"/>
        </w:rPr>
        <w:t>Upon filing of the petition, the administrator shall inspect the petition to ensure substantial compliance with the recommended form. If the petition does not contain the text or substance of the proposed amendment or fails to include copies of any cited statute, rule, or evidence, the administrator may reject the petition and return it to the petitioner along with the reasons for the rejection. Petitioner may then correct the reasons for rejection and refile the petition. A petition in substantial compliance with the recommended form shall be filed and stamped, and copies promptly sent to the commission members for further study.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2.18(4)</w:t>
      </w:r>
      <w:r>
        <w:rPr>
          <w:rFonts w:ascii="Times New Roman" w:hAnsi="Times New Roman"/>
          <w:b w:val="false"/>
          <w:i w:val="false"/>
          <w:color w:val="000000"/>
          <w:sz w:val="22"/>
        </w:rPr>
        <w:t> </w:t>
      </w:r>
      <w:r>
        <w:rPr>
          <w:rFonts w:ascii="Times New Roman" w:hAnsi="Times New Roman"/>
          <w:b w:val="false"/>
          <w:i/>
          <w:color w:val="000000"/>
          <w:sz w:val="22"/>
        </w:rPr>
        <w:t xml:space="preserve">Commission action. </w:t>
      </w:r>
      <w:r>
        <w:rPr>
          <w:rFonts w:ascii="Times New Roman" w:hAnsi="Times New Roman"/>
          <w:b w:val="false"/>
          <w:i w:val="false"/>
          <w:color w:val="000000"/>
          <w:sz w:val="22"/>
        </w:rPr>
        <w:t>Within 60 days of the filing of a petition, the commission shall meet to consider the petition and shall either grant the petition and commence rulemaking, or deny the petition and notify the petitioner in writing of the grounds for the denial.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2.18(5)</w:t>
      </w:r>
      <w:r>
        <w:rPr>
          <w:rFonts w:ascii="Times New Roman" w:hAnsi="Times New Roman"/>
          <w:b w:val="false"/>
          <w:i w:val="false"/>
          <w:color w:val="000000"/>
          <w:sz w:val="22"/>
        </w:rPr>
        <w:t> </w:t>
      </w:r>
      <w:r>
        <w:rPr>
          <w:rFonts w:ascii="Times New Roman" w:hAnsi="Times New Roman"/>
          <w:b w:val="false"/>
          <w:i/>
          <w:color w:val="000000"/>
          <w:sz w:val="22"/>
        </w:rPr>
        <w:t xml:space="preserve">Copies to administrative rules review committee. </w:t>
      </w:r>
      <w:r>
        <w:rPr>
          <w:rFonts w:ascii="Times New Roman" w:hAnsi="Times New Roman"/>
          <w:b w:val="false"/>
          <w:i w:val="false"/>
          <w:color w:val="000000"/>
          <w:sz w:val="22"/>
        </w:rPr>
        <w:t>Petitions for rulemaking and the disposition of such petitions shall be provided to the administrative rules review committee.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0734C</w:t>
      </w:r>
      <w:r>
        <w:rPr>
          <w:rFonts w:ascii="Times New Roman" w:hAnsi="Times New Roman"/>
          <w:b w:val="false"/>
          <w:i w:val="false"/>
          <w:color w:val="000000"/>
          <w:sz w:val="16"/>
        </w:rPr>
        <w:t>, IAB 5/15/13, effective 6/19/13</w:t>
      </w:r>
      <w:r>
        <w:rPr>
          <w:rFonts w:ascii="Times New Roman" w:hAnsi="Times New Roman"/>
          <w:b w:val="false"/>
          <w:i w:val="false"/>
          <w:color w:val="000000"/>
          <w:sz w:val="16"/>
        </w:rPr>
        <w:t xml:space="preserve">; </w:t>
      </w:r>
      <w:r>
        <w:rPr>
          <w:rFonts w:ascii="Times New Roman" w:hAnsi="Times New Roman"/>
          <w:b/>
          <w:i w:val="false"/>
          <w:color w:val="000000"/>
          <w:sz w:val="16"/>
        </w:rPr>
        <w:t>ARC 5422C</w:t>
      </w:r>
      <w:r>
        <w:rPr>
          <w:rFonts w:ascii="Times New Roman" w:hAnsi="Times New Roman"/>
          <w:b w:val="false"/>
          <w:i w:val="false"/>
          <w:color w:val="000000"/>
          <w:sz w:val="16"/>
        </w:rPr>
        <w:t>, IAB 2/10/21, effective 3/17/21</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3/6/24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491—2.19</w:t>
      </w:r>
      <w:r>
        <w:rPr>
          <w:rFonts w:ascii="Times New Roman" w:hAnsi="Times New Roman"/>
          <w:b/>
          <w:i w:val="false"/>
          <w:color w:val="000000"/>
          <w:sz w:val="22"/>
        </w:rPr>
        <w:t xml:space="preserve">(17A) </w:t>
      </w:r>
      <w:r>
        <w:rPr>
          <w:rFonts w:ascii="Times New Roman" w:hAnsi="Times New Roman"/>
          <w:b/>
          <w:i w:val="false"/>
          <w:color w:val="000000"/>
          <w:sz w:val="22"/>
        </w:rPr>
        <w:t xml:space="preserve">General. </w:t>
      </w:r>
      <w:r>
        <w:rPr>
          <w:rFonts w:ascii="Times New Roman" w:hAnsi="Times New Roman"/>
          <w:b w:val="false"/>
          <w:i w:val="false"/>
          <w:color w:val="000000"/>
          <w:sz w:val="22"/>
        </w:rPr>
        <w:t xml:space="preserve">Any interested person may solicit oral or written advice from the administrator concerning the application or interpretation of any statute or administrative rule dealing with the commission. However, unless the request is made pursuant to Iowa Code section </w:t>
      </w:r>
      <w:hyperlink r:id="rId34">
        <w:r>
          <w:rPr>
            <w:rStyle w:val="Hyperlink"/>
            <w:rFonts w:ascii="Times New Roman" w:hAnsi="Times New Roman"/>
            <w:b w:val="false"/>
            <w:i w:val="false"/>
            <w:color w:val="000000"/>
            <w:sz w:val="22"/>
          </w:rPr>
          <w:t>17A.9</w:t>
        </w:r>
      </w:hyperlink>
      <w:r>
        <w:rPr>
          <w:rFonts w:ascii="Times New Roman" w:hAnsi="Times New Roman"/>
          <w:b w:val="false"/>
          <w:i w:val="false"/>
          <w:color w:val="000000"/>
          <w:sz w:val="22"/>
        </w:rPr>
        <w:t>, petition for declaratory order, any such advice is not binding upon the commission. Petitioners for a declaratory order must have a real and direct interest in a specific fact situation that may affect their legal rights, duties or responsibilities under statutes or regulations administered by the commission.</w:t>
      </w:r>
    </w:p>
    <w:p>
      <w:pPr>
        <w:spacing w:before="0" w:after="0"/>
        <w:ind w:left="120"/>
        <w:jc w:val="both"/>
      </w:pPr>
      <w:r>
        <w:rPr>
          <w:rFonts w:ascii="Times New Roman" w:hAnsi="Times New Roman"/>
          <w:b/>
          <w:i w:val="false"/>
          <w:color w:val="000000"/>
          <w:sz w:val="22"/>
        </w:rPr>
        <w:t>491—2.20</w:t>
      </w:r>
      <w:r>
        <w:rPr>
          <w:rFonts w:ascii="Times New Roman" w:hAnsi="Times New Roman"/>
          <w:b/>
          <w:i w:val="false"/>
          <w:color w:val="000000"/>
          <w:sz w:val="22"/>
        </w:rPr>
        <w:t xml:space="preserve">(17A) </w:t>
      </w:r>
      <w:r>
        <w:rPr>
          <w:rFonts w:ascii="Times New Roman" w:hAnsi="Times New Roman"/>
          <w:b/>
          <w:i w:val="false"/>
          <w:color w:val="000000"/>
          <w:sz w:val="22"/>
        </w:rPr>
        <w:t xml:space="preserve">Petition for declaratory order. </w:t>
      </w:r>
      <w:r>
        <w:rPr>
          <w:rFonts w:ascii="Times New Roman" w:hAnsi="Times New Roman"/>
          <w:b w:val="false"/>
          <w:i w:val="false"/>
          <w:color w:val="000000"/>
          <w:sz w:val="22"/>
        </w:rPr>
        <w:t>Any person may file a petition with the commission for a declaratory order as to the applicability to specified circumstances of a statute, rule, or order within the primary jurisdiction of the commission, at 6200 Park Avenue, Suite 100, Des Moines, Iowa 50321. A petition is deemed filed when it is received by that office. The commission shall provide the petitioner with a file-stamped copy of the petition if the petitioner provides the commission an extra copy for this purpose. The petition must be typewritten or legibly handwritten in ink and must substantially conform to the following form:</w:t>
      </w:r>
    </w:p>
    <w:tbl>
      <w:tblPr>
        <w:tblW w:w="5000" w:type="pct"/>
        <w:tblCellSpacing w:w="0" w:type="auto"/>
        <w:tblBorders>
          <w:top w:val="none"/>
          <w:left w:val="none"/>
          <w:bottom w:val="single" w:color="000000" w:sz="8"/>
          <w:right w:val="none"/>
          <w:insideH w:val="none"/>
          <w:insideV w:val="none"/>
        </w:tblBorders>
        <w:tblLayout w:type="fixed"/>
      </w:tblPr>
      <w:tblGrid>
        <w:gridCol w:w="4850"/>
        <w:gridCol w:w="1490"/>
        <w:gridCol w:w="4850"/>
      </w:tblGrid>
      <w:tr>
        <w:trPr>
          <w:trHeight w:val="570" w:hRule="atLeast"/>
        </w:trPr>
        <w:tc>
          <w:tcPr>
            <w:tcW w:w="0" w:type="auto"/>
            <w:gridSpan w:val="3"/>
            <w:tcBorders>
              <w:bottom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6"/>
              </w:rPr>
              <w:t>RACING AND GAMING COMMISSION</w:t>
            </w:r>
          </w:p>
          <w:p>
            <w:pPr>
              <w:spacing w:before="0" w:after="0"/>
              <w:ind w:left="160"/>
              <w:jc w:val="center"/>
            </w:pPr>
            <w:r>
              <w:rPr>
                <w:rFonts w:ascii="Times New Roman" w:hAnsi="Times New Roman"/>
                <w:b w:val="false"/>
                <w:i w:val="false"/>
                <w:color w:val="000000"/>
                <w:sz w:val="16"/>
              </w:rPr>
              <w:t>6200 Park Avenue, Suite 100</w:t>
            </w:r>
          </w:p>
          <w:p>
            <w:pPr>
              <w:spacing w:before="0" w:after="0"/>
              <w:ind w:left="160"/>
              <w:jc w:val="center"/>
            </w:pPr>
            <w:r>
              <w:rPr>
                <w:rFonts w:ascii="Times New Roman" w:hAnsi="Times New Roman"/>
                <w:b w:val="false"/>
                <w:i w:val="false"/>
                <w:color w:val="000000"/>
                <w:sz w:val="16"/>
              </w:rPr>
              <w:t>Des Moines, Iowa 50321</w:t>
            </w:r>
          </w:p>
        </w:tc>
      </w:tr>
      <w:tr>
        <w:trPr>
          <w:trHeight w:val="1245" w:hRule="atLeast"/>
        </w:trPr>
        <w:tc>
          <w:tcPr>
            <w:tcW w:w="4850" w:type="dxa"/>
            <w:tcBorders/>
            <w:tcMar>
              <w:top w:w="30" w:type="dxa"/>
              <w:left w:w="30" w:type="dxa"/>
              <w:bottom w:w="15" w:type="dxa"/>
              <w:right w:w="30" w:type="dxa"/>
            </w:tcMar>
            <w:vAlign w:val="center"/>
          </w:tcPr>
          <w:p>
            <w:pPr>
              <w:spacing w:before="0" w:after="0"/>
              <w:ind w:left="160"/>
              <w:jc w:val="left"/>
            </w:pPr>
            <w:r>
              <w:rPr>
                <w:rFonts w:ascii="Times New Roman" w:hAnsi="Times New Roman"/>
                <w:b w:val="false"/>
                <w:i w:val="false"/>
                <w:color w:val="000000"/>
                <w:sz w:val="16"/>
              </w:rPr>
              <w:t>Petition by (Name of Petitioner)</w:t>
            </w:r>
          </w:p>
          <w:p>
            <w:pPr>
              <w:spacing w:before="0" w:after="0"/>
              <w:ind w:left="160"/>
              <w:jc w:val="left"/>
            </w:pPr>
            <w:r>
              <w:rPr>
                <w:rFonts w:ascii="Times New Roman" w:hAnsi="Times New Roman"/>
                <w:b w:val="false"/>
                <w:i w:val="false"/>
                <w:color w:val="000000"/>
                <w:sz w:val="16"/>
              </w:rPr>
              <w:t>for a Declaratory Order on</w:t>
            </w:r>
          </w:p>
          <w:p>
            <w:pPr>
              <w:spacing w:before="0" w:after="0"/>
              <w:ind w:left="160"/>
              <w:jc w:val="left"/>
            </w:pPr>
            <w:r>
              <w:rPr>
                <w:rFonts w:ascii="Times New Roman" w:hAnsi="Times New Roman"/>
                <w:b w:val="false"/>
                <w:i w:val="false"/>
                <w:color w:val="000000"/>
                <w:sz w:val="16"/>
              </w:rPr>
              <w:t>(Cite provisions of law involved).</w:t>
            </w:r>
          </w:p>
        </w:tc>
        <w:tc>
          <w:tcPr>
            <w:tcW w:w="1490" w:type="dxa"/>
            <w:tcBorders/>
            <w:tcMar>
              <w:top w:w="30" w:type="dxa"/>
              <w:left w:w="30" w:type="dxa"/>
              <w:bottom w:w="15" w:type="dxa"/>
              <w:right w:w="30" w:type="dxa"/>
            </w:tcMar>
            <w:vAlign w:val="center"/>
          </w:tcPr>
          <w:p>
            <w:pPr>
              <w:spacing w:before="0" w:after="0"/>
              <w:ind w:left="160"/>
              <w:jc w:val="center"/>
            </w:pPr>
            <w:r>
              <w:rPr>
                <w:rFonts w:ascii="Times New Roman" w:hAnsi="Times New Roman"/>
                <w:b w:val="false"/>
                <w:i w:val="false"/>
                <w:color w:val="000000"/>
                <w:sz w:val="96"/>
              </w:rPr>
              <w:t>}</w:t>
            </w:r>
          </w:p>
          <w:p>
            <w:pPr>
              <w:spacing w:before="0" w:after="0"/>
              <w:ind w:left="160"/>
              <w:jc w:val="center"/>
            </w:pPr>
            <w:r>
              <w:rPr>
                <w:rFonts w:ascii="Times New Roman" w:hAnsi="Times New Roman"/>
                <w:b w:val="false"/>
                <w:i w:val="false"/>
                <w:color w:val="000000"/>
                <w:sz w:val="96"/>
              </w:rPr>
              <w:t> </w:t>
            </w:r>
          </w:p>
        </w:tc>
        <w:tc>
          <w:tcPr>
            <w:tcW w:w="4850" w:type="dxa"/>
            <w:tcBorders/>
            <w:tcMar>
              <w:top w:w="30" w:type="dxa"/>
              <w:left w:w="30" w:type="dxa"/>
              <w:bottom w:w="15" w:type="dxa"/>
              <w:right w:w="30" w:type="dxa"/>
            </w:tcMar>
            <w:vAlign w:val="center"/>
          </w:tcPr>
          <w:p>
            <w:pPr>
              <w:spacing w:before="0" w:after="0"/>
              <w:ind w:left="160"/>
              <w:jc w:val="center"/>
            </w:pPr>
            <w:r>
              <w:rPr>
                <w:rFonts w:ascii="Times New Roman" w:hAnsi="Times New Roman"/>
                <w:b w:val="false"/>
                <w:i w:val="false"/>
                <w:color w:val="000000"/>
                <w:sz w:val="16"/>
              </w:rPr>
              <w:t>PETITION FOR</w:t>
            </w:r>
          </w:p>
          <w:p>
            <w:pPr>
              <w:spacing w:before="0" w:after="0"/>
              <w:ind w:left="160"/>
              <w:jc w:val="center"/>
            </w:pPr>
            <w:r>
              <w:rPr>
                <w:rFonts w:ascii="Times New Roman" w:hAnsi="Times New Roman"/>
                <w:b w:val="false"/>
                <w:i w:val="false"/>
                <w:color w:val="000000"/>
                <w:sz w:val="16"/>
              </w:rPr>
              <w:t>DECLARATORY ORDER</w:t>
            </w:r>
          </w:p>
        </w:tc>
      </w:tr>
    </w:tbl>
    <w:p>
      <w:pPr>
        <w:spacing w:before="0" w:after="0"/>
        <w:ind w:left="120"/>
        <w:jc w:val="both"/>
      </w:pPr>
      <w:r>
        <w:rPr>
          <w:rFonts w:ascii="Times New Roman" w:hAnsi="Times New Roman"/>
          <w:b w:val="false"/>
          <w:i w:val="false"/>
          <w:color w:val="000000"/>
          <w:sz w:val="22"/>
        </w:rPr>
        <w:t>The petition must provide the following information:</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 clear and concise statement of all relevant facts on which the order is requested.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 citation and the relevant language of the specific statutes, rules, policies, decisions, or orders, whose applicability is questioned, and any other relevant law.</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questions petitioner wants answered, stated clearly and concisely.</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The answers to the questions desired by the petitioner and a summary of the reasons urged by the petitioner in support of those answers.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The reasons for requesting the declaratory order and disclosure of the petitioner’s interest in the outcome.</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A statement indicating whether the petitioner is currently a party to another proceeding involving the questions at issue and whether, to the petitioner’s knowledge, those questions have been decided by, are pending determination by, or are under investigation by, any governmental entity.</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The names and addresses of other persons, or a description of any class of persons, known by petitioner to be affected by, or interested in, the questions presented in the petition.</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 xml:space="preserve">Any request by petitioner for a meeting provided for by </w:t>
      </w:r>
      <w:hyperlink r:id="rId35">
        <w:r>
          <w:rPr>
            <w:rStyle w:val="Hyperlink"/>
            <w:rFonts w:ascii="Times New Roman" w:hAnsi="Times New Roman"/>
            <w:b w:val="false"/>
            <w:i w:val="false"/>
            <w:color w:val="000000"/>
            <w:sz w:val="22"/>
          </w:rPr>
          <w:t>491—2.26</w:t>
        </w:r>
      </w:hyperlink>
      <w:r>
        <w:rPr>
          <w:rFonts w:ascii="Times New Roman" w:hAnsi="Times New Roman"/>
          <w:b w:val="false"/>
          <w:i w:val="false"/>
          <w:color w:val="000000"/>
          <w:sz w:val="22"/>
        </w:rPr>
        <w:t>(17A).</w:t>
      </w:r>
    </w:p>
    <w:p>
      <w:pPr>
        <w:spacing w:before="0" w:after="0"/>
        <w:ind w:left="120"/>
        <w:jc w:val="both"/>
      </w:pPr>
      <w:r>
        <w:rPr>
          <w:rFonts w:ascii="Times New Roman" w:hAnsi="Times New Roman"/>
          <w:b w:val="false"/>
          <w:i w:val="false"/>
          <w:color w:val="000000"/>
          <w:sz w:val="22"/>
        </w:rPr>
        <w:t>The petition must be dated and signed by the petitioner or the petitioner’s representative. It must also include the name, mailing address, and telephone number of the petitioner and petitioner’s representative and a statement indicating the person to whom communications concerning the petition should be directed.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0734C</w:t>
      </w:r>
      <w:r>
        <w:rPr>
          <w:rFonts w:ascii="Times New Roman" w:hAnsi="Times New Roman"/>
          <w:b w:val="false"/>
          <w:i w:val="false"/>
          <w:color w:val="000000"/>
          <w:sz w:val="16"/>
        </w:rPr>
        <w:t>, IAB 5/15/13, effective 6/19/13</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3/6/24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491—2.21</w:t>
      </w:r>
      <w:r>
        <w:rPr>
          <w:rFonts w:ascii="Times New Roman" w:hAnsi="Times New Roman"/>
          <w:b/>
          <w:i w:val="false"/>
          <w:color w:val="000000"/>
          <w:sz w:val="22"/>
        </w:rPr>
        <w:t xml:space="preserve">(17A) </w:t>
      </w:r>
      <w:r>
        <w:rPr>
          <w:rFonts w:ascii="Times New Roman" w:hAnsi="Times New Roman"/>
          <w:b/>
          <w:i w:val="false"/>
          <w:color w:val="000000"/>
          <w:sz w:val="22"/>
        </w:rPr>
        <w:t xml:space="preserve">Notice of petition. </w:t>
      </w:r>
      <w:r>
        <w:rPr>
          <w:rFonts w:ascii="Times New Roman" w:hAnsi="Times New Roman"/>
          <w:b w:val="false"/>
          <w:i w:val="false"/>
          <w:color w:val="000000"/>
          <w:sz w:val="22"/>
        </w:rPr>
        <w:t xml:space="preserve">Within 15 days after receipt of a petition for a declaratory order, the commission shall give notice of the petition to all persons not served by the petitioner pursuant to rule </w:t>
      </w:r>
      <w:hyperlink r:id="rId36">
        <w:r>
          <w:rPr>
            <w:rStyle w:val="Hyperlink"/>
            <w:rFonts w:ascii="Times New Roman" w:hAnsi="Times New Roman"/>
            <w:b w:val="false"/>
            <w:i w:val="false"/>
            <w:color w:val="000000"/>
            <w:sz w:val="22"/>
          </w:rPr>
          <w:t>2.25</w:t>
        </w:r>
      </w:hyperlink>
      <w:r>
        <w:rPr>
          <w:rFonts w:ascii="Times New Roman" w:hAnsi="Times New Roman"/>
          <w:b w:val="false"/>
          <w:i w:val="false"/>
          <w:color w:val="000000"/>
          <w:sz w:val="22"/>
        </w:rPr>
        <w:t>(17A) to whom notice is required by any provision of law or who have requested notice of petitions for declaratory orders. The commission may also give notice to any other persons.</w:t>
      </w:r>
    </w:p>
    <w:p>
      <w:pPr>
        <w:spacing w:before="0" w:after="0"/>
        <w:ind w:left="120"/>
        <w:jc w:val="both"/>
      </w:pPr>
      <w:r>
        <w:rPr>
          <w:rFonts w:ascii="Times New Roman" w:hAnsi="Times New Roman"/>
          <w:b/>
          <w:i w:val="false"/>
          <w:color w:val="000000"/>
          <w:sz w:val="22"/>
        </w:rPr>
        <w:t>491—2.22</w:t>
      </w:r>
      <w:r>
        <w:rPr>
          <w:rFonts w:ascii="Times New Roman" w:hAnsi="Times New Roman"/>
          <w:b/>
          <w:i w:val="false"/>
          <w:color w:val="000000"/>
          <w:sz w:val="22"/>
        </w:rPr>
        <w:t xml:space="preserve">(17A,99D,99F) </w:t>
      </w:r>
      <w:r>
        <w:rPr>
          <w:rFonts w:ascii="Times New Roman" w:hAnsi="Times New Roman"/>
          <w:b/>
          <w:i w:val="false"/>
          <w:color w:val="000000"/>
          <w:sz w:val="22"/>
        </w:rPr>
        <w:t xml:space="preserve">Intervention.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2.22(1)</w:t>
      </w:r>
      <w:r>
        <w:rPr>
          <w:rFonts w:ascii="Times New Roman" w:hAnsi="Times New Roman"/>
          <w:b w:val="false"/>
          <w:i w:val="false"/>
          <w:color w:val="000000"/>
          <w:sz w:val="22"/>
        </w:rPr>
        <w:t> </w:t>
      </w:r>
      <w:r>
        <w:rPr>
          <w:rFonts w:ascii="Times New Roman" w:hAnsi="Times New Roman"/>
          <w:b w:val="false"/>
          <w:i w:val="false"/>
          <w:color w:val="000000"/>
          <w:sz w:val="22"/>
        </w:rPr>
        <w:t>Persons who qualify under any applicable provision of law as an intervenor and who file a petition for intervention within 30 days of the filing of a petition for declaratory order shall be allowed to intervene in a proceeding for a declaratory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2.22(2)</w:t>
      </w:r>
      <w:r>
        <w:rPr>
          <w:rFonts w:ascii="Times New Roman" w:hAnsi="Times New Roman"/>
          <w:b w:val="false"/>
          <w:i w:val="false"/>
          <w:color w:val="000000"/>
          <w:sz w:val="22"/>
        </w:rPr>
        <w:t> </w:t>
      </w:r>
      <w:r>
        <w:rPr>
          <w:rFonts w:ascii="Times New Roman" w:hAnsi="Times New Roman"/>
          <w:b w:val="false"/>
          <w:i w:val="false"/>
          <w:color w:val="000000"/>
          <w:sz w:val="22"/>
        </w:rPr>
        <w:t>Any person who files a petition for intervention at any time prior to the issuance of an order may be allowed to intervene in a proceeding for a declaratory order at the discretion of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2.22(3)</w:t>
      </w:r>
      <w:r>
        <w:rPr>
          <w:rFonts w:ascii="Times New Roman" w:hAnsi="Times New Roman"/>
          <w:b w:val="false"/>
          <w:i w:val="false"/>
          <w:color w:val="000000"/>
          <w:sz w:val="22"/>
        </w:rPr>
        <w:t> </w:t>
      </w:r>
      <w:r>
        <w:rPr>
          <w:rFonts w:ascii="Times New Roman" w:hAnsi="Times New Roman"/>
          <w:b w:val="false"/>
          <w:i w:val="false"/>
          <w:color w:val="000000"/>
          <w:sz w:val="22"/>
        </w:rPr>
        <w:t>A petition for intervention shall be filed at the Racing and Gaming Commission Office, 6200 Park Avenue, Suite 100, Des Moines, Iowa 50321. Such a petition is deemed filed when it is received by that office. The commission will provide the petitioner with a file-stamped copy of the petition for intervention if the petitioner provides an extra copy for this purpose. A petition for intervention must be typewritten or legibly handwritten in ink and must substantially conform to the following form:</w:t>
      </w:r>
    </w:p>
    <w:tbl>
      <w:tblPr>
        <w:tblW w:w="5000" w:type="pct"/>
        <w:tblCellSpacing w:w="0" w:type="auto"/>
        <w:tblBorders>
          <w:top w:val="none"/>
          <w:left w:val="none"/>
          <w:bottom w:val="single" w:color="000000" w:sz="8"/>
          <w:right w:val="none"/>
          <w:insideH w:val="none"/>
          <w:insideV w:val="none"/>
        </w:tblBorders>
        <w:tblLayout w:type="fixed"/>
      </w:tblPr>
      <w:tblGrid>
        <w:gridCol w:w="4850"/>
        <w:gridCol w:w="1490"/>
        <w:gridCol w:w="4850"/>
      </w:tblGrid>
      <w:tr>
        <w:trPr>
          <w:trHeight w:val="570" w:hRule="atLeast"/>
        </w:trPr>
        <w:tc>
          <w:tcPr>
            <w:tcW w:w="0" w:type="auto"/>
            <w:gridSpan w:val="3"/>
            <w:tcBorders>
              <w:bottom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6"/>
              </w:rPr>
              <w:t>RACING AND GAMING COMMISSION</w:t>
            </w:r>
          </w:p>
          <w:p>
            <w:pPr>
              <w:spacing w:before="0" w:after="0"/>
              <w:ind w:left="160"/>
              <w:jc w:val="center"/>
            </w:pPr>
            <w:r>
              <w:rPr>
                <w:rFonts w:ascii="Times New Roman" w:hAnsi="Times New Roman"/>
                <w:b w:val="false"/>
                <w:i w:val="false"/>
                <w:color w:val="000000"/>
                <w:sz w:val="16"/>
              </w:rPr>
              <w:t>6200 Park Avenue, Suite 100</w:t>
            </w:r>
          </w:p>
          <w:p>
            <w:pPr>
              <w:spacing w:before="0" w:after="0"/>
              <w:ind w:left="160"/>
              <w:jc w:val="center"/>
            </w:pPr>
            <w:r>
              <w:rPr>
                <w:rFonts w:ascii="Times New Roman" w:hAnsi="Times New Roman"/>
                <w:b w:val="false"/>
                <w:i w:val="false"/>
                <w:color w:val="000000"/>
                <w:sz w:val="16"/>
              </w:rPr>
              <w:t>Des Moines, Iowa 50321</w:t>
            </w:r>
          </w:p>
        </w:tc>
      </w:tr>
      <w:tr>
        <w:trPr>
          <w:trHeight w:val="1245" w:hRule="atLeast"/>
        </w:trPr>
        <w:tc>
          <w:tcPr>
            <w:tcW w:w="4850" w:type="dxa"/>
            <w:tcBorders/>
            <w:tcMar>
              <w:top w:w="30" w:type="dxa"/>
              <w:left w:w="30" w:type="dxa"/>
              <w:bottom w:w="15" w:type="dxa"/>
              <w:right w:w="30" w:type="dxa"/>
            </w:tcMar>
            <w:vAlign w:val="center"/>
          </w:tcPr>
          <w:p>
            <w:pPr>
              <w:spacing w:before="0" w:after="0"/>
              <w:ind w:left="160"/>
              <w:jc w:val="left"/>
            </w:pPr>
            <w:r>
              <w:rPr>
                <w:rFonts w:ascii="Times New Roman" w:hAnsi="Times New Roman"/>
                <w:b w:val="false"/>
                <w:i w:val="false"/>
                <w:color w:val="000000"/>
                <w:sz w:val="16"/>
              </w:rPr>
              <w:t>Petition by (Name of Original Petitioner) for a Declaratory Order on (Cite</w:t>
            </w:r>
          </w:p>
          <w:p>
            <w:pPr>
              <w:spacing w:before="0" w:after="0"/>
              <w:ind w:left="160"/>
              <w:jc w:val="left"/>
            </w:pPr>
            <w:r>
              <w:rPr>
                <w:rFonts w:ascii="Times New Roman" w:hAnsi="Times New Roman"/>
                <w:b w:val="false"/>
                <w:i w:val="false"/>
                <w:color w:val="000000"/>
                <w:sz w:val="16"/>
              </w:rPr>
              <w:t>provisions of law cited in original petition).</w:t>
            </w:r>
          </w:p>
        </w:tc>
        <w:tc>
          <w:tcPr>
            <w:tcW w:w="1490" w:type="dxa"/>
            <w:tcBorders/>
            <w:tcMar>
              <w:top w:w="30" w:type="dxa"/>
              <w:left w:w="30" w:type="dxa"/>
              <w:bottom w:w="15" w:type="dxa"/>
              <w:right w:w="30" w:type="dxa"/>
            </w:tcMar>
            <w:vAlign w:val="center"/>
          </w:tcPr>
          <w:p>
            <w:pPr>
              <w:spacing w:before="0" w:after="0"/>
              <w:ind w:left="160"/>
              <w:jc w:val="center"/>
            </w:pPr>
            <w:r>
              <w:rPr>
                <w:rFonts w:ascii="Times New Roman" w:hAnsi="Times New Roman"/>
                <w:b w:val="false"/>
                <w:i w:val="false"/>
                <w:color w:val="000000"/>
                <w:sz w:val="96"/>
              </w:rPr>
              <w:t>}</w:t>
            </w:r>
          </w:p>
          <w:p>
            <w:pPr>
              <w:spacing w:before="0" w:after="0"/>
              <w:ind w:left="160"/>
              <w:jc w:val="center"/>
            </w:pPr>
            <w:r>
              <w:rPr>
                <w:rFonts w:ascii="Times New Roman" w:hAnsi="Times New Roman"/>
                <w:b w:val="false"/>
                <w:i w:val="false"/>
                <w:color w:val="000000"/>
                <w:sz w:val="96"/>
              </w:rPr>
              <w:t> </w:t>
            </w:r>
          </w:p>
        </w:tc>
        <w:tc>
          <w:tcPr>
            <w:tcW w:w="4850" w:type="dxa"/>
            <w:tcBorders/>
            <w:tcMar>
              <w:top w:w="30" w:type="dxa"/>
              <w:left w:w="30" w:type="dxa"/>
              <w:bottom w:w="15" w:type="dxa"/>
              <w:right w:w="30" w:type="dxa"/>
            </w:tcMar>
            <w:vAlign w:val="center"/>
          </w:tcPr>
          <w:p>
            <w:pPr>
              <w:spacing w:before="0" w:after="0"/>
              <w:ind w:left="160"/>
              <w:jc w:val="center"/>
            </w:pPr>
            <w:r>
              <w:rPr>
                <w:rFonts w:ascii="Times New Roman" w:hAnsi="Times New Roman"/>
                <w:b w:val="false"/>
                <w:i w:val="false"/>
                <w:color w:val="000000"/>
                <w:sz w:val="16"/>
              </w:rPr>
              <w:t>PETITION FOR</w:t>
            </w:r>
          </w:p>
          <w:p>
            <w:pPr>
              <w:spacing w:before="0" w:after="0"/>
              <w:ind w:left="160"/>
              <w:jc w:val="center"/>
            </w:pPr>
            <w:r>
              <w:rPr>
                <w:rFonts w:ascii="Times New Roman" w:hAnsi="Times New Roman"/>
                <w:b w:val="false"/>
                <w:i w:val="false"/>
                <w:color w:val="000000"/>
                <w:sz w:val="16"/>
              </w:rPr>
              <w:t>INTERVENTION</w:t>
            </w:r>
          </w:p>
        </w:tc>
      </w:tr>
    </w:tbl>
    <w:p>
      <w:pPr>
        <w:spacing w:before="0" w:after="0"/>
        <w:ind w:left="120"/>
        <w:jc w:val="both"/>
      </w:pPr>
      <w:r>
        <w:rPr>
          <w:rFonts w:ascii="Times New Roman" w:hAnsi="Times New Roman"/>
          <w:b w:val="false"/>
          <w:i w:val="false"/>
          <w:color w:val="000000"/>
          <w:sz w:val="22"/>
        </w:rPr>
        <w:t>The petition for intervention must provide the following information:</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Facts supporting the intervenor’s standing and qualifications for intervention.</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 citation and the relevant language of any additional statutes, rules, or orders and any other, additional, relevant law.</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answers to the original summary of the reasons urged by the intervenor in support of those answers.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Reasons for requesting intervention and disclosure of the intervenor’s interest in the outcome.</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A statement indicating whether the intervenor is currently a party to any proceeding involving the questions at issue and whether, to the intervenor’s knowledge, those questions have been decided by, are pending determination by, or are under investigation by, any governmental entity.</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The names and addresses of any additional persons, or a description of any class of persons, known by intervenor to be affected by, or interested in, the questions presented.</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Whether the intervenor consents to be bound by the determination of the matters presented in the declaratory order proceeding.</w:t>
      </w:r>
    </w:p>
    <w:p>
      <w:pPr>
        <w:spacing w:before="0" w:after="0"/>
        <w:ind w:left="120"/>
        <w:jc w:val="both"/>
      </w:pPr>
      <w:r>
        <w:rPr>
          <w:rFonts w:ascii="Times New Roman" w:hAnsi="Times New Roman"/>
          <w:b w:val="false"/>
          <w:i w:val="false"/>
          <w:color w:val="000000"/>
          <w:sz w:val="22"/>
        </w:rPr>
        <w:t>The petition must be dated and signed by the intervenor or the intervenor’s representative. It must also include the name, mailing address, and telephone number of the intervenor and intervenor’s representative, and a statement indicating the person to whom communications concerning the petition should be directed.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0734C</w:t>
      </w:r>
      <w:r>
        <w:rPr>
          <w:rFonts w:ascii="Times New Roman" w:hAnsi="Times New Roman"/>
          <w:b w:val="false"/>
          <w:i w:val="false"/>
          <w:color w:val="000000"/>
          <w:sz w:val="16"/>
        </w:rPr>
        <w:t>, IAB 5/15/13, effective 6/19/13</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3/6/24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491—2.23</w:t>
      </w:r>
      <w:r>
        <w:rPr>
          <w:rFonts w:ascii="Times New Roman" w:hAnsi="Times New Roman"/>
          <w:b/>
          <w:i w:val="false"/>
          <w:color w:val="000000"/>
          <w:sz w:val="22"/>
        </w:rPr>
        <w:t xml:space="preserve">(17A) </w:t>
      </w:r>
      <w:r>
        <w:rPr>
          <w:rFonts w:ascii="Times New Roman" w:hAnsi="Times New Roman"/>
          <w:b/>
          <w:i w:val="false"/>
          <w:color w:val="000000"/>
          <w:sz w:val="22"/>
        </w:rPr>
        <w:t xml:space="preserve">Briefs. </w:t>
      </w:r>
      <w:r>
        <w:rPr>
          <w:rFonts w:ascii="Times New Roman" w:hAnsi="Times New Roman"/>
          <w:b w:val="false"/>
          <w:i w:val="false"/>
          <w:color w:val="000000"/>
          <w:sz w:val="22"/>
        </w:rPr>
        <w:t>The petitioner or any intervenor may file a brief in support of the position urged. The commission may request a brief from the petitioner, any intervenor, or any other person concerning the questions raised.</w:t>
      </w:r>
    </w:p>
    <w:p>
      <w:pPr>
        <w:spacing w:before="0" w:after="0"/>
        <w:ind w:left="120"/>
        <w:jc w:val="both"/>
      </w:pPr>
      <w:r>
        <w:rPr>
          <w:rFonts w:ascii="Times New Roman" w:hAnsi="Times New Roman"/>
          <w:b/>
          <w:i w:val="false"/>
          <w:color w:val="000000"/>
          <w:sz w:val="22"/>
        </w:rPr>
        <w:t>491—2.24</w:t>
      </w:r>
      <w:r>
        <w:rPr>
          <w:rFonts w:ascii="Times New Roman" w:hAnsi="Times New Roman"/>
          <w:b/>
          <w:i w:val="false"/>
          <w:color w:val="000000"/>
          <w:sz w:val="22"/>
        </w:rPr>
        <w:t xml:space="preserve">(17A) </w:t>
      </w:r>
      <w:r>
        <w:rPr>
          <w:rFonts w:ascii="Times New Roman" w:hAnsi="Times New Roman"/>
          <w:b/>
          <w:i w:val="false"/>
          <w:color w:val="000000"/>
          <w:sz w:val="22"/>
        </w:rPr>
        <w:t xml:space="preserve">Inquiries. </w:t>
      </w:r>
      <w:r>
        <w:rPr>
          <w:rFonts w:ascii="Times New Roman" w:hAnsi="Times New Roman"/>
          <w:b w:val="false"/>
          <w:i w:val="false"/>
          <w:color w:val="000000"/>
          <w:sz w:val="22"/>
        </w:rPr>
        <w:t>Inquiries concerning the status of a declaratory order proceeding may be made to the Administrator, Racing and Gaming Commission, 6200 Park Avenue, Suite 100, Des Moines, Iowa 50321.</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0734C</w:t>
      </w:r>
      <w:r>
        <w:rPr>
          <w:rFonts w:ascii="Times New Roman" w:hAnsi="Times New Roman"/>
          <w:b w:val="false"/>
          <w:i w:val="false"/>
          <w:color w:val="000000"/>
          <w:sz w:val="16"/>
        </w:rPr>
        <w:t>, IAB 5/15/13, effective 6/19/13</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3/6/24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491—2.25</w:t>
      </w:r>
      <w:r>
        <w:rPr>
          <w:rFonts w:ascii="Times New Roman" w:hAnsi="Times New Roman"/>
          <w:b/>
          <w:i w:val="false"/>
          <w:color w:val="000000"/>
          <w:sz w:val="22"/>
        </w:rPr>
        <w:t xml:space="preserve">(17A) </w:t>
      </w:r>
      <w:r>
        <w:rPr>
          <w:rFonts w:ascii="Times New Roman" w:hAnsi="Times New Roman"/>
          <w:b/>
          <w:i w:val="false"/>
          <w:color w:val="000000"/>
          <w:sz w:val="22"/>
        </w:rPr>
        <w:t xml:space="preserve">Service and filing of petitions and other papers.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2.25(1)</w:t>
      </w:r>
      <w:r>
        <w:rPr>
          <w:rFonts w:ascii="Times New Roman" w:hAnsi="Times New Roman"/>
          <w:b w:val="false"/>
          <w:i w:val="false"/>
          <w:color w:val="000000"/>
          <w:sz w:val="22"/>
        </w:rPr>
        <w:t> </w:t>
      </w:r>
      <w:r>
        <w:rPr>
          <w:rFonts w:ascii="Times New Roman" w:hAnsi="Times New Roman"/>
          <w:b w:val="false"/>
          <w:i/>
          <w:color w:val="000000"/>
          <w:sz w:val="22"/>
        </w:rPr>
        <w:t xml:space="preserve">When service required. </w:t>
      </w:r>
      <w:r>
        <w:rPr>
          <w:rFonts w:ascii="Times New Roman" w:hAnsi="Times New Roman"/>
          <w:b w:val="false"/>
          <w:i w:val="false"/>
          <w:color w:val="000000"/>
          <w:sz w:val="22"/>
        </w:rPr>
        <w:t>Except where otherwise provided by law, every petition for declaratory order, petition for intervention, brief, or other paper filed in a proceeding for a declaratory order shall be served upon each of the parties of record to the proceeding, and on all other persons identified in the petition for declaratory order or petition for intervention as affected by or interested in the questions presented, simultaneously with their filing. The party filing a document is responsible for service on all parties and other affected or interested persons.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2.25(2)</w:t>
      </w:r>
      <w:r>
        <w:rPr>
          <w:rFonts w:ascii="Times New Roman" w:hAnsi="Times New Roman"/>
          <w:b w:val="false"/>
          <w:i w:val="false"/>
          <w:color w:val="000000"/>
          <w:sz w:val="22"/>
        </w:rPr>
        <w:t> </w:t>
      </w:r>
      <w:r>
        <w:rPr>
          <w:rFonts w:ascii="Times New Roman" w:hAnsi="Times New Roman"/>
          <w:b w:val="false"/>
          <w:i/>
          <w:color w:val="000000"/>
          <w:sz w:val="22"/>
        </w:rPr>
        <w:t xml:space="preserve">Filing—when required. </w:t>
      </w:r>
      <w:r>
        <w:rPr>
          <w:rFonts w:ascii="Times New Roman" w:hAnsi="Times New Roman"/>
          <w:b w:val="false"/>
          <w:i w:val="false"/>
          <w:color w:val="000000"/>
          <w:sz w:val="22"/>
        </w:rPr>
        <w:t>All petitions for declaratory orders, petitions for intervention, briefs, or other papers in a proceeding for a declaratory order shall be filed with the Racing and Gaming Commission Office, 6200 Park Avenue, Suite 100, Des Moines, Iowa 50321. All petitions, briefs, or other papers that are required to be served upon a party shall be filed simultaneously with the commission.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0734C</w:t>
      </w:r>
      <w:r>
        <w:rPr>
          <w:rFonts w:ascii="Times New Roman" w:hAnsi="Times New Roman"/>
          <w:b w:val="false"/>
          <w:i w:val="false"/>
          <w:color w:val="000000"/>
          <w:sz w:val="16"/>
        </w:rPr>
        <w:t>, IAB 5/15/13, effective 6/19/13</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3/6/24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491—2.26</w:t>
      </w:r>
      <w:r>
        <w:rPr>
          <w:rFonts w:ascii="Times New Roman" w:hAnsi="Times New Roman"/>
          <w:b/>
          <w:i w:val="false"/>
          <w:color w:val="000000"/>
          <w:sz w:val="22"/>
        </w:rPr>
        <w:t xml:space="preserve">(17A) </w:t>
      </w:r>
      <w:r>
        <w:rPr>
          <w:rFonts w:ascii="Times New Roman" w:hAnsi="Times New Roman"/>
          <w:b/>
          <w:i w:val="false"/>
          <w:color w:val="000000"/>
          <w:sz w:val="22"/>
        </w:rPr>
        <w:t xml:space="preserve">Consideration. </w:t>
      </w:r>
      <w:r>
        <w:rPr>
          <w:rFonts w:ascii="Times New Roman" w:hAnsi="Times New Roman"/>
          <w:b w:val="false"/>
          <w:i w:val="false"/>
          <w:color w:val="000000"/>
          <w:sz w:val="22"/>
        </w:rPr>
        <w:t>Upon request by petitioner, the commission must schedule a brief and informal meeting between the original petitioner, all intervenors, and the commission, a member of the commission, or a member of the staff of the commission, to discuss the questions raised. The commission may solicit comments from any person on the questions raised. Also, comments on the questions raised may be submitted to the commission by any person.</w:t>
      </w:r>
    </w:p>
    <w:p>
      <w:pPr>
        <w:spacing w:before="0" w:after="0"/>
        <w:ind w:left="120"/>
        <w:jc w:val="both"/>
      </w:pPr>
      <w:r>
        <w:rPr>
          <w:rFonts w:ascii="Times New Roman" w:hAnsi="Times New Roman"/>
          <w:b/>
          <w:i w:val="false"/>
          <w:color w:val="000000"/>
          <w:sz w:val="22"/>
        </w:rPr>
        <w:t>491—2.27</w:t>
      </w:r>
      <w:r>
        <w:rPr>
          <w:rFonts w:ascii="Times New Roman" w:hAnsi="Times New Roman"/>
          <w:b/>
          <w:i w:val="false"/>
          <w:color w:val="000000"/>
          <w:sz w:val="22"/>
        </w:rPr>
        <w:t xml:space="preserve">(17A) </w:t>
      </w:r>
      <w:r>
        <w:rPr>
          <w:rFonts w:ascii="Times New Roman" w:hAnsi="Times New Roman"/>
          <w:b/>
          <w:i w:val="false"/>
          <w:color w:val="000000"/>
          <w:sz w:val="22"/>
        </w:rPr>
        <w:t xml:space="preserve">Action on petition.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2.27(1)</w:t>
      </w:r>
      <w:r>
        <w:rPr>
          <w:rFonts w:ascii="Times New Roman" w:hAnsi="Times New Roman"/>
          <w:b w:val="false"/>
          <w:i w:val="false"/>
          <w:color w:val="000000"/>
          <w:sz w:val="22"/>
        </w:rPr>
        <w:t> </w:t>
      </w:r>
      <w:r>
        <w:rPr>
          <w:rFonts w:ascii="Times New Roman" w:hAnsi="Times New Roman"/>
          <w:b w:val="false"/>
          <w:i w:val="false"/>
          <w:color w:val="000000"/>
          <w:sz w:val="22"/>
        </w:rPr>
        <w:t xml:space="preserve">Within the time allowed by Iowa Code section </w:t>
      </w:r>
      <w:hyperlink r:id="rId37">
        <w:r>
          <w:rPr>
            <w:rStyle w:val="Hyperlink"/>
            <w:rFonts w:ascii="Times New Roman" w:hAnsi="Times New Roman"/>
            <w:b w:val="false"/>
            <w:i w:val="false"/>
            <w:color w:val="000000"/>
            <w:sz w:val="22"/>
          </w:rPr>
          <w:t>17A.9(5)</w:t>
        </w:r>
      </w:hyperlink>
      <w:r>
        <w:rPr>
          <w:rFonts w:ascii="Times New Roman" w:hAnsi="Times New Roman"/>
          <w:b w:val="false"/>
          <w:i w:val="false"/>
          <w:color w:val="000000"/>
          <w:sz w:val="22"/>
        </w:rPr>
        <w:t xml:space="preserve">, after receipt of a petition for a declaratory order, the administrator or designee shall take action on the petition as required by Iowa Code section </w:t>
      </w:r>
      <w:hyperlink r:id="rId38">
        <w:r>
          <w:rPr>
            <w:rStyle w:val="Hyperlink"/>
            <w:rFonts w:ascii="Times New Roman" w:hAnsi="Times New Roman"/>
            <w:b w:val="false"/>
            <w:i w:val="false"/>
            <w:color w:val="000000"/>
            <w:sz w:val="22"/>
          </w:rPr>
          <w:t>17A.9(5)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2.27(2)</w:t>
      </w:r>
      <w:r>
        <w:rPr>
          <w:rFonts w:ascii="Times New Roman" w:hAnsi="Times New Roman"/>
          <w:b w:val="false"/>
          <w:i w:val="false"/>
          <w:color w:val="000000"/>
          <w:sz w:val="22"/>
        </w:rPr>
        <w:t> </w:t>
      </w:r>
      <w:r>
        <w:rPr>
          <w:rFonts w:ascii="Times New Roman" w:hAnsi="Times New Roman"/>
          <w:b w:val="false"/>
          <w:i w:val="false"/>
          <w:color w:val="000000"/>
          <w:sz w:val="22"/>
        </w:rPr>
        <w:t>The date of issuance of an order or of a refusal to issue an order is defined as the date of mailing of a decision or order or date of delivery if service is by other means unless another date is specified in the order.</w:t>
      </w:r>
    </w:p>
    <w:p>
      <w:pPr>
        <w:spacing w:before="0" w:after="0"/>
        <w:ind w:left="120"/>
        <w:jc w:val="both"/>
      </w:pPr>
      <w:r>
        <w:rPr>
          <w:rFonts w:ascii="Times New Roman" w:hAnsi="Times New Roman"/>
          <w:b/>
          <w:i w:val="false"/>
          <w:color w:val="000000"/>
          <w:sz w:val="22"/>
        </w:rPr>
        <w:t>491—2.28</w:t>
      </w:r>
      <w:r>
        <w:rPr>
          <w:rFonts w:ascii="Times New Roman" w:hAnsi="Times New Roman"/>
          <w:b/>
          <w:i w:val="false"/>
          <w:color w:val="000000"/>
          <w:sz w:val="22"/>
        </w:rPr>
        <w:t xml:space="preserve">(17A) </w:t>
      </w:r>
      <w:r>
        <w:rPr>
          <w:rFonts w:ascii="Times New Roman" w:hAnsi="Times New Roman"/>
          <w:b/>
          <w:i w:val="false"/>
          <w:color w:val="000000"/>
          <w:sz w:val="22"/>
        </w:rPr>
        <w:t xml:space="preserve">Refusal to issue order.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2.28(1)</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commission shall not issue a declaratory order where prohibited by Iowa Code section </w:t>
      </w:r>
      <w:hyperlink r:id="rId39">
        <w:r>
          <w:rPr>
            <w:rStyle w:val="Hyperlink"/>
            <w:rFonts w:ascii="Times New Roman" w:hAnsi="Times New Roman"/>
            <w:b w:val="false"/>
            <w:i w:val="false"/>
            <w:color w:val="000000"/>
            <w:sz w:val="22"/>
          </w:rPr>
          <w:t>17A.9(1)</w:t>
        </w:r>
      </w:hyperlink>
      <w:r>
        <w:rPr>
          <w:rFonts w:ascii="Times New Roman" w:hAnsi="Times New Roman"/>
          <w:b w:val="false"/>
          <w:i w:val="false"/>
          <w:color w:val="000000"/>
          <w:sz w:val="22"/>
        </w:rPr>
        <w:t xml:space="preserve"> and may refuse to issue a declaratory order on some or all questions raised for the following reasons.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petition does not substantially comply with the required form.</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petition does not contain facts sufficient to demonstrate that the petitioner will be aggrieved or adversely affected by the failure of the commission to issue an order.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commission does not have jurisdiction over the questions presented in the petition.</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The questions presented by the petition are also presented in a current rulemaking, contested case, or other commission or judicial proceeding, that may definitively resolve them.</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The questions presented by the petition would more properly be resolved in a different type of proceeding or by another body with jurisdiction over the matter.</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The facts or questions presented in the petition are unclear, overbroad, insufficient, or otherwise inappropriate as a basis upon which to issue an order.</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There is no need to issue an order because the questions raised in the petition have been settled due to a change in circumstances.</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The petition is not based upon facts calculated to aid in the planning of future conduct but is, instead, based solely upon prior conduct in an effort to establish the effect of that conduct or to challenge a commission decision already made.</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The petition requests a declaratory order that would necessarily determine the legal rights, duties, or responsibilities of other persons who have not joined in the petition, intervened separately, or filed a similar petition and whose position on the questions presented may fairly be presumed to be adverse to that of petitioner.</w:t>
      </w:r>
    </w:p>
    <w:p>
      <w:pPr>
        <w:spacing w:before="0" w:after="0"/>
        <w:ind w:left="120"/>
        <w:jc w:val="both"/>
      </w:pPr>
      <w:r>
        <w:rPr>
          <w:rFonts w:ascii="Times New Roman" w:hAnsi="Times New Roman"/>
          <w:b w:val="false"/>
          <w:i w:val="false"/>
          <w:color w:val="000000"/>
          <w:sz w:val="22"/>
        </w:rPr>
        <w:t>     10.   </w:t>
      </w:r>
      <w:r>
        <w:rPr>
          <w:rFonts w:ascii="Times New Roman" w:hAnsi="Times New Roman"/>
          <w:b w:val="false"/>
          <w:i w:val="false"/>
          <w:color w:val="000000"/>
          <w:sz w:val="22"/>
        </w:rPr>
        <w:t>The petitioner requests the commission to determine whether a statute is unconstitutional on its face.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2.28(2)</w:t>
      </w:r>
      <w:r>
        <w:rPr>
          <w:rFonts w:ascii="Times New Roman" w:hAnsi="Times New Roman"/>
          <w:b w:val="false"/>
          <w:i w:val="false"/>
          <w:color w:val="000000"/>
          <w:sz w:val="22"/>
        </w:rPr>
        <w:t> </w:t>
      </w:r>
      <w:r>
        <w:rPr>
          <w:rFonts w:ascii="Times New Roman" w:hAnsi="Times New Roman"/>
          <w:b w:val="false"/>
          <w:i w:val="false"/>
          <w:color w:val="000000"/>
          <w:sz w:val="22"/>
        </w:rPr>
        <w:t>A refusal to issue a declaratory order must indicate the specific grounds for the refusal and constitutes final commission action on the petition.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2.28(3)</w:t>
      </w:r>
      <w:r>
        <w:rPr>
          <w:rFonts w:ascii="Times New Roman" w:hAnsi="Times New Roman"/>
          <w:b w:val="false"/>
          <w:i w:val="false"/>
          <w:color w:val="000000"/>
          <w:sz w:val="22"/>
        </w:rPr>
        <w:t> </w:t>
      </w:r>
      <w:r>
        <w:rPr>
          <w:rFonts w:ascii="Times New Roman" w:hAnsi="Times New Roman"/>
          <w:b w:val="false"/>
          <w:i w:val="false"/>
          <w:color w:val="000000"/>
          <w:sz w:val="22"/>
        </w:rPr>
        <w:t>Refusal to issue a declaratory order pursuant to this provision does not preclude the filing of a new petition that seeks to eliminate the grounds for the refusal to issue an order.</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3/6/24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491—2.29</w:t>
      </w:r>
      <w:r>
        <w:rPr>
          <w:rFonts w:ascii="Times New Roman" w:hAnsi="Times New Roman"/>
          <w:b/>
          <w:i w:val="false"/>
          <w:color w:val="000000"/>
          <w:sz w:val="22"/>
        </w:rPr>
        <w:t xml:space="preserve">(17A) </w:t>
      </w:r>
      <w:r>
        <w:rPr>
          <w:rFonts w:ascii="Times New Roman" w:hAnsi="Times New Roman"/>
          <w:b/>
          <w:i w:val="false"/>
          <w:color w:val="000000"/>
          <w:sz w:val="22"/>
        </w:rPr>
        <w:t xml:space="preserve">Contents of declaratory order—effective date. </w:t>
      </w:r>
      <w:r>
        <w:rPr>
          <w:rFonts w:ascii="Times New Roman" w:hAnsi="Times New Roman"/>
          <w:b w:val="false"/>
          <w:i w:val="false"/>
          <w:color w:val="000000"/>
          <w:sz w:val="22"/>
        </w:rPr>
        <w:t>In addition to the order itself, a declaratory order must contain the date of its issuance, the name of petitioner and all intervenors, the specific statutes, rules, policies, decisions, or orders involved, the particular facts upon which it is based, and the reasons for its conclusion. A declaratory order is effective on the date of issuance.</w:t>
      </w:r>
    </w:p>
    <w:p>
      <w:pPr>
        <w:spacing w:before="210" w:after="0"/>
        <w:ind w:left="120"/>
        <w:jc w:val="both"/>
      </w:pPr>
      <w:r>
        <w:rPr>
          <w:rFonts w:ascii="Times New Roman" w:hAnsi="Times New Roman"/>
          <w:b/>
          <w:i w:val="false"/>
          <w:color w:val="000000"/>
          <w:sz w:val="22"/>
        </w:rPr>
        <w:t>491—2.30</w:t>
      </w:r>
      <w:r>
        <w:rPr>
          <w:rFonts w:ascii="Times New Roman" w:hAnsi="Times New Roman"/>
          <w:b/>
          <w:i w:val="false"/>
          <w:color w:val="000000"/>
          <w:sz w:val="22"/>
        </w:rPr>
        <w:t xml:space="preserve">(17A) </w:t>
      </w:r>
      <w:r>
        <w:rPr>
          <w:rFonts w:ascii="Times New Roman" w:hAnsi="Times New Roman"/>
          <w:b/>
          <w:i w:val="false"/>
          <w:color w:val="000000"/>
          <w:sz w:val="22"/>
        </w:rPr>
        <w:t xml:space="preserve">Copies of orders. </w:t>
      </w:r>
      <w:r>
        <w:rPr>
          <w:rFonts w:ascii="Times New Roman" w:hAnsi="Times New Roman"/>
          <w:b w:val="false"/>
          <w:i w:val="false"/>
          <w:color w:val="000000"/>
          <w:sz w:val="22"/>
        </w:rPr>
        <w:t>A copy of all orders issued in response to a petition for a declaratory order shall be mailed promptly to the original petitioner and all intervenors.</w:t>
      </w:r>
    </w:p>
    <w:p>
      <w:pPr>
        <w:spacing w:before="210" w:after="0"/>
        <w:ind w:left="120"/>
        <w:jc w:val="both"/>
      </w:pPr>
      <w:r>
        <w:rPr>
          <w:rFonts w:ascii="Times New Roman" w:hAnsi="Times New Roman"/>
          <w:b/>
          <w:i w:val="false"/>
          <w:color w:val="000000"/>
          <w:sz w:val="22"/>
        </w:rPr>
        <w:t>491—2.31</w:t>
      </w:r>
      <w:r>
        <w:rPr>
          <w:rFonts w:ascii="Times New Roman" w:hAnsi="Times New Roman"/>
          <w:b/>
          <w:i w:val="false"/>
          <w:color w:val="000000"/>
          <w:sz w:val="22"/>
        </w:rPr>
        <w:t xml:space="preserve">(17A) </w:t>
      </w:r>
      <w:r>
        <w:rPr>
          <w:rFonts w:ascii="Times New Roman" w:hAnsi="Times New Roman"/>
          <w:b/>
          <w:i w:val="false"/>
          <w:color w:val="000000"/>
          <w:sz w:val="22"/>
        </w:rPr>
        <w:t xml:space="preserve">Effect of a declaratory order. </w:t>
      </w:r>
      <w:r>
        <w:rPr>
          <w:rFonts w:ascii="Times New Roman" w:hAnsi="Times New Roman"/>
          <w:b w:val="false"/>
          <w:i w:val="false"/>
          <w:color w:val="000000"/>
          <w:sz w:val="22"/>
        </w:rPr>
        <w:t>A declaratory order has the same status and binding effect as a final order issued in a contested case proceeding. It is binding on the commission, the petitioner, and any intervenors (who consent to be bound) and is applicable only in circumstances where the relevant facts and the law involved are indistinguishable from those on which the order was based. As to all other persons, a declaratory order serves only as precedent and is not binding on the commission. The issuance of a declaratory order constitutes final commission action on the petition.</w:t>
      </w:r>
    </w:p>
    <w:p>
      <w:pPr>
        <w:spacing w:before="0" w:after="0"/>
        <w:ind w:left="120"/>
        <w:jc w:val="left"/>
      </w:pPr>
      <w:r>
        <w:rPr>
          <w:rFonts w:ascii="Times New Roman" w:hAnsi="Times New Roman"/>
          <w:b w:val="false"/>
          <w:i w:val="false"/>
          <w:color w:val="000000"/>
          <w:sz w:val="22"/>
        </w:rPr>
        <w:t xml:space="preserve">These rules are intended to implement Iowa Code chapters </w:t>
      </w:r>
      <w:hyperlink r:id="rId40">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hyperlink r:id="rId41">
        <w:r>
          <w:rPr>
            <w:rStyle w:val="Hyperlink"/>
            <w:rFonts w:ascii="Times New Roman" w:hAnsi="Times New Roman"/>
            <w:b w:val="false"/>
            <w:i w:val="false"/>
            <w:color w:val="000000"/>
            <w:sz w:val="22"/>
          </w:rPr>
          <w:t>99D</w:t>
        </w:r>
      </w:hyperlink>
      <w:r>
        <w:rPr>
          <w:rFonts w:ascii="Times New Roman" w:hAnsi="Times New Roman"/>
          <w:b w:val="false"/>
          <w:i w:val="false"/>
          <w:color w:val="000000"/>
          <w:sz w:val="22"/>
        </w:rPr>
        <w:t xml:space="preserve"> and </w:t>
      </w:r>
      <w:hyperlink r:id="rId42">
        <w:r>
          <w:rPr>
            <w:rStyle w:val="Hyperlink"/>
            <w:rFonts w:ascii="Times New Roman" w:hAnsi="Times New Roman"/>
            <w:b w:val="false"/>
            <w:i w:val="false"/>
            <w:color w:val="000000"/>
            <w:sz w:val="22"/>
          </w:rPr>
          <w:t>99F</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5/18/84, Notice 4/11/84—published 6/6/84, effective 7/13/84]</w:t>
      </w:r>
    </w:p>
    <w:p>
      <w:pPr>
        <w:spacing w:before="0" w:after="0"/>
        <w:ind w:left="120"/>
        <w:jc w:val="center"/>
      </w:pPr>
      <w:r>
        <w:rPr>
          <w:rFonts w:ascii="Times New Roman" w:hAnsi="Times New Roman"/>
          <w:b w:val="false"/>
          <w:i w:val="false"/>
          <w:color w:val="000000"/>
          <w:sz w:val="21"/>
        </w:rPr>
        <w:t>[Filed emergency 10/20/86—published 11/19/86, effective 10/20/86]</w:t>
      </w:r>
    </w:p>
    <w:p>
      <w:pPr>
        <w:spacing w:before="0" w:after="0"/>
        <w:ind w:left="120"/>
        <w:jc w:val="center"/>
      </w:pPr>
      <w:r>
        <w:rPr>
          <w:rFonts w:ascii="Times New Roman" w:hAnsi="Times New Roman"/>
          <w:b w:val="false"/>
          <w:i w:val="false"/>
          <w:color w:val="000000"/>
          <w:sz w:val="21"/>
        </w:rPr>
        <w:t>[Filed 10/23/87, Notice 9/9/87—published 11/18/87, effective 12/23/87]</w:t>
      </w:r>
    </w:p>
    <w:p>
      <w:pPr>
        <w:spacing w:before="0" w:after="0"/>
        <w:ind w:left="120"/>
        <w:jc w:val="center"/>
      </w:pPr>
      <w:r>
        <w:rPr>
          <w:rFonts w:ascii="Times New Roman" w:hAnsi="Times New Roman"/>
          <w:b w:val="false"/>
          <w:i w:val="false"/>
          <w:color w:val="000000"/>
          <w:sz w:val="21"/>
        </w:rPr>
        <w:t>[Filed emergency 9/1/88—published 9/21/88, effective 9/1/88]</w:t>
      </w:r>
    </w:p>
    <w:p>
      <w:pPr>
        <w:spacing w:before="0" w:after="0"/>
        <w:ind w:left="120"/>
        <w:jc w:val="center"/>
      </w:pPr>
      <w:r>
        <w:rPr>
          <w:rFonts w:ascii="Times New Roman" w:hAnsi="Times New Roman"/>
          <w:b w:val="false"/>
          <w:i w:val="false"/>
          <w:color w:val="000000"/>
          <w:sz w:val="21"/>
        </w:rPr>
        <w:t>[Filed 11/4/88, Notice 9/21/88—published 11/30/88, effective 1/4/89]</w:t>
      </w:r>
    </w:p>
    <w:p>
      <w:pPr>
        <w:spacing w:before="0" w:after="0"/>
        <w:ind w:left="120"/>
        <w:jc w:val="center"/>
      </w:pPr>
      <w:r>
        <w:rPr>
          <w:rFonts w:ascii="Times New Roman" w:hAnsi="Times New Roman"/>
          <w:b w:val="false"/>
          <w:i w:val="false"/>
          <w:color w:val="000000"/>
          <w:sz w:val="21"/>
        </w:rPr>
        <w:t>[Filed 2/16/90, Notice 12/27/89—published 3/7/90, effective 4/11/90]</w:t>
      </w:r>
    </w:p>
    <w:p>
      <w:pPr>
        <w:spacing w:before="0" w:after="0"/>
        <w:ind w:left="120"/>
        <w:jc w:val="center"/>
      </w:pPr>
      <w:r>
        <w:rPr>
          <w:rFonts w:ascii="Times New Roman" w:hAnsi="Times New Roman"/>
          <w:b w:val="false"/>
          <w:i w:val="false"/>
          <w:color w:val="000000"/>
          <w:sz w:val="21"/>
        </w:rPr>
        <w:t>[Filed 2/15/91, Notice 1/9/91—published 3/6/91, effective 4/10/91]</w:t>
      </w:r>
    </w:p>
    <w:p>
      <w:pPr>
        <w:spacing w:before="0" w:after="0"/>
        <w:ind w:left="120"/>
        <w:jc w:val="center"/>
      </w:pPr>
      <w:r>
        <w:rPr>
          <w:rFonts w:ascii="Times New Roman" w:hAnsi="Times New Roman"/>
          <w:b w:val="false"/>
          <w:i w:val="false"/>
          <w:color w:val="000000"/>
          <w:sz w:val="21"/>
        </w:rPr>
        <w:t>[Filed 7/22/94, Notice 6/8/94—published 8/17/94, effective 9/21/94]</w:t>
      </w:r>
    </w:p>
    <w:p>
      <w:pPr>
        <w:spacing w:before="0" w:after="0"/>
        <w:ind w:left="120"/>
        <w:jc w:val="center"/>
      </w:pPr>
      <w:r>
        <w:rPr>
          <w:rFonts w:ascii="Times New Roman" w:hAnsi="Times New Roman"/>
          <w:b w:val="false"/>
          <w:i w:val="false"/>
          <w:color w:val="000000"/>
          <w:sz w:val="21"/>
        </w:rPr>
        <w:t>[Filed 4/10/97, Notice 2/12/97—published 5/7/97, effective 6/11/97]</w:t>
      </w:r>
    </w:p>
    <w:p>
      <w:pPr>
        <w:spacing w:before="0" w:after="0"/>
        <w:ind w:left="120"/>
        <w:jc w:val="center"/>
      </w:pPr>
      <w:r>
        <w:rPr>
          <w:rFonts w:ascii="Times New Roman" w:hAnsi="Times New Roman"/>
          <w:b w:val="false"/>
          <w:i w:val="false"/>
          <w:color w:val="000000"/>
          <w:sz w:val="21"/>
        </w:rPr>
        <w:t>[Filed 8/22/97, Notice 7/16/97—published 9/10/97, effective 10/15/97]</w:t>
      </w:r>
    </w:p>
    <w:p>
      <w:pPr>
        <w:spacing w:before="0" w:after="0"/>
        <w:ind w:left="120"/>
        <w:jc w:val="center"/>
      </w:pPr>
      <w:r>
        <w:rPr>
          <w:rFonts w:ascii="Times New Roman" w:hAnsi="Times New Roman"/>
          <w:b w:val="false"/>
          <w:i w:val="false"/>
          <w:color w:val="000000"/>
          <w:sz w:val="21"/>
        </w:rPr>
        <w:t>[Filed 5/21/99, Notice 3/24/99—published 6/16/99, effective 7/21/99]</w:t>
      </w:r>
    </w:p>
    <w:p>
      <w:pPr>
        <w:spacing w:before="0" w:after="0"/>
        <w:ind w:left="120"/>
        <w:jc w:val="center"/>
      </w:pPr>
      <w:r>
        <w:rPr>
          <w:rFonts w:ascii="Times New Roman" w:hAnsi="Times New Roman"/>
          <w:b w:val="false"/>
          <w:i w:val="false"/>
          <w:color w:val="000000"/>
          <w:sz w:val="21"/>
        </w:rPr>
        <w:t>[Filed 7/18/02, Notice 6/12/02—published 8/7/02, effective 9/11/02]</w:t>
      </w:r>
    </w:p>
    <w:p>
      <w:pPr>
        <w:spacing w:before="0" w:after="0"/>
        <w:ind w:left="120"/>
        <w:jc w:val="center"/>
      </w:pPr>
      <w:r>
        <w:rPr>
          <w:rFonts w:ascii="Times New Roman" w:hAnsi="Times New Roman"/>
          <w:b w:val="false"/>
          <w:i w:val="false"/>
          <w:color w:val="000000"/>
          <w:sz w:val="21"/>
        </w:rPr>
        <w:t>[Filed ARC 0734C</w:t>
      </w:r>
      <w:r>
        <w:rPr>
          <w:rFonts w:ascii="Times New Roman" w:hAnsi="Times New Roman"/>
          <w:b w:val="false"/>
          <w:i w:val="false"/>
          <w:color w:val="000000"/>
          <w:sz w:val="21"/>
        </w:rPr>
        <w:t xml:space="preserve"> (Notice ARC 0604C, IAB 2/20/13)</w:t>
      </w:r>
      <w:r>
        <w:rPr>
          <w:rFonts w:ascii="Times New Roman" w:hAnsi="Times New Roman"/>
          <w:b w:val="false"/>
          <w:i w:val="false"/>
          <w:color w:val="000000"/>
          <w:sz w:val="21"/>
        </w:rPr>
        <w:t>, IAB 5/15/13, effective 6/19/13]</w:t>
      </w:r>
    </w:p>
    <w:p>
      <w:pPr>
        <w:spacing w:before="0" w:after="0"/>
        <w:ind w:left="120"/>
        <w:jc w:val="center"/>
      </w:pPr>
      <w:r>
        <w:rPr>
          <w:rFonts w:ascii="Times New Roman" w:hAnsi="Times New Roman"/>
          <w:b w:val="false"/>
          <w:i w:val="false"/>
          <w:color w:val="000000"/>
          <w:sz w:val="21"/>
        </w:rPr>
        <w:t>[Filed ARC 5422C</w:t>
      </w:r>
      <w:r>
        <w:rPr>
          <w:rFonts w:ascii="Times New Roman" w:hAnsi="Times New Roman"/>
          <w:b w:val="false"/>
          <w:i w:val="false"/>
          <w:color w:val="000000"/>
          <w:sz w:val="21"/>
        </w:rPr>
        <w:t xml:space="preserve"> (Notice ARC 5269C, IAB 11/18/20)</w:t>
      </w:r>
      <w:r>
        <w:rPr>
          <w:rFonts w:ascii="Times New Roman" w:hAnsi="Times New Roman"/>
          <w:b w:val="false"/>
          <w:i w:val="false"/>
          <w:color w:val="000000"/>
          <w:sz w:val="21"/>
        </w:rPr>
        <w:t>, IAB 2/10/21, effective 3/17/21]</w:t>
      </w:r>
    </w:p>
    <w:p>
      <w:pPr>
        <w:spacing w:before="0" w:after="0"/>
        <w:ind w:left="120"/>
        <w:jc w:val="center"/>
      </w:pPr>
      <w:r>
        <w:rPr>
          <w:rFonts w:ascii="Times New Roman" w:hAnsi="Times New Roman"/>
          <w:b w:val="false"/>
          <w:i w:val="false"/>
          <w:color w:val="000000"/>
          <w:sz w:val="21"/>
        </w:rPr>
        <w:t>[Editorial change: IAC Supplement 3/6/24]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7A.pdf" Type="http://schemas.openxmlformats.org/officeDocument/2006/relationships/hyperlink" Id="rId5"/>
    <Relationship TargetMode="External" Target="https://www.legis.iowa.gov/docs/ico/chapter/17A.4.pdf" Type="http://schemas.openxmlformats.org/officeDocument/2006/relationships/hyperlink" Id="rId6"/>
    <Relationship TargetMode="External" Target="https://www.legis.iowa.gov/docs/ico/chapter/17A.4.pdf" Type="http://schemas.openxmlformats.org/officeDocument/2006/relationships/hyperlink" Id="rId7"/>
    <Relationship TargetMode="External" Target="https://www.legis.iowa.gov/docs/ico/chapter/17A.4.pdf" Type="http://schemas.openxmlformats.org/officeDocument/2006/relationships/hyperlink" Id="rId8"/>
    <Relationship TargetMode="External" Target="https://www.legis.iowa.gov/docs/iac/rule/491.2.12.pdf" Type="http://schemas.openxmlformats.org/officeDocument/2006/relationships/hyperlink" Id="rId9"/>
    <Relationship TargetMode="External" Target="https://www.legis.iowa.gov/docs/ico/chapter/17A.4.pdf" Type="http://schemas.openxmlformats.org/officeDocument/2006/relationships/hyperlink" Id="rId10"/>
    <Relationship TargetMode="External" Target="https://www.legis.iowa.gov/docs/ico/chapter/17A.4A.pdf" Type="http://schemas.openxmlformats.org/officeDocument/2006/relationships/hyperlink" Id="rId11"/>
    <Relationship TargetMode="External" Target="https://www.legis.iowa.gov/docs/ico/chapter/17A.4A.pdf" Type="http://schemas.openxmlformats.org/officeDocument/2006/relationships/hyperlink" Id="rId12"/>
    <Relationship TargetMode="External" Target="https://www.legis.iowa.gov/docs/ico/chapter/17A.4A.pdf" Type="http://schemas.openxmlformats.org/officeDocument/2006/relationships/hyperlink" Id="rId13"/>
    <Relationship TargetMode="External" Target="https://www.legis.iowa.gov/docs/ico/chapter/17A.4A.pdf" Type="http://schemas.openxmlformats.org/officeDocument/2006/relationships/hyperlink" Id="rId14"/>
    <Relationship TargetMode="External" Target="https://www.legis.iowa.gov/docs/ico/chapter/17A.4A.pdf" Type="http://schemas.openxmlformats.org/officeDocument/2006/relationships/hyperlink" Id="rId15"/>
    <Relationship TargetMode="External" Target="https://www.legis.iowa.gov/docs/ico/chapter/17A.4A.pdf" Type="http://schemas.openxmlformats.org/officeDocument/2006/relationships/hyperlink" Id="rId16"/>
    <Relationship TargetMode="External" Target="https://www.legis.iowa.gov/docs/ico/chapter/17A.4A.pdf" Type="http://schemas.openxmlformats.org/officeDocument/2006/relationships/hyperlink" Id="rId17"/>
    <Relationship TargetMode="External" Target="https://www.legis.iowa.gov/docs/ico/chapter/17A.4A.pdf" Type="http://schemas.openxmlformats.org/officeDocument/2006/relationships/hyperlink" Id="rId18"/>
    <Relationship TargetMode="External" Target="https://www.legis.iowa.gov/docs/ico/chapter/25B.6.pdf" Type="http://schemas.openxmlformats.org/officeDocument/2006/relationships/hyperlink" Id="rId19"/>
    <Relationship TargetMode="External" Target="https://www.legis.iowa.gov/docs/iac/rule/491.2.10.pdf" Type="http://schemas.openxmlformats.org/officeDocument/2006/relationships/hyperlink" Id="rId20"/>
    <Relationship TargetMode="External" Target="https://www.legis.iowa.gov/docs/iac/rule/491.2.10.pdf" Type="http://schemas.openxmlformats.org/officeDocument/2006/relationships/hyperlink" Id="rId21"/>
    <Relationship TargetMode="External" Target="https://www.legis.iowa.gov/docs/iac/rule/491.2.10.pdf" Type="http://schemas.openxmlformats.org/officeDocument/2006/relationships/hyperlink" Id="rId22"/>
    <Relationship TargetMode="External" Target="https://www.legis.iowa.gov/docs/ico/chapter/17A.4.pdf" Type="http://schemas.openxmlformats.org/officeDocument/2006/relationships/hyperlink" Id="rId23"/>
    <Relationship TargetMode="External" Target="https://www.legis.iowa.gov/docs/ico/chapter/17A.4.pdf" Type="http://schemas.openxmlformats.org/officeDocument/2006/relationships/hyperlink" Id="rId24"/>
    <Relationship TargetMode="External" Target="https://www.legis.iowa.gov/docs/ico/chapter/17A.4.pdf" Type="http://schemas.openxmlformats.org/officeDocument/2006/relationships/hyperlink" Id="rId25"/>
    <Relationship TargetMode="External" Target="https://www.legis.iowa.gov/docs/ico/chapter/17A.4.pdf" Type="http://schemas.openxmlformats.org/officeDocument/2006/relationships/hyperlink" Id="rId26"/>
    <Relationship TargetMode="External" Target="https://www.legis.iowa.gov/docs/iac/rule/491.2.13.pdf" Type="http://schemas.openxmlformats.org/officeDocument/2006/relationships/hyperlink" Id="rId27"/>
    <Relationship TargetMode="External" Target="https://www.legis.iowa.gov/docs/ico/chapter/17A.5.pdf" Type="http://schemas.openxmlformats.org/officeDocument/2006/relationships/hyperlink" Id="rId28"/>
    <Relationship TargetMode="External" Target="https://www.legis.iowa.gov/docs/ico/chapter/17A.5.pdf" Type="http://schemas.openxmlformats.org/officeDocument/2006/relationships/hyperlink" Id="rId29"/>
    <Relationship TargetMode="External" Target="https://www.legis.iowa.gov/docs/iac/rule/491.2.15.pdf" Type="http://schemas.openxmlformats.org/officeDocument/2006/relationships/hyperlink" Id="rId30"/>
    <Relationship TargetMode="External" Target="https://www.legis.iowa.gov/docs/ico/chapter/17A.2.pdf" Type="http://schemas.openxmlformats.org/officeDocument/2006/relationships/hyperlink" Id="rId31"/>
    <Relationship TargetMode="External" Target="https://www.legis.iowa.gov/docs/ico/chapter/17A.2.pdf" Type="http://schemas.openxmlformats.org/officeDocument/2006/relationships/hyperlink" Id="rId32"/>
    <Relationship TargetMode="External" Target="https://www.legis.iowa.gov/docs/iac/rule/491.2.16.pdf" Type="http://schemas.openxmlformats.org/officeDocument/2006/relationships/hyperlink" Id="rId33"/>
    <Relationship TargetMode="External" Target="https://www.legis.iowa.gov/docs/ico/chapter/17A.9.pdf" Type="http://schemas.openxmlformats.org/officeDocument/2006/relationships/hyperlink" Id="rId34"/>
    <Relationship TargetMode="External" Target="https://www.legis.iowa.gov/docs/iac/rule/491.2.26.pdf" Type="http://schemas.openxmlformats.org/officeDocument/2006/relationships/hyperlink" Id="rId35"/>
    <Relationship TargetMode="External" Target="https://www.legis.iowa.gov/docs/iac/rule/491.2.25.pdf" Type="http://schemas.openxmlformats.org/officeDocument/2006/relationships/hyperlink" Id="rId36"/>
    <Relationship TargetMode="External" Target="https://www.legis.iowa.gov/docs/ico/chapter/17A.9.pdf" Type="http://schemas.openxmlformats.org/officeDocument/2006/relationships/hyperlink" Id="rId37"/>
    <Relationship TargetMode="External" Target="https://www.legis.iowa.gov/docs/ico/chapter/17A.9.pdf" Type="http://schemas.openxmlformats.org/officeDocument/2006/relationships/hyperlink" Id="rId38"/>
    <Relationship TargetMode="External" Target="https://www.legis.iowa.gov/docs/ico/chapter/17A.9.pdf" Type="http://schemas.openxmlformats.org/officeDocument/2006/relationships/hyperlink" Id="rId39"/>
    <Relationship TargetMode="External" Target="https://www.legis.iowa.gov/docs/ico/chapter/17A.pdf" Type="http://schemas.openxmlformats.org/officeDocument/2006/relationships/hyperlink" Id="rId40"/>
    <Relationship TargetMode="External" Target="https://www.legis.iowa.gov/docs/ico/chapter/99D.pdf" Type="http://schemas.openxmlformats.org/officeDocument/2006/relationships/hyperlink" Id="rId41"/>
    <Relationship TargetMode="External" Target="https://www.legis.iowa.gov/docs/ico/chapter/99F.pdf" Type="http://schemas.openxmlformats.org/officeDocument/2006/relationships/hyperlink" Id="rId42"/>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