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SPORTS WAGERING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491—13.1</w:t>
      </w:r>
      <w:r>
        <w:rPr>
          <w:rFonts w:ascii="Times New Roman" w:hAnsi="Times New Roman"/>
          <w:b/>
          <w:i w:val="false"/>
          <w:color w:val="000000"/>
          <w:sz w:val="22"/>
        </w:rPr>
        <w:t xml:space="preserve">(99F)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these rules, unless the context otherwise requires, the following definitions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racing and gaming commission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 deposit sports wagering” </w:t>
      </w:r>
      <w:r>
        <w:rPr>
          <w:rFonts w:ascii="Times New Roman" w:hAnsi="Times New Roman"/>
          <w:b w:val="false"/>
          <w:i w:val="false"/>
          <w:color w:val="000000"/>
          <w:sz w:val="22"/>
        </w:rPr>
        <w:t xml:space="preserve">means a method of sports wagering in which an eligible individual may, in an account established with a licensee under Iowa Code section </w:t>
      </w:r>
      <w:hyperlink r:id="rId5">
        <w:r>
          <w:rPr>
            <w:rStyle w:val="Hyperlink"/>
            <w:rFonts w:ascii="Times New Roman" w:hAnsi="Times New Roman"/>
            <w:b w:val="false"/>
            <w:i w:val="false"/>
            <w:color w:val="000000"/>
            <w:sz w:val="22"/>
          </w:rPr>
          <w:t>99F.7A</w:t>
        </w:r>
      </w:hyperlink>
      <w:r>
        <w:rPr>
          <w:rFonts w:ascii="Times New Roman" w:hAnsi="Times New Roman"/>
          <w:b w:val="false"/>
          <w:i w:val="false"/>
          <w:color w:val="000000"/>
          <w:sz w:val="22"/>
        </w:rPr>
        <w:t xml:space="preserve">, deposit moneys into the account and use the account balance to pay for sports wagering. Prior to January 1, 2021, an account must be established by an eligible individual in person with a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 deposit sports wagering operator” </w:t>
      </w:r>
      <w:r>
        <w:rPr>
          <w:rFonts w:ascii="Times New Roman" w:hAnsi="Times New Roman"/>
          <w:b w:val="false"/>
          <w:i w:val="false"/>
          <w:color w:val="000000"/>
          <w:sz w:val="22"/>
        </w:rPr>
        <w:t xml:space="preserve">means an advance deposit sports wagering operator licensed by the commission who has entered into an agreement with a licensee under Iowa Code section </w:t>
      </w:r>
      <w:hyperlink r:id="rId6">
        <w:r>
          <w:rPr>
            <w:rStyle w:val="Hyperlink"/>
            <w:rFonts w:ascii="Times New Roman" w:hAnsi="Times New Roman"/>
            <w:b w:val="false"/>
            <w:i w:val="false"/>
            <w:color w:val="000000"/>
            <w:sz w:val="22"/>
          </w:rPr>
          <w:t>99F.7A</w:t>
        </w:r>
      </w:hyperlink>
      <w:r>
        <w:rPr>
          <w:rFonts w:ascii="Times New Roman" w:hAnsi="Times New Roman"/>
          <w:b w:val="false"/>
          <w:i w:val="false"/>
          <w:color w:val="000000"/>
          <w:sz w:val="22"/>
        </w:rPr>
        <w:t xml:space="preserve"> to provide advance deposit sports wagering.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sporting event” </w:t>
      </w:r>
      <w:r>
        <w:rPr>
          <w:rFonts w:ascii="Times New Roman" w:hAnsi="Times New Roman"/>
          <w:b w:val="false"/>
          <w:i w:val="false"/>
          <w:color w:val="000000"/>
          <w:sz w:val="22"/>
        </w:rPr>
        <w:t xml:space="preserve">means a professional sporting event, collegiate sporting event, international sporting event, or professional motor race event. “Authorized sporting event” does not include a race as defined in Iowa Code section </w:t>
      </w:r>
      <w:hyperlink r:id="rId7">
        <w:r>
          <w:rPr>
            <w:rStyle w:val="Hyperlink"/>
            <w:rFonts w:ascii="Times New Roman" w:hAnsi="Times New Roman"/>
            <w:b w:val="false"/>
            <w:i w:val="false"/>
            <w:color w:val="000000"/>
            <w:sz w:val="22"/>
          </w:rPr>
          <w:t>99D.2</w:t>
        </w:r>
      </w:hyperlink>
      <w:r>
        <w:rPr>
          <w:rFonts w:ascii="Times New Roman" w:hAnsi="Times New Roman"/>
          <w:b w:val="false"/>
          <w:i w:val="false"/>
          <w:color w:val="000000"/>
          <w:sz w:val="22"/>
        </w:rPr>
        <w:t xml:space="preserve">, a fantasy sports contest as defined in Iowa Code section </w:t>
      </w:r>
      <w:hyperlink r:id="rId8">
        <w:r>
          <w:rPr>
            <w:rStyle w:val="Hyperlink"/>
            <w:rFonts w:ascii="Times New Roman" w:hAnsi="Times New Roman"/>
            <w:b w:val="false"/>
            <w:i w:val="false"/>
            <w:color w:val="000000"/>
            <w:sz w:val="22"/>
          </w:rPr>
          <w:t>99E.1</w:t>
        </w:r>
      </w:hyperlink>
      <w:r>
        <w:rPr>
          <w:rFonts w:ascii="Times New Roman" w:hAnsi="Times New Roman"/>
          <w:b w:val="false"/>
          <w:i w:val="false"/>
          <w:color w:val="000000"/>
          <w:sz w:val="22"/>
        </w:rPr>
        <w:t xml:space="preserve">, minor league sporting event, or any athletic event or competition of an interscholastic sport as defined in Iowa Code section </w:t>
      </w:r>
      <w:hyperlink r:id="rId9">
        <w:r>
          <w:rPr>
            <w:rStyle w:val="Hyperlink"/>
            <w:rFonts w:ascii="Times New Roman" w:hAnsi="Times New Roman"/>
            <w:b w:val="false"/>
            <w:i w:val="false"/>
            <w:color w:val="000000"/>
            <w:sz w:val="22"/>
          </w:rPr>
          <w:t>9A.102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“Collegiate sporting event” </w:t>
      </w:r>
      <w:r>
        <w:rPr>
          <w:rFonts w:ascii="Times New Roman" w:hAnsi="Times New Roman"/>
          <w:b w:val="false"/>
          <w:i w:val="false"/>
          <w:color w:val="000000"/>
          <w:sz w:val="22"/>
        </w:rPr>
        <w:t xml:space="preserve">means an athletic event or competition of an intercollegiate sport as defined in Iowa Code section </w:t>
      </w:r>
      <w:hyperlink r:id="rId10">
        <w:r>
          <w:rPr>
            <w:rStyle w:val="Hyperlink"/>
            <w:rFonts w:ascii="Times New Roman" w:hAnsi="Times New Roman"/>
            <w:b w:val="false"/>
            <w:i w:val="false"/>
            <w:color w:val="000000"/>
            <w:sz w:val="22"/>
          </w:rPr>
          <w:t>9A.102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racing and gaming commission created under Iowa Code section </w:t>
      </w:r>
      <w:hyperlink r:id="rId11">
        <w:r>
          <w:rPr>
            <w:rStyle w:val="Hyperlink"/>
            <w:rFonts w:ascii="Times New Roman" w:hAnsi="Times New Roman"/>
            <w:b w:val="false"/>
            <w:i w:val="false"/>
            <w:color w:val="000000"/>
            <w:sz w:val="22"/>
          </w:rPr>
          <w:t>99D.5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sports wagering area” </w:t>
      </w:r>
      <w:r>
        <w:rPr>
          <w:rFonts w:ascii="Times New Roman" w:hAnsi="Times New Roman"/>
          <w:b w:val="false"/>
          <w:i w:val="false"/>
          <w:color w:val="000000"/>
          <w:sz w:val="22"/>
        </w:rPr>
        <w:t>means an area, as designated by a licensee and approved by the commission, in which sports wagering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individual” </w:t>
      </w:r>
      <w:r>
        <w:rPr>
          <w:rFonts w:ascii="Times New Roman" w:hAnsi="Times New Roman"/>
          <w:b w:val="false"/>
          <w:i w:val="false"/>
          <w:color w:val="000000"/>
          <w:sz w:val="22"/>
        </w:rPr>
        <w:t>means an individual who is at least 21 years of age or older who is located within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an entity licensed by the commission to conduct pari-mutuel wagering, gaming or sports wagering operations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“International sporting event” </w:t>
      </w:r>
      <w:r>
        <w:rPr>
          <w:rFonts w:ascii="Times New Roman" w:hAnsi="Times New Roman"/>
          <w:b w:val="false"/>
          <w:i w:val="false"/>
          <w:color w:val="000000"/>
          <w:sz w:val="22"/>
        </w:rPr>
        <w:t xml:space="preserve">means an international team or individual sporting event governed by an international sports federation or sports governing body, including but not limited to sporting events governed by the international olympic committee and the international federation of association football.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licensed under Iowa Code section </w:t>
      </w:r>
      <w:hyperlink r:id="rId12">
        <w:r>
          <w:rPr>
            <w:rStyle w:val="Hyperlink"/>
            <w:rFonts w:ascii="Times New Roman" w:hAnsi="Times New Roman"/>
            <w:b w:val="false"/>
            <w:i w:val="false"/>
            <w:color w:val="000000"/>
            <w:sz w:val="22"/>
          </w:rPr>
          <w:t>99F.7</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99F.7A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league sporting event” </w:t>
      </w:r>
      <w:r>
        <w:rPr>
          <w:rFonts w:ascii="Times New Roman" w:hAnsi="Times New Roman"/>
          <w:b w:val="false"/>
          <w:i w:val="false"/>
          <w:color w:val="000000"/>
          <w:sz w:val="22"/>
        </w:rPr>
        <w:t xml:space="preserve">means a sporting event conducted by a sports league which is not regarded as the premier league in the sport as determined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sporting event” </w:t>
      </w:r>
      <w:r>
        <w:rPr>
          <w:rFonts w:ascii="Times New Roman" w:hAnsi="Times New Roman"/>
          <w:b w:val="false"/>
          <w:i w:val="false"/>
          <w:color w:val="000000"/>
          <w:sz w:val="22"/>
        </w:rPr>
        <w:t>means an event, excluding a minor league sporting event, at which two or more persons participate in sports or athletic events and receive compensation in excess of actual expenses for their participation in such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“Sports wagering” </w:t>
      </w:r>
      <w:r>
        <w:rPr>
          <w:rFonts w:ascii="Times New Roman" w:hAnsi="Times New Roman"/>
          <w:b w:val="false"/>
          <w:i w:val="false"/>
          <w:color w:val="000000"/>
          <w:sz w:val="22"/>
        </w:rPr>
        <w:t xml:space="preserve">means the acceptance of wagers on an authorized sporting event by any system of wagering as authorized by the commission. “Sports wagering” does not include placing a wager on the performance or nonperformance of any individual athlete participating in a single game or match of a collegiate sporting event in which a collegiate team from this state is a participant, or placing a wager on the performance of athletes in an individual international sporting event governed by the international olympic committee in which any participant in the international sporting event is under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“Sports wagering net receipts” </w:t>
      </w:r>
      <w:r>
        <w:rPr>
          <w:rFonts w:ascii="Times New Roman" w:hAnsi="Times New Roman"/>
          <w:b w:val="false"/>
          <w:i w:val="false"/>
          <w:color w:val="000000"/>
          <w:sz w:val="22"/>
        </w:rPr>
        <w:t>means the gross receipts less winnings paid to wagerers on sports wagering.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491—13.2</w:t>
      </w:r>
      <w:r>
        <w:rPr>
          <w:rFonts w:ascii="Times New Roman" w:hAnsi="Times New Roman"/>
          <w:b/>
          <w:i w:val="false"/>
          <w:color w:val="000000"/>
          <w:sz w:val="22"/>
        </w:rPr>
        <w:t xml:space="preserve">(99F) </w:t>
      </w:r>
      <w:r>
        <w:rPr>
          <w:rFonts w:ascii="Times New Roman" w:hAnsi="Times New Roman"/>
          <w:b/>
          <w:i w:val="false"/>
          <w:color w:val="000000"/>
          <w:sz w:val="22"/>
        </w:rPr>
        <w:t xml:space="preserve">Conduct of all sports wagering.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Commission policy. </w:t>
      </w:r>
      <w:r>
        <w:rPr>
          <w:rFonts w:ascii="Times New Roman" w:hAnsi="Times New Roman"/>
          <w:b w:val="false"/>
          <w:i w:val="false"/>
          <w:color w:val="000000"/>
          <w:sz w:val="22"/>
        </w:rPr>
        <w:t>It is the policy of the commission to require that all industry participants conduct sports wagering in a manner suitable to protect the public health, safety, morals, good order, and general welfare of the state. Responsibility for selecting, implementing, and maintaining suitable methods of operation rests with the facility, vendor, and advance deposit sports wagering operator. Willful or persistent use or toleration of methods of operation deemed unsuitable in the sole discretion of the commission will constitute grounds for disciplinary action, up to and including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Activities prohibited. </w:t>
      </w:r>
      <w:r>
        <w:rPr>
          <w:rFonts w:ascii="Times New Roman" w:hAnsi="Times New Roman"/>
          <w:b w:val="false"/>
          <w:i w:val="false"/>
          <w:color w:val="000000"/>
          <w:sz w:val="22"/>
        </w:rPr>
        <w:t>A facility, vendor, or advance deposit sports wagering operator is expressly prohibited from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conduct advertising and public relations activities in accordance with decency, dignity, good taste, and honesty.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or make provision for compliance with all federal, state, and local laws and rules pertaining to the operation of a facility or advance deposit sports wagering operation including, but not limited to, payment of license fees, withholding payroll taxes, and violations of alcoholic beverage laws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Permitting cheating, failing to discover cheating that should have been discovered with reasonable inquiry, or failing to take action to prevent cheating.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conduct sports wagering operations in accordance with proper standards of custom, decorum, and decency; or permitting any type of conduct that reflects negatively on the state or commission or acts as a detriment to the sports wagering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Performing any type of sports wagering activity, at any time, that is contrary to the representation made to the commission, commission representatives, 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Denying a commissioner or commission representative, upon proper and lawful demand, information, documents, or access to inspect any portion of the sports wagering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color w:val="000000"/>
          <w:sz w:val="22"/>
        </w:rPr>
        <w:t xml:space="preserve">Wagers. </w:t>
      </w:r>
      <w:r>
        <w:rPr>
          <w:rFonts w:ascii="Times New Roman" w:hAnsi="Times New Roman"/>
          <w:b w:val="false"/>
          <w:i w:val="false"/>
          <w:color w:val="000000"/>
          <w:sz w:val="22"/>
        </w:rPr>
        <w:t xml:space="preserve">Wagers may only be made by persons 21 years of age or older and on activities authorized pursuant to Iowa Code chapter </w:t>
      </w:r>
      <w:hyperlink r:id="rId14">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which are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color w:val="000000"/>
          <w:sz w:val="22"/>
        </w:rPr>
        <w:t xml:space="preserve">Public notice.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shall have access to the sports wagering rules, available wagers, odds or payouts, the payout period, and the source of the information used to determine the outcome of a sports wager. All licensees and advance deposit sports wagering operators shall require participants to follow the rules of play. The sports wagering rules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Displayed in the licensee’s sports wagering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Posted on the Internet site or mobile application used to conduct advance deposit sports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Included in any terms and conditions disclosure statements of the advance deposit sports wagering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account setup and login, advance deposit sports wagering operators shall display the following information on any interface that accepts wagers: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Account sharing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under the age of 21 are prohibited from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disclosures, as required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color w:val="000000"/>
          <w:sz w:val="22"/>
        </w:rPr>
        <w:t xml:space="preserve">Bond. </w:t>
      </w:r>
      <w:r>
        <w:rPr>
          <w:rFonts w:ascii="Times New Roman" w:hAnsi="Times New Roman"/>
          <w:b w:val="false"/>
          <w:i w:val="false"/>
          <w:color w:val="000000"/>
          <w:sz w:val="22"/>
        </w:rPr>
        <w:t xml:space="preserve">A licensee shall post a bond or irrevocable letter of credit, at an amount determined by the commission, to the state of Iowa to guarantee that the licensee and any vendor or advance deposit sports wagering operator licensed in conjunction with the licensee faithfully makes the payments, keeps its books and records and makes reports, and conducts its gambling games and sports wagering in conformity with Iowa Code chapter </w:t>
      </w:r>
      <w:hyperlink r:id="rId15">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and the rules adopted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w:t>
      </w:r>
      <w:r>
        <w:rPr>
          <w:rFonts w:ascii="Times New Roman" w:hAnsi="Times New Roman"/>
          <w:b w:val="false"/>
          <w:i w:val="false"/>
          <w:color w:val="000000"/>
          <w:sz w:val="22"/>
        </w:rPr>
        <w:t> </w:t>
      </w:r>
      <w:r>
        <w:rPr>
          <w:rFonts w:ascii="Times New Roman" w:hAnsi="Times New Roman"/>
          <w:b w:val="false"/>
          <w:i/>
          <w:color w:val="000000"/>
          <w:sz w:val="22"/>
        </w:rPr>
        <w:t xml:space="preserve">Reserve. </w:t>
      </w:r>
      <w:r>
        <w:rPr>
          <w:rFonts w:ascii="Times New Roman" w:hAnsi="Times New Roman"/>
          <w:b w:val="false"/>
          <w:i w:val="false"/>
          <w:color w:val="000000"/>
          <w:sz w:val="22"/>
        </w:rPr>
        <w:t>A reserve in the form of cash or cash equivalents segregated from operational funds, an irrevocable letter of credit, payment processor reserves and receivables, a bond, or a combination thereof shall be maintained in the amount necessary to cover the outstanding vendor sports wagering liability and advance deposit sports wagering liability. An accounting of this reserve shall be made available for inspection to the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method of reserve shall be submitted to and approved by the administrator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 calculation shall include the following: patron accounts, future wagers liability, unpaid wagers and pending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at any time, the licensee’s total reserve is less than the amount required by the reserve calculation, the licensee shall notify the commission of this deficiency within 72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 a form provided by the commission, the controller or an employee of higher authority shall file a monthly attestation to the commission that the reserve funds have been safeguarded pursuant to this subrule. The attestation shall be provided to the commission no later than 15 days after the end of each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w:t>
      </w:r>
      <w:r>
        <w:rPr>
          <w:rFonts w:ascii="Times New Roman" w:hAnsi="Times New Roman"/>
          <w:b w:val="false"/>
          <w:i w:val="false"/>
          <w:color w:val="000000"/>
          <w:sz w:val="22"/>
        </w:rPr>
        <w:t> </w:t>
      </w:r>
      <w:r>
        <w:rPr>
          <w:rFonts w:ascii="Times New Roman" w:hAnsi="Times New Roman"/>
          <w:b w:val="false"/>
          <w:i/>
          <w:color w:val="000000"/>
          <w:sz w:val="22"/>
        </w:rPr>
        <w:t xml:space="preserve">Internal controls. </w:t>
      </w:r>
      <w:r>
        <w:rPr>
          <w:rFonts w:ascii="Times New Roman" w:hAnsi="Times New Roman"/>
          <w:b w:val="false"/>
          <w:i w:val="false"/>
          <w:color w:val="000000"/>
          <w:sz w:val="22"/>
        </w:rPr>
        <w:t>Licensees and advance deposit sports wagering operators shall submit a description of internal controls to the administrator. The submission shall be made at least 30 days before sports operations are to commence unless otherwise approved by the administrator. All internal controls must be approved by the administrator prior to commencement of sports operations. The operator shall submit to the administrator any changes to the internal controls previously approved at least 15 days before the changes are to become effective unless otherwise directed by the administrator. It shall be the affirmative responsibility and continuing duty of each licensee and advance deposit sports wagering operator and their employees to follow and comply with all internal controls. The submission shall include controls and reasonable methods that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prohibit wagering by coaches, athletic trainers, officials, players, or other individuals who participate and persons employed in a position with direct involvement with coaches, athletic trainers, officials, players or other individuals who participate in an authorized sporting event in which wagers may be accepted. Licensees shall demonstrate the capability, subject to review and approval by the administrator, to prevent prohibited persons from wagering on events on which they are not allowed to wager by implementing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Organize and maintain a list of prohibited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Participate in a third-party association or group that organizes and maintains a list of prohibited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identify and suspend accounts opened by individuals on behalf of persons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promptly report to the commission any criminal or disciplinary proceedings commenced against the licensee or its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To promptly report to the commission, in a format approved by the administrator, any abnormal wagering activity or patterns that may indicate a concern about the integrity of an authorized sporting event or events, and any other conduct with the potential to corrupt a wagering outcome of an authorized sporting event for purposes of financial gain, including but not limited to match fixing, and suspicious or illegal wagering activities, including the use of funds derived from illegal activity, wagers to conceal or launder funds derived from illegal activity, use of agents to place wagers, account sharing, or use of false identification. Integrity-monitoring procedures shall also provide for the sharing of information with other licensees, other governing authorities, and accredited sports governing entities by participating in an integrity-monitoring association or group or by another method as approved by the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notification to the commission for any incident where there is a violation involving criminal activity, Iowa Code chapter </w:t>
      </w:r>
      <w:hyperlink r:id="rId16">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a commission rule or order, or an internal control within 72 hours of detection. The licensee or advance deposit sports wagering operator shall provide a written report detailing the violation as required by and in a format approved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segregation of incompatible functions so that no employee is in a position to perpetrate and conceal errors or irregularities in the normal course of the employee’s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User access controls for all sensitive and secure, physical and virtual, areas and systems within a sports wagering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Treatment of problem gambling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problem gamblers.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Complying with the process established by the commission pursuant to Iowa Code section </w:t>
      </w:r>
      <w:hyperlink r:id="rId17">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491—subrule 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Cooperating with the Iowa gambling treatment program in creating and establishing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Including information on the availability of the gambling treatment program in a substantial number of the licensee’s advertisements and printed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Setoff winnings of customers who have a valid lien established under Iowa Code chapter </w:t>
      </w:r>
      <w:hyperlink r:id="rId19">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13.2(8)</w:t>
      </w:r>
      <w:r>
        <w:rPr>
          <w:rFonts w:ascii="Times New Roman" w:hAnsi="Times New Roman"/>
          <w:b w:val="false"/>
          <w:i w:val="false"/>
          <w:color w:val="000000"/>
          <w:sz w:val="22"/>
        </w:rPr>
        <w:t> </w:t>
      </w:r>
      <w:r>
        <w:rPr>
          <w:rFonts w:ascii="Times New Roman" w:hAnsi="Times New Roman"/>
          <w:b w:val="false"/>
          <w:i/>
          <w:color w:val="000000"/>
          <w:sz w:val="22"/>
        </w:rPr>
        <w:t xml:space="preserve">Revenue reporting. </w:t>
      </w:r>
      <w:r>
        <w:rPr>
          <w:rFonts w:ascii="Times New Roman" w:hAnsi="Times New Roman"/>
          <w:b w:val="false"/>
          <w:i w:val="false"/>
          <w:color w:val="000000"/>
          <w:sz w:val="22"/>
        </w:rPr>
        <w:t>Reports generated from the sports wagering system shall be made available as determined by the commission. The reporting system shall be capable of issuing reports by wagering day, wagering month, and wagering year. Wagering data shall not be purged unless approved by the commission. The reporting system shall provide for a mechanism to export the data for the purposes of data analysis and auditing or verification. The reporting system shall be able to provide, at a minimum, the following sports wagering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and time each event started and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Total amount of wagers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Total amount of winnings paid to players.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Total amount of wagers canceled, voided, and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Commission or fees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value of promotional play or free play used to purchase or execute a sports wager.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Event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Total amount held by the operator for the player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Total amount of wagers placed on future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Total amount of winnings owed but unpaid by the operator on winning wagers.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time, stake amount, win amount and individual associated with each event where winnings are required to be reported on Internal Revenue Service form W-2G, as recorded by the reporting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13.2(9)</w:t>
      </w:r>
      <w:r>
        <w:rPr>
          <w:rFonts w:ascii="Times New Roman" w:hAnsi="Times New Roman"/>
          <w:b w:val="false"/>
          <w:i w:val="false"/>
          <w:color w:val="000000"/>
          <w:sz w:val="22"/>
        </w:rPr>
        <w:t> </w:t>
      </w:r>
      <w:r>
        <w:rPr>
          <w:rFonts w:ascii="Times New Roman" w:hAnsi="Times New Roman"/>
          <w:b w:val="false"/>
          <w:i/>
          <w:color w:val="000000"/>
          <w:sz w:val="22"/>
        </w:rPr>
        <w:t xml:space="preserve">Unclaimed winnings and abandoned accounts. </w:t>
      </w:r>
      <w:r>
        <w:rPr>
          <w:rFonts w:ascii="Times New Roman" w:hAnsi="Times New Roman"/>
          <w:b w:val="false"/>
          <w:i w:val="false"/>
          <w:color w:val="000000"/>
          <w:sz w:val="22"/>
        </w:rPr>
        <w:t>Unclaimed winnings and abandoned accounts are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Abandoned player accounts under this rule are subject to Iowa Code chapter </w:t>
      </w:r>
      <w:hyperlink r:id="rId20">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Player accounts are considered abandoned if no activity by the account holder has occurred for three years. Player activity includes making a wager, making an account deposit, or withdrawing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licensee or advance deposit sports wagering operator shall charge an administration fee or maintenance fee for any inactive player account derived from state of Iowa residents at any time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13.2(10)</w:t>
      </w:r>
      <w:r>
        <w:rPr>
          <w:rFonts w:ascii="Times New Roman" w:hAnsi="Times New Roman"/>
          <w:b w:val="false"/>
          <w:i w:val="false"/>
          <w:color w:val="000000"/>
          <w:sz w:val="22"/>
        </w:rPr>
        <w:t> </w:t>
      </w:r>
      <w:r>
        <w:rPr>
          <w:rFonts w:ascii="Times New Roman" w:hAnsi="Times New Roman"/>
          <w:b w:val="false"/>
          <w:i/>
          <w:color w:val="000000"/>
          <w:sz w:val="22"/>
        </w:rPr>
        <w:t xml:space="preserve">Annual audit. </w:t>
      </w:r>
      <w:r>
        <w:rPr>
          <w:rFonts w:ascii="Times New Roman" w:hAnsi="Times New Roman"/>
          <w:b w:val="false"/>
          <w:i w:val="false"/>
          <w:color w:val="000000"/>
          <w:sz w:val="22"/>
        </w:rPr>
        <w:t>If a vendor is conducting sports wagering for a casino licensee, an audit of the sports wagering operations for the vendor or parent company of the vendor shall be conducted by certified public accountants authorized to practice in the state of Iowa, and the audit shall be provided to the commission within 90 days of the vendor’s fiscal year and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Inclusion of an internal control letter, audited balance sheet, and audited profit-and-loss statement including a breakdown of expenditures and subsidiaries of sports wagering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Inclusion of a supplement schedule indicating financial activities on a calendar-year basis if the vendor’s fiscal year does not correspond to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Inclusion of a supplement schedule for all Iowa locations in which the vendor operates.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 of any material errors, irregularities that may be discovered during the audit, or notice of any audit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Availability, upon request, of an engagement letter for the audit between the vendor or parent company of the vendor and the auditing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13.2(11)</w:t>
      </w:r>
      <w:r>
        <w:rPr>
          <w:rFonts w:ascii="Times New Roman" w:hAnsi="Times New Roman"/>
          <w:b w:val="false"/>
          <w:i w:val="false"/>
          <w:color w:val="000000"/>
          <w:sz w:val="22"/>
        </w:rPr>
        <w:t> </w:t>
      </w:r>
      <w:r>
        <w:rPr>
          <w:rFonts w:ascii="Times New Roman" w:hAnsi="Times New Roman"/>
          <w:b w:val="false"/>
          <w:i/>
          <w:color w:val="000000"/>
          <w:sz w:val="22"/>
        </w:rPr>
        <w:t xml:space="preserve">Revenue reports. </w:t>
      </w:r>
      <w:r>
        <w:rPr>
          <w:rFonts w:ascii="Times New Roman" w:hAnsi="Times New Roman"/>
          <w:b w:val="false"/>
          <w:i w:val="false"/>
          <w:color w:val="000000"/>
          <w:sz w:val="22"/>
        </w:rPr>
        <w:t xml:space="preserve">Licensees and advance deposit sports wagering operators shall provide additional reports, as determined necessary by the administrator, that detail the revenue submission required by </w:t>
      </w:r>
      <w:hyperlink r:id="rId21">
        <w:r>
          <w:rPr>
            <w:rStyle w:val="Hyperlink"/>
            <w:rFonts w:ascii="Times New Roman" w:hAnsi="Times New Roman"/>
            <w:b w:val="false"/>
            <w:i w:val="false"/>
            <w:color w:val="000000"/>
            <w:sz w:val="22"/>
          </w:rPr>
          <w:t>491—paragraph 5.4(10)</w:t>
        </w:r>
        <w:r>
          <w:rPr>
            <w:rFonts w:ascii="Times New Roman" w:hAnsi="Times New Roman"/>
            <w:b w:val="false"/>
            <w:i/>
            <w:color w:val="000000"/>
            <w:sz w:val="22"/>
          </w:rPr>
          <w:t>“d.”</w:t>
        </w:r>
      </w:hyperlink>
      <w:r>
        <w:rPr>
          <w:rFonts w:ascii="Times New Roman" w:hAnsi="Times New Roman"/>
          <w:b w:val="false"/>
          <w:i w:val="false"/>
          <w:color w:val="000000"/>
          <w:sz w:val="22"/>
        </w:rPr>
        <w:t xml:space="preserve"> Reports shall be provided to the commission in a format approved by the administrator. The administrator shall provide written notice to any licensee if additional reports are determined necessary. In addition, the administrator shall provide adequate time to any licensee if a report needs to be created to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13.2(12)</w:t>
      </w:r>
      <w:r>
        <w:rPr>
          <w:rFonts w:ascii="Times New Roman" w:hAnsi="Times New Roman"/>
          <w:b w:val="false"/>
          <w:i w:val="false"/>
          <w:color w:val="000000"/>
          <w:sz w:val="22"/>
        </w:rPr>
        <w:t> </w:t>
      </w:r>
      <w:r>
        <w:rPr>
          <w:rFonts w:ascii="Times New Roman" w:hAnsi="Times New Roman"/>
          <w:b w:val="false"/>
          <w:i/>
          <w:color w:val="000000"/>
          <w:sz w:val="22"/>
        </w:rPr>
        <w:t xml:space="preserve">Ticket payouts. </w:t>
      </w:r>
      <w:r>
        <w:rPr>
          <w:rFonts w:ascii="Times New Roman" w:hAnsi="Times New Roman"/>
          <w:b w:val="false"/>
          <w:i w:val="false"/>
          <w:color w:val="000000"/>
          <w:sz w:val="22"/>
        </w:rPr>
        <w:t>A method shall be available for players to collect at any time during the facility’s hours of operation winnings from wagers made in person at a facility. Winnings required to be reported on Internal Revenue Service Form W-2G are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13.2(13)</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Licensees shall provide all information requested by the commission. Access to this information shall be prompt, and copies of the information shall be delivered within seven days or less as ordered or requested by the commission. The licensees shall ensure all books and records and the retention of all books and records comply with </w:t>
      </w:r>
      <w:hyperlink r:id="rId22">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 All records pertaining to wagers shall be available to allow for player complaint resolution. All records pertaining to the accounts of persons who registered or have account activity in Iowa shall be available to allow for audits and investigations.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see Supension note at end of chapter;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491—13.3</w:t>
      </w:r>
      <w:r>
        <w:rPr>
          <w:rFonts w:ascii="Times New Roman" w:hAnsi="Times New Roman"/>
          <w:b/>
          <w:i w:val="false"/>
          <w:color w:val="000000"/>
          <w:sz w:val="22"/>
        </w:rPr>
        <w:t xml:space="preserve">(99F) </w:t>
      </w:r>
      <w:r>
        <w:rPr>
          <w:rFonts w:ascii="Times New Roman" w:hAnsi="Times New Roman"/>
          <w:b/>
          <w:i w:val="false"/>
          <w:color w:val="000000"/>
          <w:sz w:val="22"/>
        </w:rPr>
        <w:t xml:space="preserve">Approval of sports wagers.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Prior to offering a sports wager, a facility or advance deposit sports wagering operator shall request that the administrator investigate and approve the sports wager for compliance with commission rules and any other standards as required by the commission. The administrator may require the facility or advance deposit sports wagering operator, at the facility’s or operator’s own expense, to provide additional information as deemed necessary to make a determination. Prior to approval, the administrator may require a trial period of any sports wager offering. Once a sports wager is approved by the administrator, unless it is subsequently disapproved for any reason deemed appropriate by the administrator, the sports wager is available for all operators under the conditions approved and subject to </w:t>
      </w:r>
      <w:hyperlink r:id="rId23">
        <w:r>
          <w:rPr>
            <w:rStyle w:val="Hyperlink"/>
            <w:rFonts w:ascii="Times New Roman" w:hAnsi="Times New Roman"/>
            <w:b w:val="false"/>
            <w:i w:val="false"/>
            <w:color w:val="000000"/>
            <w:sz w:val="22"/>
          </w:rPr>
          <w:t>subrule 13.3(2)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color w:val="000000"/>
          <w:sz w:val="22"/>
        </w:rPr>
        <w:t xml:space="preserve">Sports wager submissions. </w:t>
      </w:r>
      <w:r>
        <w:rPr>
          <w:rFonts w:ascii="Times New Roman" w:hAnsi="Times New Roman"/>
          <w:b w:val="false"/>
          <w:i w:val="false"/>
          <w:color w:val="000000"/>
          <w:sz w:val="22"/>
        </w:rPr>
        <w:t xml:space="preserve">Prior to conducting a sports wager approved pursuant to </w:t>
      </w:r>
      <w:hyperlink r:id="rId24">
        <w:r>
          <w:rPr>
            <w:rStyle w:val="Hyperlink"/>
            <w:rFonts w:ascii="Times New Roman" w:hAnsi="Times New Roman"/>
            <w:b w:val="false"/>
            <w:i w:val="false"/>
            <w:color w:val="000000"/>
            <w:sz w:val="22"/>
          </w:rPr>
          <w:t>subrule 13.3(1)</w:t>
        </w:r>
      </w:hyperlink>
      <w:r>
        <w:rPr>
          <w:rFonts w:ascii="Times New Roman" w:hAnsi="Times New Roman"/>
          <w:b w:val="false"/>
          <w:i w:val="false"/>
          <w:color w:val="000000"/>
          <w:sz w:val="22"/>
        </w:rPr>
        <w:t>, a licensee or advance deposit sports wagering operator shall submit proposals for the wager, including but not limited to wagering rules, payout information, source of the information used to determine the outcome of the sports wager, and any restrictive features of the wager. The sports wager submission, or requests for modification to an approved wager, shall be submitted in writing and approved by the administrator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color w:val="000000"/>
          <w:sz w:val="22"/>
        </w:rPr>
        <w:t xml:space="preserve">Sports promotional contests, tournaments, or promotional activities. </w:t>
      </w:r>
      <w:r>
        <w:rPr>
          <w:rFonts w:ascii="Times New Roman" w:hAnsi="Times New Roman"/>
          <w:b w:val="false"/>
          <w:i w:val="false"/>
          <w:color w:val="000000"/>
          <w:sz w:val="22"/>
        </w:rPr>
        <w:t>Sports promotional contests, tournaments, or promotional activities may be permitted by the licensee, vendor, or advance deposit sports wagering operator providing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Rules shall be made available to participants for review prior to registering. Rules shall include, at a minimum: all conditions registered players must meet to qualify to enter or advance through the event, available prizes or awards, fees, and distribution of prizes or awards based on specific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Rules are followed. Changes to rules shall not be made after participants have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Results shall be made available for the registered players to review at the same location at which or in the same manner in which players registered. Results shall include, at a minimum: name of the event, date of the event, total number of entries, amount of entry fees, total prize pool, and amount paid for each winning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Fees collected, less cash prizes paid, are subject to the wagering taxes pursuant to Iowa Code section </w:t>
      </w:r>
      <w:hyperlink r:id="rId25">
        <w:r>
          <w:rPr>
            <w:rStyle w:val="Hyperlink"/>
            <w:rFonts w:ascii="Times New Roman" w:hAnsi="Times New Roman"/>
            <w:b w:val="false"/>
            <w:i w:val="false"/>
            <w:color w:val="000000"/>
            <w:sz w:val="22"/>
          </w:rPr>
          <w:t>99F.11(4)</w:t>
        </w:r>
      </w:hyperlink>
      <w:r>
        <w:rPr>
          <w:rFonts w:ascii="Times New Roman" w:hAnsi="Times New Roman"/>
          <w:b w:val="false"/>
          <w:i w:val="false"/>
          <w:color w:val="000000"/>
          <w:sz w:val="22"/>
        </w:rPr>
        <w:t>. In determining sports wagering net receipts, to the extent that cash prizes paid out exceed fees collected, the licensee or advance deposit sports wagering operator shall be deemed to have paid the fees for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Rules include terms and conditions. All emails or digital advertisements promoting contests, tournaments, and promotional activities shall include a link or other easily obtainable source that includes rules or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is compliance with all other federal, state, and local laws and rules outside of the commission’s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491—13.4</w:t>
      </w:r>
      <w:r>
        <w:rPr>
          <w:rFonts w:ascii="Times New Roman" w:hAnsi="Times New Roman"/>
          <w:b/>
          <w:i w:val="false"/>
          <w:color w:val="000000"/>
          <w:sz w:val="22"/>
        </w:rPr>
        <w:t xml:space="preserve">(99F) </w:t>
      </w:r>
      <w:r>
        <w:rPr>
          <w:rFonts w:ascii="Times New Roman" w:hAnsi="Times New Roman"/>
          <w:b/>
          <w:i w:val="false"/>
          <w:color w:val="000000"/>
          <w:sz w:val="22"/>
        </w:rPr>
        <w:t xml:space="preserve">Designated sports wagering area. </w:t>
      </w:r>
      <w:r>
        <w:rPr>
          <w:rFonts w:ascii="Times New Roman" w:hAnsi="Times New Roman"/>
          <w:b w:val="false"/>
          <w:i w:val="false"/>
          <w:color w:val="000000"/>
          <w:sz w:val="22"/>
        </w:rPr>
        <w:t xml:space="preserve">A floor plan identifying the designated sports wagering area, including the location of any device used to assist in the placement, resolution or collection of any sports wager, shall be filed with the administrator for review and approval. Modification to a previously approved plan must be submitted for approval at least ten days prior to implementation. Designated wagering areas shall contain conspicuous signage which denotes that an individual must be at least 21 years of age to wager on sports. Exceptions to this rule must be approved in writing by the administrator. The sports wagering area is subject to compliance with </w:t>
      </w:r>
      <w:hyperlink r:id="rId26">
        <w:r>
          <w:rPr>
            <w:rStyle w:val="Hyperlink"/>
            <w:rFonts w:ascii="Times New Roman" w:hAnsi="Times New Roman"/>
            <w:b w:val="false"/>
            <w:i w:val="false"/>
            <w:color w:val="000000"/>
            <w:sz w:val="22"/>
          </w:rPr>
          <w:t>491—subrule 5.4(7)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491—13.5</w:t>
      </w:r>
      <w:r>
        <w:rPr>
          <w:rFonts w:ascii="Times New Roman" w:hAnsi="Times New Roman"/>
          <w:b/>
          <w:i w:val="false"/>
          <w:color w:val="000000"/>
          <w:sz w:val="22"/>
        </w:rPr>
        <w:t xml:space="preserve">(99F) </w:t>
      </w:r>
      <w:r>
        <w:rPr>
          <w:rFonts w:ascii="Times New Roman" w:hAnsi="Times New Roman"/>
          <w:b/>
          <w:i w:val="false"/>
          <w:color w:val="000000"/>
          <w:sz w:val="22"/>
        </w:rPr>
        <w:t xml:space="preserve">Advance deposit sports wagering.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conduct advance deposit sports wagering. </w:t>
      </w:r>
      <w:r>
        <w:rPr>
          <w:rFonts w:ascii="Times New Roman" w:hAnsi="Times New Roman"/>
          <w:b w:val="false"/>
          <w:i w:val="false"/>
          <w:color w:val="000000"/>
          <w:sz w:val="22"/>
        </w:rPr>
        <w:t xml:space="preserve">A licensee or advance deposit sports wagering operator shall receive specific authorization from the commission to conduct advance deposit sports wagering prior to conducting advance deposit sports wagering. The granting of an advance deposit sports wagering license or approval of any agreements between a licensee and an advance deposit sports wagering operator to conduct advance deposit sports wagering does not constitute authorization. Any entity authorized to conduct advance deposit sports wagering is expected to comply with all requirements of this chapter, except for rule </w:t>
      </w:r>
      <w:hyperlink r:id="rId27">
        <w:r>
          <w:rPr>
            <w:rStyle w:val="Hyperlink"/>
            <w:rFonts w:ascii="Times New Roman" w:hAnsi="Times New Roman"/>
            <w:b w:val="false"/>
            <w:i w:val="false"/>
            <w:color w:val="000000"/>
            <w:sz w:val="22"/>
          </w:rPr>
          <w:t>491—13.4</w:t>
        </w:r>
      </w:hyperlink>
      <w:r>
        <w:rPr>
          <w:rFonts w:ascii="Times New Roman" w:hAnsi="Times New Roman"/>
          <w:b w:val="false"/>
          <w:i w:val="false"/>
          <w:color w:val="000000"/>
          <w:sz w:val="22"/>
        </w:rPr>
        <w:t>(99F), and all other applicable federal, state, local, and commission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color w:val="000000"/>
          <w:sz w:val="22"/>
        </w:rPr>
        <w:t xml:space="preserve">Account registration. </w:t>
      </w:r>
      <w:r>
        <w:rPr>
          <w:rFonts w:ascii="Times New Roman" w:hAnsi="Times New Roman"/>
          <w:b w:val="false"/>
          <w:i w:val="false"/>
          <w:color w:val="000000"/>
          <w:sz w:val="22"/>
        </w:rPr>
        <w:t>A person must have an established account in order to place advance deposit sports wagers. The process for establishing an account is subject to the administrator’s approval. An account may be established through on-site registration under procedures previously approved by the administrator, or through remote registration. To establish an account, an application for an account shall be signed or otherwise authorized in a manner approved by the administrator and shall include the applicant’s full legal name, principal residential address, date of birth, last four digits of the social security number, and any other information required by the administrator. The account registration process shall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Age verification to prevent persons under the legal age for sports wagering from establishing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verification process that includes an exact match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birth, including month, date and year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last four digits of the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verification process that permits a flexible match by allowing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name may include nicknames and abbreviations.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may include abbreviations.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Authentication of identification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Answering knowledge-based questions based on the applicant’s public or private data;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Verifying that device ID and phone number match the applicant’s publicly known data;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Comparing of valid government-issued ID to applicant’s picture taken at time of account registration;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Another method as approved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that the applicant is not on the statewide self-exclusion list set forth in Iowa Code section </w:t>
      </w:r>
      <w:hyperlink r:id="rId28">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prior to establishing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Availability and acceptance of a set of terms and conditions that is also readily accessible to the player before and after registration and noticed when updated. Notices shall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Explanation of rules in which any unrecoverable malfunctions of hardware/software are addressed including, but not limited to, if the unrecoverable malfunction, wagering event cancellation, or other catastrophic malfunction results in the voiding of any wagers.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to deal with interruptions caused by the suspension of data flow from the network server during an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Specifications advising players to keep their account credentials secure.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Statement that no underage individuals are permitted to participate in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Explanation of conditions under which an account is declared inactive and actions undertaken on the account once this declaration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Availability and acceptance of a privacy policy that is also readily accessible to the player before and after registration and noticed when updated and that includes,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Statement of information that is collected, the purpose for information collection, and the conditions under which information may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Statement that any information obtained in respect to player registration or account establishment must be done in compliance with the privacy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Requirement that any information about player accounts which is not subject to disclosure pursuant to the privacy policy must be kept confidential, except where the release of that information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 that all player information must be securely erased from hard disks, magnetic tapes, solid state memory, and other devices before the device is properly disposed of by the licensee. If erasure is not possible, the storage device must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an advance deposit sports wagering operator has an agreement with more than one licensee, the advance deposit sports wagering operator shall submit an agreement to the administrator that indicates the manner in which customer net receipts shall be assigned with its licensee partners. The agreement shall include all partnering licensees and their respective qualified sponsoring organizations, and the net receipts shall be allocated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Make available an option for new remotely registered customers to select the licensee at which net receipts are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Allocate new remotely registered customer net receipts to the licensee which is located nearest to the customer’s principal residential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Distribute all customer receipts evenly between all licensees for which an agreement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alternative allocation agreement that complies with local, state and federal law.</w:t>
      </w:r>
    </w:p>
    <w:p>
      <w:pPr>
        <w:spacing w:before="0" w:after="0"/>
        <w:ind w:left="120"/>
        <w:jc w:val="both"/>
      </w:pPr>
      <w:r>
        <w:rPr>
          <w:rFonts w:ascii="Times New Roman" w:hAnsi="Times New Roman"/>
          <w:b w:val="false"/>
          <w:i w:val="false"/>
          <w:color w:val="000000"/>
          <w:sz w:val="22"/>
        </w:rPr>
        <w:t>The agreement shall be made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w:t>
      </w:r>
      <w:r>
        <w:rPr>
          <w:rFonts w:ascii="Times New Roman" w:hAnsi="Times New Roman"/>
          <w:b w:val="false"/>
          <w:i w:val="false"/>
          <w:color w:val="000000"/>
          <w:sz w:val="22"/>
        </w:rPr>
        <w:t> </w:t>
      </w:r>
      <w:r>
        <w:rPr>
          <w:rFonts w:ascii="Times New Roman" w:hAnsi="Times New Roman"/>
          <w:b w:val="false"/>
          <w:i/>
          <w:color w:val="000000"/>
          <w:sz w:val="22"/>
        </w:rPr>
        <w:t xml:space="preserve">Operation of an account. </w:t>
      </w:r>
      <w:r>
        <w:rPr>
          <w:rFonts w:ascii="Times New Roman" w:hAnsi="Times New Roman"/>
          <w:b w:val="false"/>
          <w:i w:val="false"/>
          <w:color w:val="000000"/>
          <w:sz w:val="22"/>
        </w:rPr>
        <w:t>The advance deposit sports wagering operator or a licensee shall submit controls, approved by the commission, that include the following for operating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Specific procedures and technology partners to fulfill the requirements set forth in </w:t>
      </w:r>
      <w:hyperlink r:id="rId29">
        <w:r>
          <w:rPr>
            <w:rStyle w:val="Hyperlink"/>
            <w:rFonts w:ascii="Times New Roman" w:hAnsi="Times New Roman"/>
            <w:b w:val="false"/>
            <w:i w:val="false"/>
            <w:color w:val="000000"/>
            <w:sz w:val="22"/>
          </w:rPr>
          <w:t>subrule 13.5(2)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Location detection procedures to reasonably detect and dynamically monitor the location of a player attempting to place any wager or perform other account activities as identified by the advance deposit sports wagering operator or licensee, related to an Iowa authorized account. Account activity-based location detection controls shall be informed by industry best practices and any commission guidelines for the detection of fraud of other unauthorized or illegal activity. The advance deposit sports wagering operator or licensee shall utilize and monitor geolocation activity to detect potential fraudulent and suspicious activity, which shall be reported in accordance with paragraph </w:t>
      </w:r>
      <w:hyperlink r:id="rId30">
        <w:r>
          <w:rPr>
            <w:rStyle w:val="Hyperlink"/>
            <w:rFonts w:ascii="Times New Roman" w:hAnsi="Times New Roman"/>
            <w:b w:val="false"/>
            <w:i w:val="false"/>
            <w:color w:val="000000"/>
            <w:sz w:val="22"/>
          </w:rPr>
          <w:t>13.2(7)</w:t>
        </w:r>
      </w:hyperlink>
      <w:r>
        <w:rPr>
          <w:rFonts w:ascii="Times New Roman" w:hAnsi="Times New Roman"/>
          <w:b w:val="false"/>
          <w:i/>
          <w:color w:val="000000"/>
          <w:sz w:val="22"/>
        </w:rPr>
        <w:t>“d.”</w:t>
      </w:r>
      <w:r>
        <w:rPr>
          <w:rFonts w:ascii="Times New Roman" w:hAnsi="Times New Roman"/>
          <w:b w:val="false"/>
          <w:i w:val="false"/>
          <w:color w:val="000000"/>
          <w:sz w:val="22"/>
        </w:rPr>
        <w:t xml:space="preserve"> A player outside the permitted boundary attempting to make a wager shall be rejected, and the player shall be notified. The confidence radius shall be entirely located within the permitted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Specific controls set forth in </w:t>
      </w:r>
      <w:hyperlink r:id="rId31">
        <w:r>
          <w:rPr>
            <w:rStyle w:val="Hyperlink"/>
            <w:rFonts w:ascii="Times New Roman" w:hAnsi="Times New Roman"/>
            <w:b w:val="false"/>
            <w:i w:val="false"/>
            <w:color w:val="000000"/>
            <w:sz w:val="22"/>
          </w:rPr>
          <w:t>subrule 13.2(7)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 of one active account, per individually branded website, at a time unless otherwise authorized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Authentication for login using a multifactor authentication process or other secure alternative means as authorized by the commission. After successful login, multifactor authentication will need to be performed at least every 14 days for each unique device. Processes for retrieving lost usernames and passwords shall be available, secure, and clearly disclosed to the player. Players shall be allowed to change their passwords.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Immediate notification to the player when changes are made to any account used for financial transactions or to registration information or when financial transactions are made unless other notification preferences are established by the player.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Process to immediately notify a player following an unusual login attempt. In the event that the unusual login attempt constitutes suspicious activity or if other suspicious activity is detected, an account shall be locked. A multifactor authentication process must be employed for the account to be unlocked.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Process for players to easily impose limitations or notifications for wagering parameters including, but not limited to, deposits and wagers. Self-imposed limitations must be applied automatically, take effect immediately, and be implemented as indicated by the player. No changes can be made reducing the severity of the self-imposed limitations for at least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Process for players to easily self-exclude from wagering for a specified period of time and indefinitely. Self-exclusions must be applied automatically, take effect immediately, and be implemented as indicated by the player. No changes can be made to reduce the severity of the self-exclusion limitations for at least 24 hours. In the event of indefinite self-exclusion, the advance deposit sports wagering operator or licensee must ensure that the player is paid in full for the player’s account balance within a reasonable time provided that the advance deposit sports wagering operator or licensee acknowledges that the funds have cleared. Players must be easily and obviously directed via a link to exclude themselves pursuant to Iowa Code section </w:t>
      </w:r>
      <w:hyperlink r:id="rId32">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This control does not supersede the requirements set forth in Iowa Code section </w:t>
      </w:r>
      <w:hyperlink r:id="rId33">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Process to review and deactivate accounts of newly enrolled participants of the statewide self-exclusion program set forth in Iowa Code section </w:t>
      </w:r>
      <w:hyperlink r:id="rId34">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The operator must ensure that players are paid in full for their account balance within a reasonable time provided that the operator acknowledges that the funds have cleared.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Provide for an easy and obvious method for a player to make a complaint and to enable the player to notify the commission if such complaint has not been or cannot be addressed by the advance deposit sports wagering operator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w:t>
      </w:r>
      <w:r>
        <w:rPr>
          <w:rFonts w:ascii="Times New Roman" w:hAnsi="Times New Roman"/>
          <w:b w:val="false"/>
          <w:i w:val="false"/>
          <w:color w:val="000000"/>
          <w:sz w:val="22"/>
        </w:rPr>
        <w:t> </w:t>
      </w:r>
      <w:r>
        <w:rPr>
          <w:rFonts w:ascii="Times New Roman" w:hAnsi="Times New Roman"/>
          <w:b w:val="false"/>
          <w:i/>
          <w:color w:val="000000"/>
          <w:sz w:val="22"/>
        </w:rPr>
        <w:t xml:space="preserve">Account funds. </w:t>
      </w:r>
      <w:r>
        <w:rPr>
          <w:rFonts w:ascii="Times New Roman" w:hAnsi="Times New Roman"/>
          <w:b w:val="false"/>
          <w:i w:val="false"/>
          <w:color w:val="000000"/>
          <w:sz w:val="22"/>
        </w:rPr>
        <w:t>The following requirements apply to the maintenance of funds associated with a player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Positive player identification, including any personal identification number (PIN) entry or other approved secure methods, must be completed before the withdrawal of any moneys held by the advance deposit sports wagering operator or licensee can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from an account are to be paid directly to an account with a financial institution in the name of the player or made payable to the player and forwarded to the player’s address or through another method that is not prohibited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advance deposit sports wagering operator or licensee must have in place security or authorization procedures to ensure that only authorized adjustments can be made to player accounts and that changes are auditable.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shall not be possible to transfer funds between two player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advance deposit sports wagering operator or licensee shall provide a transaction log or account statement history at no cost to players upon request. Information provided shall include sufficient information to allow players to reconcile the statement or log against their own financial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Requests for withdrawals shall not be unreasonably withheld and shall be completed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advance deposit sports wagering operator or licensee shall provide a fee-free method for players to deposit or withdraw funds from player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method of reserve utilized to comply with </w:t>
      </w:r>
      <w:hyperlink r:id="rId35">
        <w:r>
          <w:rPr>
            <w:rStyle w:val="Hyperlink"/>
            <w:rFonts w:ascii="Times New Roman" w:hAnsi="Times New Roman"/>
            <w:b w:val="false"/>
            <w:i w:val="false"/>
            <w:color w:val="000000"/>
            <w:sz w:val="22"/>
          </w:rPr>
          <w:t>subrule 13.2(6)</w:t>
        </w:r>
      </w:hyperlink>
      <w:r>
        <w:rPr>
          <w:rFonts w:ascii="Times New Roman" w:hAnsi="Times New Roman"/>
          <w:b w:val="false"/>
          <w:i w:val="false"/>
          <w:color w:val="000000"/>
          <w:sz w:val="22"/>
        </w:rPr>
        <w:t xml:space="preserve"> is not in the form of cash or cash equivalents segregated from operational funds, an advance deposit sports wagering operator or licensee shall segregate player account funds from operational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13.5(5)</w:t>
      </w:r>
      <w:r>
        <w:rPr>
          <w:rFonts w:ascii="Times New Roman" w:hAnsi="Times New Roman"/>
          <w:b w:val="false"/>
          <w:i w:val="false"/>
          <w:color w:val="000000"/>
          <w:sz w:val="22"/>
        </w:rPr>
        <w:t> </w:t>
      </w:r>
      <w:r>
        <w:rPr>
          <w:rFonts w:ascii="Times New Roman" w:hAnsi="Times New Roman"/>
          <w:b w:val="false"/>
          <w:i/>
          <w:color w:val="000000"/>
          <w:sz w:val="22"/>
        </w:rPr>
        <w:t xml:space="preserve">Annual audit. </w:t>
      </w:r>
      <w:r>
        <w:rPr>
          <w:rFonts w:ascii="Times New Roman" w:hAnsi="Times New Roman"/>
          <w:b w:val="false"/>
          <w:i w:val="false"/>
          <w:color w:val="000000"/>
          <w:sz w:val="22"/>
        </w:rPr>
        <w:t>An audit of the advance deposit sports wagering operations for the advance deposit sports wagering operator or licensee or parent company of the advance deposit sports wagering operator or licensee shall be conducted by certified public accountants authorized to practice in the state of Iowa and provided to the commission within 90 days of the licensee’s fiscal year and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Inclusion of an internal control letter, audited balance sheet, and audited profit-and-loss statement including a breakdown of expenditures and subsidiaries of advance deposit sports wagering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Inclusion of a supplement schedule indicating financial activities on a calendar-year basis if the advance deposit sports wagering operator’s or licensee’s fiscal year does not correspond to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 of any material errors, irregularities that may be discovered during the audit, or notice of any audit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Availability, upon request, of an engagement letter for the audit between the advance deposit sports wagering operator or licensee or parent company of the advance deposit sports wagering operator or licensee and the auditing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Inclusion of a supplemental schedule for Iowa operations. A supplemental schedule shall include a breakdown of advance deposit sports wagering activities by each Iowa casino in which there is an agreement. The supplemental schedule provided to satisfy this requirement may be unaudited; however, the top financial officer of the company shall provide a statement attesting to the accuracy of the information provided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13.5(6)</w:t>
      </w:r>
      <w:r>
        <w:rPr>
          <w:rFonts w:ascii="Times New Roman" w:hAnsi="Times New Roman"/>
          <w:b w:val="false"/>
          <w:i w:val="false"/>
          <w:color w:val="000000"/>
          <w:sz w:val="22"/>
        </w:rPr>
        <w:t> </w:t>
      </w:r>
      <w:r>
        <w:rPr>
          <w:rFonts w:ascii="Times New Roman" w:hAnsi="Times New Roman"/>
          <w:b w:val="false"/>
          <w:i/>
          <w:color w:val="000000"/>
          <w:sz w:val="22"/>
        </w:rPr>
        <w:t xml:space="preserve">Wagers. </w:t>
      </w:r>
      <w:r>
        <w:rPr>
          <w:rFonts w:ascii="Times New Roman" w:hAnsi="Times New Roman"/>
          <w:b w:val="false"/>
          <w:i w:val="false"/>
          <w:color w:val="000000"/>
          <w:sz w:val="22"/>
        </w:rPr>
        <w:t>An advance deposit sports wagering operator shall display a player’s wagers in a readily accessible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13.5(7)</w:t>
      </w:r>
      <w:r>
        <w:rPr>
          <w:rFonts w:ascii="Times New Roman" w:hAnsi="Times New Roman"/>
          <w:b w:val="false"/>
          <w:i w:val="false"/>
          <w:color w:val="000000"/>
          <w:sz w:val="22"/>
        </w:rPr>
        <w:t> </w:t>
      </w:r>
      <w:r>
        <w:rPr>
          <w:rFonts w:ascii="Times New Roman" w:hAnsi="Times New Roman"/>
          <w:b w:val="false"/>
          <w:i/>
          <w:color w:val="000000"/>
          <w:sz w:val="22"/>
        </w:rPr>
        <w:t xml:space="preserve">Expiration or termination of an Iowa Code section </w:t>
      </w:r>
      <w:hyperlink r:id="rId36">
        <w:r>
          <w:rPr>
            <w:rStyle w:val="Hyperlink"/>
            <w:rFonts w:ascii="Times New Roman" w:hAnsi="Times New Roman"/>
            <w:b w:val="false"/>
            <w:i/>
            <w:color w:val="000000"/>
            <w:sz w:val="22"/>
          </w:rPr>
          <w:t>99F.7A</w:t>
        </w:r>
      </w:hyperlink>
      <w:r>
        <w:rPr>
          <w:rFonts w:ascii="Times New Roman" w:hAnsi="Times New Roman"/>
          <w:b w:val="false"/>
          <w:i/>
          <w:color w:val="000000"/>
          <w:sz w:val="22"/>
        </w:rPr>
        <w:t xml:space="preserve"> operating agreement. </w:t>
      </w:r>
      <w:r>
        <w:rPr>
          <w:rFonts w:ascii="Times New Roman" w:hAnsi="Times New Roman"/>
          <w:b w:val="false"/>
          <w:i w:val="false"/>
          <w:color w:val="000000"/>
          <w:sz w:val="22"/>
        </w:rPr>
        <w:t xml:space="preserve">In the event an advance deposit sports wagering operating agreement between a licensee under Iowa Code section </w:t>
      </w:r>
      <w:hyperlink r:id="rId37">
        <w:r>
          <w:rPr>
            <w:rStyle w:val="Hyperlink"/>
            <w:rFonts w:ascii="Times New Roman" w:hAnsi="Times New Roman"/>
            <w:b w:val="false"/>
            <w:i w:val="false"/>
            <w:color w:val="000000"/>
            <w:sz w:val="22"/>
          </w:rPr>
          <w:t>99F.7A</w:t>
        </w:r>
      </w:hyperlink>
      <w:r>
        <w:rPr>
          <w:rFonts w:ascii="Times New Roman" w:hAnsi="Times New Roman"/>
          <w:b w:val="false"/>
          <w:i w:val="false"/>
          <w:color w:val="000000"/>
          <w:sz w:val="22"/>
        </w:rPr>
        <w:t xml:space="preserve"> and another entity expires, terminates, or is no longer valid, notice of termination must be given to the commission and all customers affiliated with the licensee. A customer shall be given an opportunity to close an account. If the advance deposit sports wagering operator has an operating agreement with other licensees in the state of Iowa, the customer shall have the option to select another partner licensee to which their net receipts shall be assigned, or the customer’s net receipts shall be assigned to any remaining partner licensees in accordance with an agreement submitted to the administrator pursuant to paragraph </w:t>
      </w:r>
      <w:hyperlink r:id="rId38">
        <w:r>
          <w:rPr>
            <w:rStyle w:val="Hyperlink"/>
            <w:rFonts w:ascii="Times New Roman" w:hAnsi="Times New Roman"/>
            <w:b w:val="false"/>
            <w:i w:val="false"/>
            <w:color w:val="000000"/>
            <w:sz w:val="22"/>
          </w:rPr>
          <w:t>13.5(2)</w:t>
        </w:r>
      </w:hyperlink>
      <w:r>
        <w:rPr>
          <w:rFonts w:ascii="Times New Roman" w:hAnsi="Times New Roman"/>
          <w:b w:val="false"/>
          <w:i/>
          <w:color w:val="000000"/>
          <w:sz w:val="22"/>
        </w:rPr>
        <w: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491—13.6</w:t>
      </w:r>
      <w:r>
        <w:rPr>
          <w:rFonts w:ascii="Times New Roman" w:hAnsi="Times New Roman"/>
          <w:b/>
          <w:i w:val="false"/>
          <w:color w:val="000000"/>
          <w:sz w:val="22"/>
        </w:rPr>
        <w:t xml:space="preserve">(99F) </w:t>
      </w:r>
      <w:r>
        <w:rPr>
          <w:rFonts w:ascii="Times New Roman" w:hAnsi="Times New Roman"/>
          <w:b/>
          <w:i w:val="false"/>
          <w:color w:val="000000"/>
          <w:sz w:val="22"/>
        </w:rPr>
        <w:t xml:space="preserve">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color w:val="000000"/>
          <w:sz w:val="22"/>
        </w:rPr>
        <w:t xml:space="preserve">Initial testing. </w:t>
      </w:r>
      <w:r>
        <w:rPr>
          <w:rFonts w:ascii="Times New Roman" w:hAnsi="Times New Roman"/>
          <w:b w:val="false"/>
          <w:i w:val="false"/>
          <w:color w:val="000000"/>
          <w:sz w:val="22"/>
        </w:rPr>
        <w:t>All equipment and systems integral to the conduct of sports wagering and advance deposit sports wagering shall be tested and certified for compliance with commission rules and the standards required by a commission-designated independent testing laboratory. Certification and commission approval must be received prior to the use of any equipment or system to conduct sports wagering. The commission may designate more than one independent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color w:val="000000"/>
          <w:sz w:val="22"/>
        </w:rPr>
        <w:t xml:space="preserve">Change control. </w:t>
      </w:r>
      <w:r>
        <w:rPr>
          <w:rFonts w:ascii="Times New Roman" w:hAnsi="Times New Roman"/>
          <w:b w:val="false"/>
          <w:i w:val="false"/>
          <w:color w:val="000000"/>
          <w:sz w:val="22"/>
        </w:rPr>
        <w:t>The licensees and advance deposit sports wagering operators shall submit change control processes that detail evaluation procedures for all updates and changes to equipment and systems to the administrator for approval at least 30 days prior to operation. These processes shall include, at a minimum, descriptions of the following areas of licensee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Process to classify all changes according to organizational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Process to designate whether changes must be submitted to an independent testing laboratory for review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Process for emergency change determination and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Process to log or note changes. Must include the details logged for each change, including but not limited to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and time of change or proposed date and time of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Basic description of changes to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classification of change or changes, determined in accordance with the process established by </w:t>
      </w:r>
      <w:hyperlink r:id="rId39">
        <w:r>
          <w:rPr>
            <w:rStyle w:val="Hyperlink"/>
            <w:rFonts w:ascii="Times New Roman" w:hAnsi="Times New Roman"/>
            <w:b w:val="false"/>
            <w:i w:val="false"/>
            <w:color w:val="000000"/>
            <w:sz w:val="22"/>
          </w:rPr>
          <w:t>paragraph 13.6(2)</w:t>
        </w:r>
        <w:r>
          <w:rPr>
            <w:rFonts w:ascii="Times New Roman" w:hAnsi="Times New Roman"/>
            <w:b w:val="false"/>
            <w:i/>
            <w:color w:val="000000"/>
            <w:sz w:val="22"/>
          </w:rPr>
          <w:t>“a.”</w:t>
        </w:r>
      </w:hyperlink>
      <w:r>
        <w:rPr>
          <w:rFonts w:ascii="Times New Roman" w:hAnsi="Times New Roman"/>
          <w:b w:val="false"/>
          <w:i w:val="false"/>
          <w:color w:val="000000"/>
          <w:sz w:val="22"/>
        </w:rPr>
        <w:t xml:space="preserve"> If emergency designation is separate from other change classifications, this shall also be included in the log or note.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whether a change was submitted to an independent testing laboratory, and the certification report number of any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Process to maintain logs or notify the commission of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color w:val="000000"/>
          <w:sz w:val="22"/>
        </w:rPr>
        <w:t xml:space="preserve">Annual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system integrity and security risk assessment shall be performed annually on the advance deposit sports wagering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testing organization must be independent of the licensee and shall be qualified by the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integrity and security risk assessment shall be completed no later than March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from the risk assessment shall be submitted to the administrator no later than 60 days after the assessment is completed. Results shall include a remediation plan to address any risks identified during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risk assessment shall be conducted in accordance with current and accepted industry standard review requirements for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risk assessment shall include a review of licensee controls. Review of controls shall include but not be limited to a comparison of licensee controls to industry standard and best practice controls, and an audit of the licensee processes for compliance with those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geolocation system and integrity test shall be performed annually on the advance deposit wagering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testing organization must be independent of the licensee and the licensed geolocation vendor and shall be qualified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geolocation test shall be completed and the results submitted no later than March 31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Geolocation testing shall review existing licensee procedures for detecting and reporting fraudulent activity associated with any account activity detected by the geolocation system, and shall recommend updates to those procedures to align with any current or updated industry standard or commission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administrator, additional assessments or specific testing criteria may be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491—13.7</w:t>
      </w:r>
      <w:r>
        <w:rPr>
          <w:rFonts w:ascii="Times New Roman" w:hAnsi="Times New Roman"/>
          <w:b/>
          <w:i w:val="false"/>
          <w:color w:val="000000"/>
          <w:sz w:val="22"/>
        </w:rPr>
        <w:t xml:space="preserve">(99F) </w:t>
      </w:r>
      <w:r>
        <w:rPr>
          <w:rFonts w:ascii="Times New Roman" w:hAnsi="Times New Roman"/>
          <w:b/>
          <w:i w:val="false"/>
          <w:color w:val="000000"/>
          <w:sz w:val="22"/>
        </w:rPr>
        <w:t xml:space="preserve">Licensing.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payment of fee. </w:t>
      </w:r>
      <w:r>
        <w:rPr>
          <w:rFonts w:ascii="Times New Roman" w:hAnsi="Times New Roman"/>
          <w:b w:val="false"/>
          <w:i w:val="false"/>
          <w:color w:val="000000"/>
          <w:sz w:val="22"/>
        </w:rPr>
        <w:t xml:space="preserve">The commission shall, upon payment of an initial license fee of $45,000 and submission of an application consistent with the requirements of Iowa Code section </w:t>
      </w:r>
      <w:hyperlink r:id="rId40">
        <w:r>
          <w:rPr>
            <w:rStyle w:val="Hyperlink"/>
            <w:rFonts w:ascii="Times New Roman" w:hAnsi="Times New Roman"/>
            <w:b w:val="false"/>
            <w:i w:val="false"/>
            <w:color w:val="000000"/>
            <w:sz w:val="22"/>
          </w:rPr>
          <w:t>99F.6</w:t>
        </w:r>
      </w:hyperlink>
      <w:r>
        <w:rPr>
          <w:rFonts w:ascii="Times New Roman" w:hAnsi="Times New Roman"/>
          <w:b w:val="false"/>
          <w:i w:val="false"/>
          <w:color w:val="000000"/>
          <w:sz w:val="22"/>
        </w:rPr>
        <w:t>, issue a license to conduct sports wagering to a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for a facility. </w:t>
      </w:r>
      <w:r>
        <w:rPr>
          <w:rFonts w:ascii="Times New Roman" w:hAnsi="Times New Roman"/>
          <w:b w:val="false"/>
          <w:i w:val="false"/>
          <w:color w:val="000000"/>
          <w:sz w:val="22"/>
        </w:rPr>
        <w:t>Application for a license for a facility to conduct sports wagering shall be made to the commission. In addition to the application, the following must be completed and presented when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entity to be licensed by the commission to conduct sports wagering operations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agreements with entities to manage or operate sports wagering with or on behalf of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operating agreements for up to two, or three if authorized by the commission, individually branded internet sites to conduct advance deposit wagering for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Iowa Code section </w:t>
      </w:r>
      <w:hyperlink r:id="rId41">
        <w:r>
          <w:rPr>
            <w:rStyle w:val="Hyperlink"/>
            <w:rFonts w:ascii="Times New Roman" w:hAnsi="Times New Roman"/>
            <w:b w:val="false"/>
            <w:i w:val="false"/>
            <w:color w:val="000000"/>
            <w:sz w:val="22"/>
          </w:rPr>
          <w:t>99F.6(4)</w:t>
        </w:r>
      </w:hyperlink>
      <w:r>
        <w:rPr>
          <w:rFonts w:ascii="Times New Roman" w:hAnsi="Times New Roman"/>
          <w:b w:val="false"/>
          <w:i/>
          <w:color w:val="000000"/>
          <w:sz w:val="22"/>
        </w:rPr>
        <w:t>“a”</w:t>
      </w:r>
      <w:r>
        <w:rPr>
          <w:rFonts w:ascii="Times New Roman" w:hAnsi="Times New Roman"/>
          <w:b w:val="false"/>
          <w:i w:val="false"/>
          <w:color w:val="000000"/>
          <w:sz w:val="22"/>
        </w:rPr>
        <w:t>(2) and (3) requirements for qualified sponsoring organizations or horse racing purses.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bond or irrevocable letter of credit on behalf of the facility in an amount to be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bank check, cashier’s check, or wire transfer made payable to Iowa Racing and Gaming Commission for $45,000 for an initial license or $10,000 for a renewal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for an advance deposit sports wagering operator. </w:t>
      </w:r>
      <w:r>
        <w:rPr>
          <w:rFonts w:ascii="Times New Roman" w:hAnsi="Times New Roman"/>
          <w:b w:val="false"/>
          <w:i w:val="false"/>
          <w:color w:val="000000"/>
          <w:sz w:val="22"/>
        </w:rPr>
        <w:t>Application for a license for an advance deposit sports wagering operator with an agreement with a facility shall be made to the commission for approval by the administrator. In addition to the application, the following must be completed and presented when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of ownership interest, directors, or officers of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or licensee shall notify the administrator of the identity of each director, corporate officer, owner, partner, joint venture participant, trustee, or any other person who has any beneficial interest of 5 percent or more, direct or indirect, in the business entity. For any of the above, as required by the administrator, the applicant or licensee shall submit background information on forms supplied by the division of criminal investigation and any other information the administrator may require.</w:t>
      </w:r>
    </w:p>
    <w:p>
      <w:pPr>
        <w:spacing w:before="0" w:after="0"/>
        <w:ind w:left="120"/>
        <w:jc w:val="both"/>
      </w:pPr>
      <w:r>
        <w:rPr>
          <w:rFonts w:ascii="Times New Roman" w:hAnsi="Times New Roman"/>
          <w:b w:val="false"/>
          <w:i w:val="false"/>
          <w:color w:val="000000"/>
          <w:sz w:val="22"/>
        </w:rPr>
        <w:t>For purposes of this rule, the term “beneficial interest” includes all direct and indirect forms of ownership or control, voting power, or investment power held through any contract, lien, lease, partnership, stockholding, syndication, joint venture, understanding, relationship (including family relationship), present or reversionary right, title or interest,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ownership interests of less than 5 percent, the administrator may request a list of these interests. The list shall include names, percentages owned, addresses, social security numbers, and dates of birth. The administrator may request the same information required of those individuals in </w:t>
      </w:r>
      <w:hyperlink r:id="rId42">
        <w:r>
          <w:rPr>
            <w:rStyle w:val="Hyperlink"/>
            <w:rFonts w:ascii="Times New Roman" w:hAnsi="Times New Roman"/>
            <w:b w:val="false"/>
            <w:i w:val="false"/>
            <w:color w:val="000000"/>
            <w:sz w:val="22"/>
          </w:rPr>
          <w:t>subparagraph 13.7(3)</w:t>
        </w:r>
      </w:hyperlink>
      <w:r>
        <w:rPr>
          <w:rFonts w:ascii="Times New Roman" w:hAnsi="Times New Roman"/>
          <w:b w:val="false"/>
          <w:i/>
          <w:color w:val="000000"/>
          <w:sz w:val="22"/>
        </w:rPr>
        <w:t>“a”</w:t>
      </w:r>
      <w:r>
        <w:rPr>
          <w:rFonts w:ascii="Times New Roman" w:hAnsi="Times New Roman"/>
          <w:b w:val="false"/>
          <w:i w:val="false"/>
          <w:color w:val="000000"/>
          <w:sz w:val="22"/>
        </w:rPr>
        <w:t>(1)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Investigative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Advance payment. The department of public safety may request payment of the investigative fee in advance as a condition to beginning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required. The administrator may withhold final action with respect to any application until all investigative fees have been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List of employees of the aforementioned who may have contact with persons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Agreement with facility to operate or manage the advance deposit sports wagering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and all changes in the applicant’s legal structure, directors, officers, or the respective ownership interests must be promptly filed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administrator may deny, suspend, or revoke the license of an applicant or licensee in which a director, corporate officer, or holder of a beneficial interest includes or involves any person or entity which would be, or is, ineligible in any respect, such as through want of character, moral fitness, financial responsibility, or professional qualifications, or due to failure to meet other criteria employed by the administrator, to participate in gaming regardless of the percentage of ownership interest involved. The administrator may order the ineligible person or entity to terminate all relationships with the licensee or applicant, including divestiture of any ownership interest or beneficial interest at acquisition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 of the full nature and extent of all beneficial interests may be requested by the administrator and shall include the names of individuals and entities, the nature of their relationships, and the exact nature of their beneficial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disclosure is made for the benefit of the public, and documents pertaining to the ownership filed with the administrator shall be available for public inspection in accordance with </w:t>
      </w:r>
      <w:hyperlink r:id="rId43">
        <w:r>
          <w:rPr>
            <w:rStyle w:val="Hyperlink"/>
            <w:rFonts w:ascii="Times New Roman" w:hAnsi="Times New Roman"/>
            <w:b w:val="false"/>
            <w:i w:val="false"/>
            <w:color w:val="000000"/>
            <w:sz w:val="22"/>
          </w:rPr>
          <w:t>491—Chapter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13.7(4)</w:t>
      </w:r>
      <w:r>
        <w:rPr>
          <w:rFonts w:ascii="Times New Roman" w:hAnsi="Times New Roman"/>
          <w:b w:val="false"/>
          <w:i w:val="false"/>
          <w:color w:val="000000"/>
          <w:sz w:val="22"/>
        </w:rPr>
        <w:t> </w:t>
      </w:r>
      <w:r>
        <w:rPr>
          <w:rFonts w:ascii="Times New Roman" w:hAnsi="Times New Roman"/>
          <w:b w:val="false"/>
          <w:i/>
          <w:color w:val="000000"/>
          <w:sz w:val="22"/>
        </w:rPr>
        <w:t xml:space="preserve">Supplementary information. </w:t>
      </w:r>
      <w:r>
        <w:rPr>
          <w:rFonts w:ascii="Times New Roman" w:hAnsi="Times New Roman"/>
          <w:b w:val="false"/>
          <w:i w:val="false"/>
          <w:color w:val="000000"/>
          <w:sz w:val="22"/>
        </w:rPr>
        <w:t>Each applicant shall promptly furnish the administrator with all additional information pertaining to the application or the applicant which the administrator may require. Failure to supply the requested information within five days after the request has been received by the applicant shall constitute grounds for delaying consideration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license certificate may be issued at the discretion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temporary license certificate issued at the discretion of the administrator shall be valid for a maximum of 120 calendar days from the date of issue. Failure to obtain a permanent license within the designated time may result in revocation of license eligibility, fine, or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13.7(6)</w:t>
      </w:r>
      <w:r>
        <w:rPr>
          <w:rFonts w:ascii="Times New Roman" w:hAnsi="Times New Roman"/>
          <w:b w:val="false"/>
          <w:i w:val="false"/>
          <w:color w:val="000000"/>
          <w:sz w:val="22"/>
        </w:rPr>
        <w:t> </w:t>
      </w:r>
      <w:r>
        <w:rPr>
          <w:rFonts w:ascii="Times New Roman" w:hAnsi="Times New Roman"/>
          <w:b w:val="false"/>
          <w:i/>
          <w:color w:val="000000"/>
          <w:sz w:val="22"/>
        </w:rPr>
        <w:t xml:space="preserve">Withdrawal of application. </w:t>
      </w:r>
      <w:r>
        <w:rPr>
          <w:rFonts w:ascii="Times New Roman" w:hAnsi="Times New Roman"/>
          <w:b w:val="false"/>
          <w:i w:val="false"/>
          <w:color w:val="000000"/>
          <w:sz w:val="22"/>
        </w:rPr>
        <w:t>A written notice of withdrawal of application may be filed by an applicant at any time prior to final action. No application shall be permitted to be withdrawn unless the administrator determines the withdrawal to be in the public interest. No fee or other payment relating to any application shall become refundable by reason of withdrawal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13.7(7)</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 storage required. Licensees and advance deposit sports wagering operators shall maintain adequate records of business operations, which shall be made available to the administrator upon request. These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correspondence with the administrator and other governmental agencies on the local, state, and federal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between the licensee and advance deposit sports wagering operators and any of their customers who are applicants or licensees under Iowa Code chapter </w:t>
      </w:r>
      <w:hyperlink r:id="rId44">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personnel file on each employee of the licensee and advance deposit sports wagering operator, including sales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Financial records of all transactions with facilities and all other licensees and advance deposit sports wagering operators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retention. Records other than those listed in </w:t>
      </w:r>
      <w:hyperlink r:id="rId45">
        <w:r>
          <w:rPr>
            <w:rStyle w:val="Hyperlink"/>
            <w:rFonts w:ascii="Times New Roman" w:hAnsi="Times New Roman"/>
            <w:b w:val="false"/>
            <w:i w:val="false"/>
            <w:color w:val="000000"/>
            <w:sz w:val="22"/>
          </w:rPr>
          <w:t>subrule 13.2(8)</w:t>
        </w:r>
      </w:hyperlink>
      <w:r>
        <w:rPr>
          <w:rFonts w:ascii="Times New Roman" w:hAnsi="Times New Roman"/>
          <w:b w:val="false"/>
          <w:i w:val="false"/>
          <w:color w:val="000000"/>
          <w:sz w:val="22"/>
        </w:rPr>
        <w:t xml:space="preserve"> shall be retained as required by </w:t>
      </w:r>
      <w:hyperlink r:id="rId46">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13.7(8)</w:t>
      </w:r>
      <w:r>
        <w:rPr>
          <w:rFonts w:ascii="Times New Roman" w:hAnsi="Times New Roman"/>
          <w:b w:val="false"/>
          <w:i w:val="false"/>
          <w:color w:val="000000"/>
          <w:sz w:val="22"/>
        </w:rPr>
        <w:t> </w:t>
      </w:r>
      <w:r>
        <w:rPr>
          <w:rFonts w:ascii="Times New Roman" w:hAnsi="Times New Roman"/>
          <w:b w:val="false"/>
          <w:i/>
          <w:color w:val="000000"/>
          <w:sz w:val="22"/>
        </w:rPr>
        <w:t xml:space="preserve">Violation of laws or regulations. </w:t>
      </w:r>
      <w:r>
        <w:rPr>
          <w:rFonts w:ascii="Times New Roman" w:hAnsi="Times New Roman"/>
          <w:b w:val="false"/>
          <w:i w:val="false"/>
          <w:color w:val="000000"/>
          <w:sz w:val="22"/>
        </w:rPr>
        <w:t>Violation of any provision of any laws of the state or of the United States of America or of any rules of the commission may constitute an unsuitable method of operation, subjecting the licensee to limiting, conditioning, restricting, revoking or suspending the license, or fining the licensee or advance deposit sports wagering operator, or any combination of the above. The commission has the discretion to suspend mobile gaming operations of its licensees by written order if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7">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4618C, IAB 8/28/19, effective 7/31/19]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5016C</w:t>
      </w:r>
      <w:r>
        <w:rPr>
          <w:rFonts w:ascii="Times New Roman" w:hAnsi="Times New Roman"/>
          <w:b w:val="false"/>
          <w:i w:val="false"/>
          <w:color w:val="000000"/>
          <w:sz w:val="21"/>
        </w:rPr>
        <w:t xml:space="preserve"> (Amended Notice ARC 4807C, IAB 12/18/19; </w:t>
      </w:r>
      <w:r>
        <w:rPr>
          <w:rFonts w:ascii="Times New Roman" w:hAnsi="Times New Roman"/>
          <w:b w:val="false"/>
          <w:i w:val="false"/>
          <w:color w:val="000000"/>
          <w:sz w:val="21"/>
        </w:rPr>
        <w:t>Notice ARC 4617C, IAB 8/28/19)</w:t>
      </w:r>
      <w:r>
        <w:rPr>
          <w:rFonts w:ascii="Times New Roman" w:hAnsi="Times New Roman"/>
          <w:b w:val="false"/>
          <w:i w:val="false"/>
          <w:color w:val="000000"/>
          <w:sz w:val="21"/>
        </w:rPr>
        <w:t>, IAB 4/8/20, effective 5/13/20]</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5422C</w:t>
      </w:r>
      <w:r>
        <w:rPr>
          <w:rFonts w:ascii="Times New Roman" w:hAnsi="Times New Roman"/>
          <w:b w:val="false"/>
          <w:i w:val="false"/>
          <w:color w:val="000000"/>
          <w:sz w:val="21"/>
        </w:rPr>
        <w:t xml:space="preserve"> (Notice ARC 5269C, IAB 11/18/20)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6169C</w:t>
      </w:r>
      <w:r>
        <w:rPr>
          <w:rFonts w:ascii="Times New Roman" w:hAnsi="Times New Roman"/>
          <w:b w:val="false"/>
          <w:i w:val="false"/>
          <w:color w:val="000000"/>
          <w:sz w:val="21"/>
        </w:rPr>
        <w:t xml:space="preserve"> (Notice ARC 6056C,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6895C</w:t>
      </w:r>
      <w:r>
        <w:rPr>
          <w:rFonts w:ascii="Times New Roman" w:hAnsi="Times New Roman"/>
          <w:b w:val="false"/>
          <w:i w:val="false"/>
          <w:color w:val="000000"/>
          <w:sz w:val="21"/>
        </w:rPr>
        <w:t xml:space="preserve"> (Notice ARC 6610C, IAB 11/2/22)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7634C</w:t>
      </w:r>
      <w:r>
        <w:rPr>
          <w:rFonts w:ascii="Times New Roman" w:hAnsi="Times New Roman"/>
          <w:b w:val="false"/>
          <w:i w:val="false"/>
          <w:color w:val="000000"/>
          <w:sz w:val="21"/>
        </w:rPr>
        <w:t xml:space="preserve"> (Notice ARC 7070C, IAB 9/20/23)</w:t>
      </w:r>
      <w:r>
        <w:rPr>
          <w:rFonts w:ascii="Times New Roman" w:hAnsi="Times New Roman"/>
          <w:b w:val="false"/>
          <w:i w:val="false"/>
          <w:color w:val="000000"/>
          <w:sz w:val="21"/>
        </w:rPr>
        <w:t>, IAB 2/21/24, effective 3/27/24]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5/29/24]</w:t>
      </w:r>
    </w:p>
    <w:p>
      <w:pPr>
        <w:pBdr>
          <w:bottom w:space="2"/>
        </w:pBdr>
        <w:spacing w:before="0" w:after="0"/>
        <w:ind w:left="120"/>
        <w:jc w:val="both"/>
      </w:pPr>
      <w:r>
        <w:rPr>
          <w:rFonts w:ascii="Times New Roman" w:hAnsi="Times New Roman"/>
          <w:b w:val="false"/>
          <w:i w:val="false"/>
          <w:color w:val="000000"/>
          <w:sz w:val="22"/>
        </w:rPr>
        <w:t xml:space="preserve">Applicability of paragraph 13.2(7)“i” suspended until the adjournment of the 2020 session of the General Assembly by the Administrative Rules Review Committee at its meeting held August 12, 2019. Suspension superseded by adoption of paragraph 13.2(7)“i” in </w:t>
      </w:r>
      <w:r>
        <w:rPr>
          <w:rFonts w:ascii="Times New Roman" w:hAnsi="Times New Roman"/>
          <w:b/>
          <w:i w:val="false"/>
          <w:color w:val="000000"/>
          <w:sz w:val="22"/>
        </w:rPr>
        <w:t>ARC 5016C</w:t>
      </w:r>
      <w:r>
        <w:rPr>
          <w:rFonts w:ascii="Times New Roman" w:hAnsi="Times New Roman"/>
          <w:b w:val="false"/>
          <w:i w:val="false"/>
          <w:color w:val="000000"/>
          <w:sz w:val="22"/>
        </w:rPr>
        <w:t>, effective 5/13/20.</w:t>
      </w:r>
    </w:p>
    <w:p>
      <w:pPr>
        <w:pBdr>
          <w:bottom w:space="2"/>
        </w:pBdr>
        <w:spacing w:before="0" w:after="0"/>
        <w:ind w:left="120"/>
        <w:jc w:val="both"/>
      </w:pPr>
      <w:r>
        <w:rPr>
          <w:rFonts w:ascii="Times New Roman" w:hAnsi="Times New Roman"/>
          <w:b w:val="false"/>
          <w:i w:val="false"/>
          <w:color w:val="000000"/>
          <w:sz w:val="22"/>
        </w:rPr>
        <w:t>Applicability of paragraph 13.2(7)“i” delayed until the adjournment of the 2021 session of the General Assembly by the Administrative Rules Review Committee at its meeting held May 8, 2020.</w:t>
      </w:r>
    </w:p>
    <w:p>
      <w:pPr>
        <w:spacing w:before="0" w:after="0"/>
        <w:ind w:left="120"/>
        <w:jc w:val="both"/>
      </w:pPr>
      <w:r>
        <w:rPr>
          <w:rFonts w:ascii="Times New Roman" w:hAnsi="Times New Roman"/>
          <w:b w:val="false"/>
          <w:i w:val="false"/>
          <w:color w:val="000000"/>
          <w:sz w:val="22"/>
        </w:rPr>
        <w:t>March 27, 2024, effective date of Items 8 through 16 of ARC 7634C delayed until the adjournment of the 2025 Legislative Session of the General Assembly by the Administrative Rules Review Committee at its meeting held March 11, 2024.</w:t>
      </w:r>
    </w:p>
    <w:p>
      <w:pPr>
        <w:spacing w:before="0" w:after="0"/>
        <w:ind w:left="120"/>
        <w:jc w:val="both"/>
      </w:pP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F.7A.pdf" Type="http://schemas.openxmlformats.org/officeDocument/2006/relationships/hyperlink" Id="rId5"/>
    <Relationship TargetMode="External" Target="https://www.legis.iowa.gov/docs/ico/chapter/99F.7A.pdf" Type="http://schemas.openxmlformats.org/officeDocument/2006/relationships/hyperlink" Id="rId6"/>
    <Relationship TargetMode="External" Target="https://www.legis.iowa.gov/docs/ico/chapter/99D.2.pdf" Type="http://schemas.openxmlformats.org/officeDocument/2006/relationships/hyperlink" Id="rId7"/>
    <Relationship TargetMode="External" Target="https://www.legis.iowa.gov/docs/ico/chapter/99E.1.pdf" Type="http://schemas.openxmlformats.org/officeDocument/2006/relationships/hyperlink" Id="rId8"/>
    <Relationship TargetMode="External" Target="https://www.legis.iowa.gov/docs/ico/chapter/9A.102.pdf" Type="http://schemas.openxmlformats.org/officeDocument/2006/relationships/hyperlink" Id="rId9"/>
    <Relationship TargetMode="External" Target="https://www.legis.iowa.gov/docs/ico/chapter/9A.102.pdf" Type="http://schemas.openxmlformats.org/officeDocument/2006/relationships/hyperlink" Id="rId10"/>
    <Relationship TargetMode="External" Target="https://www.legis.iowa.gov/docs/ico/chapter/99D.5.pdf" Type="http://schemas.openxmlformats.org/officeDocument/2006/relationships/hyperlink" Id="rId11"/>
    <Relationship TargetMode="External" Target="https://www.legis.iowa.gov/docs/ico/chapter/99F.7.pdf" Type="http://schemas.openxmlformats.org/officeDocument/2006/relationships/hyperlink" Id="rId12"/>
    <Relationship TargetMode="External" Target="https://www.legis.iowa.gov/docs/ico/chapter/99F.7A.pdf" Type="http://schemas.openxmlformats.org/officeDocument/2006/relationships/hyperlink" Id="rId13"/>
    <Relationship TargetMode="External" Target="https://www.legis.iowa.gov/docs/ico/chapter/99F.pdf" Type="http://schemas.openxmlformats.org/officeDocument/2006/relationships/hyperlink" Id="rId14"/>
    <Relationship TargetMode="External" Target="https://www.legis.iowa.gov/docs/ico/chapter/99F.pdf" Type="http://schemas.openxmlformats.org/officeDocument/2006/relationships/hyperlink" Id="rId15"/>
    <Relationship TargetMode="External" Target="https://www.legis.iowa.gov/docs/ico/chapter/99F.pdf" Type="http://schemas.openxmlformats.org/officeDocument/2006/relationships/hyperlink" Id="rId16"/>
    <Relationship TargetMode="External" Target="https://www.legis.iowa.gov/docs/ico/chapter/99F.4.pdf" Type="http://schemas.openxmlformats.org/officeDocument/2006/relationships/hyperlink" Id="rId17"/>
    <Relationship TargetMode="External" Target="https://www.legis.iowa.gov/docs/iac/rule/491.5.4.pdf" Type="http://schemas.openxmlformats.org/officeDocument/2006/relationships/hyperlink" Id="rId18"/>
    <Relationship TargetMode="External" Target="https://www.legis.iowa.gov/docs/ico/chapter/99F.pdf" Type="http://schemas.openxmlformats.org/officeDocument/2006/relationships/hyperlink" Id="rId19"/>
    <Relationship TargetMode="External" Target="https://www.legis.iowa.gov/docs/ico/chapter/556.pdf" Type="http://schemas.openxmlformats.org/officeDocument/2006/relationships/hyperlink" Id="rId20"/>
    <Relationship TargetMode="External" Target="https://www.legis.iowa.gov/docs/iac/rule/491.5.4.pdf" Type="http://schemas.openxmlformats.org/officeDocument/2006/relationships/hyperlink" Id="rId21"/>
    <Relationship TargetMode="External" Target="https://www.legis.iowa.gov/docs/iac/rule/491.5.4.pdf" Type="http://schemas.openxmlformats.org/officeDocument/2006/relationships/hyperlink" Id="rId22"/>
    <Relationship TargetMode="External" Target="https://www.legis.iowa.gov/docs/iac/rule/491.13.3.pdf" Type="http://schemas.openxmlformats.org/officeDocument/2006/relationships/hyperlink" Id="rId23"/>
    <Relationship TargetMode="External" Target="https://www.legis.iowa.gov/docs/iac/rule/491.13.3.pdf" Type="http://schemas.openxmlformats.org/officeDocument/2006/relationships/hyperlink" Id="rId24"/>
    <Relationship TargetMode="External" Target="https://www.legis.iowa.gov/docs/ico/chapter/99F.11.pdf" Type="http://schemas.openxmlformats.org/officeDocument/2006/relationships/hyperlink" Id="rId25"/>
    <Relationship TargetMode="External" Target="https://www.legis.iowa.gov/docs/iac/rule/491.5.4.pdf" Type="http://schemas.openxmlformats.org/officeDocument/2006/relationships/hyperlink" Id="rId26"/>
    <Relationship TargetMode="External" Target="https://www.legis.iowa.gov/docs/iac/rule/491.13.4.pdf" Type="http://schemas.openxmlformats.org/officeDocument/2006/relationships/hyperlink" Id="rId27"/>
    <Relationship TargetMode="External" Target="https://www.legis.iowa.gov/docs/ico/chapter/99F.4.pdf" Type="http://schemas.openxmlformats.org/officeDocument/2006/relationships/hyperlink" Id="rId28"/>
    <Relationship TargetMode="External" Target="https://www.legis.iowa.gov/docs/iac/rule/491.13.5.pdf" Type="http://schemas.openxmlformats.org/officeDocument/2006/relationships/hyperlink" Id="rId29"/>
    <Relationship TargetMode="External" Target="https://www.legis.iowa.gov/docs/iac/rule/491.13.2.pdf" Type="http://schemas.openxmlformats.org/officeDocument/2006/relationships/hyperlink" Id="rId30"/>
    <Relationship TargetMode="External" Target="https://www.legis.iowa.gov/docs/iac/rule/491.13.2.pdf" Type="http://schemas.openxmlformats.org/officeDocument/2006/relationships/hyperlink" Id="rId31"/>
    <Relationship TargetMode="External" Target="https://www.legis.iowa.gov/docs/ico/chapter/99F.4.pdf" Type="http://schemas.openxmlformats.org/officeDocument/2006/relationships/hyperlink" Id="rId32"/>
    <Relationship TargetMode="External" Target="https://www.legis.iowa.gov/docs/ico/chapter/99F.4.pdf" Type="http://schemas.openxmlformats.org/officeDocument/2006/relationships/hyperlink" Id="rId33"/>
    <Relationship TargetMode="External" Target="https://www.legis.iowa.gov/docs/ico/chapter/99F.4.pdf" Type="http://schemas.openxmlformats.org/officeDocument/2006/relationships/hyperlink" Id="rId34"/>
    <Relationship TargetMode="External" Target="https://www.legis.iowa.gov/docs/iac/rule/491.13.2.pdf" Type="http://schemas.openxmlformats.org/officeDocument/2006/relationships/hyperlink" Id="rId35"/>
    <Relationship TargetMode="External" Target="https://www.legis.iowa.gov/docs/ico/chapter/99F.7A.pdf" Type="http://schemas.openxmlformats.org/officeDocument/2006/relationships/hyperlink" Id="rId36"/>
    <Relationship TargetMode="External" Target="https://www.legis.iowa.gov/docs/ico/chapter/99F.7A.pdf" Type="http://schemas.openxmlformats.org/officeDocument/2006/relationships/hyperlink" Id="rId37"/>
    <Relationship TargetMode="External" Target="https://www.legis.iowa.gov/docs/iac/rule/491.13.5.pdf" Type="http://schemas.openxmlformats.org/officeDocument/2006/relationships/hyperlink" Id="rId38"/>
    <Relationship TargetMode="External" Target="https://www.legis.iowa.gov/docs/iac/rule/491.13.6.pdf" Type="http://schemas.openxmlformats.org/officeDocument/2006/relationships/hyperlink" Id="rId39"/>
    <Relationship TargetMode="External" Target="https://www.legis.iowa.gov/docs/ico/chapter/99F.6.pdf" Type="http://schemas.openxmlformats.org/officeDocument/2006/relationships/hyperlink" Id="rId40"/>
    <Relationship TargetMode="External" Target="https://www.legis.iowa.gov/docs/ico/chapter/99F.6.pdf" Type="http://schemas.openxmlformats.org/officeDocument/2006/relationships/hyperlink" Id="rId41"/>
    <Relationship TargetMode="External" Target="https://www.legis.iowa.gov/docs/iac/rule/491.13.7.pdf" Type="http://schemas.openxmlformats.org/officeDocument/2006/relationships/hyperlink" Id="rId42"/>
    <Relationship TargetMode="External" Target="https://www.legis.iowa.gov/docs/iac/chapter/491.3.pdf" Type="http://schemas.openxmlformats.org/officeDocument/2006/relationships/hyperlink" Id="rId43"/>
    <Relationship TargetMode="External" Target="https://www.legis.iowa.gov/docs/ico/chapter/99F.pdf" Type="http://schemas.openxmlformats.org/officeDocument/2006/relationships/hyperlink" Id="rId44"/>
    <Relationship TargetMode="External" Target="https://www.legis.iowa.gov/docs/iac/rule/491.13.2.pdf" Type="http://schemas.openxmlformats.org/officeDocument/2006/relationships/hyperlink" Id="rId45"/>
    <Relationship TargetMode="External" Target="https://www.legis.iowa.gov/docs/iac/rule/491.5.4.pdf" Type="http://schemas.openxmlformats.org/officeDocument/2006/relationships/hyperlink" Id="rId46"/>
    <Relationship TargetMode="External" Target="https://www.legis.iowa.gov/docs/ico/chapter/99D.pdf" Type="http://schemas.openxmlformats.org/officeDocument/2006/relationships/hyperlink" Id="rId47"/>
    <Relationship TargetMode="External" Target="https://www.legis.iowa.gov/docs/ico/chapter/99F.pdf" Type="http://schemas.openxmlformats.org/officeDocument/2006/relationships/hyperlink"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