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11/19/86, Racing Commission[693]]</w:t>
      </w:r>
    </w:p>
    <w:p>
      <w:pPr>
        <w:spacing w:before="0" w:after="0"/>
        <w:ind w:left="120"/>
        <w:jc w:val="center"/>
      </w:pPr>
      <w:r>
        <w:rPr>
          <w:rFonts w:ascii="Times New Roman" w:hAnsi="Times New Roman"/>
          <w:b w:val="false"/>
          <w:i w:val="false"/>
          <w:color w:val="000000"/>
          <w:sz w:val="14"/>
        </w:rPr>
        <w:t>[Prior to 11/18/87, Racing and Gaming Division[195]]</w:t>
      </w:r>
    </w:p>
    <w:p>
      <w:pPr>
        <w:spacing w:before="0" w:after="0"/>
        <w:ind w:left="120"/>
        <w:jc w:val="center"/>
      </w:pPr>
      <w:r>
        <w:rPr>
          <w:rFonts w:ascii="Times New Roman" w:hAnsi="Times New Roman"/>
          <w:b w:val="false"/>
          <w:i w:val="false"/>
          <w:color w:val="000000"/>
          <w:sz w:val="14"/>
        </w:rPr>
        <w:t>[Prior to 8/9/00, see also 491—Chs 6, 20 and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491—1.1</w:t>
      </w:r>
      <w:r>
        <w:rPr>
          <w:rFonts w:ascii="Times New Roman" w:hAnsi="Times New Roman"/>
          <w:b/>
          <w:i w:val="false"/>
          <w:color w:val="000000"/>
          <w:sz w:val="22"/>
        </w:rPr>
        <w:t xml:space="preserve">(99D,99E,99F) </w:t>
      </w:r>
      <w:r>
        <w:rPr>
          <w:rFonts w:ascii="Times New Roman" w:hAnsi="Times New Roman"/>
          <w:b/>
          <w:i w:val="false"/>
          <w:color w:val="000000"/>
          <w:sz w:val="22"/>
        </w:rPr>
        <w:t xml:space="preserve">Function. </w:t>
      </w:r>
      <w:r>
        <w:rPr>
          <w:rFonts w:ascii="Times New Roman" w:hAnsi="Times New Roman"/>
          <w:b w:val="false"/>
          <w:i w:val="false"/>
          <w:color w:val="000000"/>
          <w:sz w:val="22"/>
        </w:rPr>
        <w:t xml:space="preserve">The racing and gaming commission was created by Iowa Code chapter </w:t>
      </w:r>
      <w:hyperlink r:id="rId5">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is charged with the administration of the Iowa pari-mutuel wagering Act and excursion boat gambling Act, sports wagering, and internet fantasy sports contests. Iowa Code chapters </w:t>
      </w:r>
      <w:hyperlink r:id="rId6">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7">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 xml:space="preserve"> mandate that the commission shall have full jurisdiction over and shall supervise all race meetings, gambling operations, sports wagering, and internet fantasy sports contests governed by Iowa Code chapters </w:t>
      </w:r>
      <w:hyperlink r:id="rId8">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99E and </w:t>
      </w:r>
      <w:hyperlink r:id="rId9">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491—1.2</w:t>
      </w:r>
      <w:r>
        <w:rPr>
          <w:rFonts w:ascii="Times New Roman" w:hAnsi="Times New Roman"/>
          <w:b/>
          <w:i w:val="false"/>
          <w:color w:val="000000"/>
          <w:sz w:val="22"/>
        </w:rPr>
        <w:t xml:space="preserve">(99D,99F) </w:t>
      </w:r>
      <w:r>
        <w:rPr>
          <w:rFonts w:ascii="Times New Roman" w:hAnsi="Times New Roman"/>
          <w:b/>
          <w:i w:val="false"/>
          <w:color w:val="000000"/>
          <w:sz w:val="22"/>
        </w:rPr>
        <w:t xml:space="preserve">Organization, meetings, and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is located at 6200 Park Avenue, Suite 100, Des Moines, Iowa 50321; telephone 515.281.7352.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racing and gaming commission consists of five members. The membership shall elect a chairperson and vice-chairperson in July of each year. No chairperson shall serve more than four consecutive one-year full terms.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meets periodically throughout the year and shall meet in July of each year. Notice of a meeting is published on the commission’s website at </w:t>
      </w:r>
      <w:hyperlink r:id="rId10">
        <w:r>
          <w:rPr>
            <w:rStyle w:val="Hyperlink"/>
            <w:rFonts w:ascii="Times New Roman" w:hAnsi="Times New Roman"/>
            <w:b w:val="false"/>
            <w:i w:val="false"/>
            <w:color w:val="000000"/>
            <w:sz w:val="22"/>
            <w:u w:val="single"/>
          </w:rPr>
          <w:t>irgc.iowa.gov/</w:t>
        </w:r>
      </w:hyperlink>
      <w:r>
        <w:rPr>
          <w:rFonts w:ascii="Times New Roman" w:hAnsi="Times New Roman"/>
          <w:b w:val="false"/>
          <w:i w:val="false"/>
          <w:color w:val="000000"/>
          <w:sz w:val="22"/>
        </w:rPr>
        <w:t xml:space="preserve"> at least five days in advance of the meeting or will be sent to interested persons upon request. The notice shall contain the specific date, time, and place of the meeting. Agendas are available to any interested persons not less than five days in advance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commission should submit a written request to the commission office not less than ten working days prior to the meeting. The administrator or commission may place a time limit on presentations after taking into consideration the number of presentations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or electronic meetings may be called by the chairperson only upon a finding of good cause and shall be held in strict accordance with Iowa Code section </w:t>
      </w:r>
      <w:hyperlink r:id="rId11">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All meetings shall be open to the public unless a closed session is voted by four members or all members present for the reasons specified in Iowa Code section </w:t>
      </w:r>
      <w:hyperlink r:id="rId13">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The operation of commission meetings shall be governed by the following rules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three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position is carried by an affirmative vote of the majority of the entire membership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commissioner, who is present at a meeting of the commission when action is taken, shall be presumed to have assented to the action unless the commissioner’s dissent was requested to be entered in the minutes. A roll-call vote on any motion may be recorded in the minutes. Reconsideration of any action may only be initiated by a commissioner who voted with the prevailing side. The motion to reconsider any action may be made and seconded before the conclusion of the meeting when the action was approved, or it may be made in writing and submitted to the commission office within two business days following the meeting. Only the mover has the option to request that the motion be held in abeyance, when the motion to reconsider is offered during the same meeting. Any commissioner is eligible to call up the motion to reconsider at the next meeting of the commission. The official minutes shall record the offering of any motion to reconsider, whether placed during the meeting or by timely written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any person from the meeting for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Cases not covered by this rule shall be governed by the most recent edition of Robert’s Rules of Order Newly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0734C</w:t>
      </w:r>
      <w:r>
        <w:rPr>
          <w:rFonts w:ascii="Times New Roman" w:hAnsi="Times New Roman"/>
          <w:b w:val="false"/>
          <w:i w:val="false"/>
          <w:color w:val="000000"/>
          <w:sz w:val="16"/>
        </w:rPr>
        <w:t>, IAB 5/15/13, effective 6/19/13</w:t>
      </w:r>
      <w:r>
        <w:rPr>
          <w:rFonts w:ascii="Times New Roman" w:hAnsi="Times New Roman"/>
          <w:b w:val="false"/>
          <w:i w:val="false"/>
          <w:color w:val="000000"/>
          <w:sz w:val="16"/>
        </w:rPr>
        <w:t xml:space="preserve">; </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2927C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3/6/24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491—1.3</w:t>
      </w:r>
      <w:r>
        <w:rPr>
          <w:rFonts w:ascii="Times New Roman" w:hAnsi="Times New Roman"/>
          <w:b/>
          <w:i w:val="false"/>
          <w:color w:val="000000"/>
          <w:sz w:val="22"/>
        </w:rPr>
        <w:t xml:space="preserve">(99D,99F) </w:t>
      </w:r>
      <w:r>
        <w:rPr>
          <w:rFonts w:ascii="Times New Roman" w:hAnsi="Times New Roman"/>
          <w:b/>
          <w:i w:val="false"/>
          <w:color w:val="000000"/>
          <w:sz w:val="22"/>
        </w:rPr>
        <w:t xml:space="preserve">Administration of the commission. </w:t>
      </w:r>
      <w:r>
        <w:rPr>
          <w:rFonts w:ascii="Times New Roman" w:hAnsi="Times New Roman"/>
          <w:b w:val="false"/>
          <w:i w:val="false"/>
          <w:color w:val="000000"/>
          <w:sz w:val="22"/>
        </w:rPr>
        <w:t>The commission shall appoint an administrator for the racing and gaming commission who is responsible for the day-to-day administration of the commission’s activities.</w:t>
      </w:r>
    </w:p>
    <w:p>
      <w:pPr>
        <w:spacing w:before="210" w:after="0"/>
        <w:ind w:left="120"/>
        <w:jc w:val="both"/>
      </w:pPr>
      <w:r>
        <w:rPr>
          <w:rFonts w:ascii="Times New Roman" w:hAnsi="Times New Roman"/>
          <w:b/>
          <w:i w:val="false"/>
          <w:color w:val="000000"/>
          <w:sz w:val="22"/>
        </w:rPr>
        <w:t>491—1.4</w:t>
      </w:r>
      <w:r>
        <w:rPr>
          <w:rFonts w:ascii="Times New Roman" w:hAnsi="Times New Roman"/>
          <w:b/>
          <w:i w:val="false"/>
          <w:color w:val="000000"/>
          <w:sz w:val="22"/>
        </w:rPr>
        <w:t xml:space="preserve">(17A,22,99D,99F) </w:t>
      </w:r>
      <w:r>
        <w:rPr>
          <w:rFonts w:ascii="Times New Roman" w:hAnsi="Times New Roman"/>
          <w:b/>
          <w:i w:val="false"/>
          <w:color w:val="000000"/>
          <w:sz w:val="22"/>
        </w:rPr>
        <w:t xml:space="preserve">Open records. </w:t>
      </w:r>
      <w:r>
        <w:rPr>
          <w:rFonts w:ascii="Times New Roman" w:hAnsi="Times New Roman"/>
          <w:b w:val="false"/>
          <w:i w:val="false"/>
          <w:color w:val="000000"/>
          <w:sz w:val="22"/>
        </w:rPr>
        <w:t xml:space="preserve">Except as provided in Iowa Code sections </w:t>
      </w:r>
      <w:hyperlink r:id="rId14">
        <w:r>
          <w:rPr>
            <w:rStyle w:val="Hyperlink"/>
            <w:rFonts w:ascii="Times New Roman" w:hAnsi="Times New Roman"/>
            <w:b w:val="false"/>
            <w:i w:val="false"/>
            <w:color w:val="000000"/>
            <w:sz w:val="22"/>
          </w:rPr>
          <w:t>17A.2(11)</w:t>
        </w:r>
        <w:r>
          <w:rPr>
            <w:rFonts w:ascii="Times New Roman" w:hAnsi="Times New Roman"/>
            <w:b w:val="false"/>
            <w:i/>
            <w:color w:val="000000"/>
            <w:sz w:val="22"/>
          </w:rPr>
          <w:t xml:space="preserve">“f,” </w:t>
        </w:r>
      </w:hyperlink>
      <w:hyperlink r:id="rId1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99D.7(8)</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99F.4(6)</w:t>
        </w:r>
      </w:hyperlink>
      <w:r>
        <w:rPr>
          <w:rFonts w:ascii="Times New Roman" w:hAnsi="Times New Roman"/>
          <w:b w:val="false"/>
          <w:i w:val="false"/>
          <w:color w:val="000000"/>
          <w:sz w:val="22"/>
        </w:rPr>
        <w:t>, all public records of the commission shall be available for public inspection during business hours. Requests to obtain records may be made by mail, telephone, or fax or in person. Minutes of commission meetings, forms, and other records routinely requested by the public may be obtained without charge or viewed on the commission’s website. Other records requiring more than ten copies may be obtained upon payment of the actual cost for copying. This charge may be waived by the administrator.</w:t>
      </w:r>
    </w:p>
    <w:p>
      <w:pPr>
        <w:spacing w:before="0" w:after="0"/>
        <w:ind w:left="120"/>
        <w:jc w:val="both"/>
      </w:pPr>
      <w:r>
        <w:rPr>
          <w:rFonts w:ascii="Times New Roman" w:hAnsi="Times New Roman"/>
          <w:b/>
          <w:i w:val="false"/>
          <w:color w:val="000000"/>
          <w:sz w:val="22"/>
        </w:rPr>
        <w:t>491—1.5</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Forms. </w:t>
      </w:r>
      <w:r>
        <w:rPr>
          <w:rFonts w:ascii="Times New Roman" w:hAnsi="Times New Roman"/>
          <w:b w:val="false"/>
          <w:i w:val="false"/>
          <w:color w:val="000000"/>
          <w:sz w:val="22"/>
        </w:rPr>
        <w:t>All forms utilized in the conduct of business with the racing and gaming commission shall be available from the commission upon request. These forms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Racing, gambling structure, or excursion gambling boat license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location and physical plant of the facility, and description of proposed operation. The form may include other information the commission deems necessary to make a decision on the license application. The qualified nonprofit corporation and the boat operator, if different than the qualified nonprofit corporation, shall pay a nonrefundable application fee in the amount of $25,000 to offset the commission’s cost for processing the application. Additionally, the applicant shall remit an investigative fee of $30,000 to the department of public safety to do background investigations as required by the commission. The department of public safety shall bill the applicant/licensee for additional fees as appropriate and refund any unused portion of the investigative fee within 90 days after the denial or operation begins.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racing license. </w:t>
      </w:r>
      <w:r>
        <w:rPr>
          <w:rFonts w:ascii="Times New Roman" w:hAnsi="Times New Roman"/>
          <w:b w:val="false"/>
          <w:i w:val="false"/>
          <w:color w:val="000000"/>
          <w:sz w:val="22"/>
        </w:rPr>
        <w:t>This form shall contain, at a minimum, the full name of the applicant, racing dates, simulcast proposal, feasibility of racing facility, distribution to qualified sponsoring organizations, table of organization, management agreement, articles of incorporation and bylaws, lease agreements, financial statements, information on the gambling treatment program, and description of racetrack operations.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excursion gambling boat or gambling structure license. </w:t>
      </w:r>
      <w:r>
        <w:rPr>
          <w:rFonts w:ascii="Times New Roman" w:hAnsi="Times New Roman"/>
          <w:b w:val="false"/>
          <w:i w:val="false"/>
          <w:color w:val="000000"/>
          <w:sz w:val="22"/>
        </w:rPr>
        <w:t>This form shall contain, at a minimum, the full name of the applicant, annual fee, distribution to qualified sponsoring organizations, table of organization, internal controls, operating agreement, hours of operation, casino operations, Iowa resources, contracts, guarantee bond, notarized certification of truthfulness, and gambling treatment program. The form may include other information the commission deems necessary to make a decision on the license application. An annual fee to operate an excursion gambling boat shall be based on the passenger-carrying capacity including crew. For a gambling structure, the annual license fee shall be based on the capacity of the gambling structure. The fee shall be $5 per person capacity and accompany this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racetrack enclosure license. </w:t>
      </w:r>
      <w:r>
        <w:rPr>
          <w:rFonts w:ascii="Times New Roman" w:hAnsi="Times New Roman"/>
          <w:b w:val="false"/>
          <w:i w:val="false"/>
          <w:color w:val="000000"/>
          <w:sz w:val="22"/>
        </w:rPr>
        <w:t>This form shall contain, at a minimum, the full name of the applicant, annual fee, casino operations, internal controls, Iowa resources, guarantee bond, and notarized certification of truthfulness. The form may include other information the commission deems necessary to make a decision on the license application. A $1,000 application fee must accompany this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Occupational license application. </w:t>
      </w:r>
      <w:r>
        <w:rPr>
          <w:rFonts w:ascii="Times New Roman" w:hAnsi="Times New Roman"/>
          <w:b w:val="false"/>
          <w:i w:val="false"/>
          <w:color w:val="000000"/>
          <w:sz w:val="22"/>
        </w:rPr>
        <w:t xml:space="preserve">This form shall contain, at a minimum, the applicant’s full name, social security number, residence, date of birth, and other personal identifying information that the commission deems necessary. A fee set by the commission shall apply to this application. (Refer to </w:t>
      </w:r>
      <w:hyperlink r:id="rId18">
        <w:r>
          <w:rPr>
            <w:rStyle w:val="Hyperlink"/>
            <w:rFonts w:ascii="Times New Roman" w:hAnsi="Times New Roman"/>
            <w:b w:val="false"/>
            <w:i w:val="false"/>
            <w:color w:val="000000"/>
            <w:sz w:val="22"/>
          </w:rPr>
          <w:t>491—Chapter 6</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Season approvals. </w:t>
      </w:r>
      <w:r>
        <w:rPr>
          <w:rFonts w:ascii="Times New Roman" w:hAnsi="Times New Roman"/>
          <w:b w:val="false"/>
          <w:i w:val="false"/>
          <w:color w:val="000000"/>
          <w:sz w:val="22"/>
        </w:rPr>
        <w:t>This form shall contain, at a minimum, a listing of the department heads and racing officials, minimum purse, purse supplements for Iowa-breds, grading system (greyhound racing only), schedule and wagering format, equipment, security plan, certification, and any other information the commission deems necessary for approval. This request must be submitted 45 days prior to the meet. Any changes to the items approved by the commission shall be requested in writing by the licensee and subject to the written approval of the administrator or commission representative before the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Manufacturers and distributors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for a distributor’s license and a license fee of $250 for a manufacturer’s license shall accompany this application. (Refer to </w:t>
      </w:r>
      <w:hyperlink r:id="rId19">
        <w:r>
          <w:rPr>
            <w:rStyle w:val="Hyperlink"/>
            <w:rFonts w:ascii="Times New Roman" w:hAnsi="Times New Roman"/>
            <w:b w:val="false"/>
            <w:i w:val="false"/>
            <w:color w:val="000000"/>
            <w:sz w:val="22"/>
          </w:rPr>
          <w:t>491—Chapter 11</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wagering license application. </w:t>
      </w:r>
      <w:r>
        <w:rPr>
          <w:rFonts w:ascii="Times New Roman" w:hAnsi="Times New Roman"/>
          <w:b w:val="false"/>
          <w:i w:val="false"/>
          <w:color w:val="000000"/>
          <w:sz w:val="22"/>
        </w:rPr>
        <w:t xml:space="preserve">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 on the license application. A license fee of $1,000 shall accompany this application. (Refer to </w:t>
      </w:r>
      <w:hyperlink r:id="rId20">
        <w:r>
          <w:rPr>
            <w:rStyle w:val="Hyperlink"/>
            <w:rFonts w:ascii="Times New Roman" w:hAnsi="Times New Roman"/>
            <w:b w:val="false"/>
            <w:i w:val="false"/>
            <w:color w:val="000000"/>
            <w:sz w:val="22"/>
          </w:rPr>
          <w:t>491—Chapter 8</w:t>
        </w:r>
      </w:hyperlink>
      <w:r>
        <w:rPr>
          <w:rFonts w:ascii="Times New Roman" w:hAnsi="Times New Roman"/>
          <w:b w:val="false"/>
          <w:i w:val="false"/>
          <w:color w:val="000000"/>
          <w:sz w:val="22"/>
        </w:rPr>
        <w:t xml:space="preserve"> for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1.5(9)</w:t>
      </w:r>
      <w:r>
        <w:rPr>
          <w:rFonts w:ascii="Times New Roman" w:hAnsi="Times New Roman"/>
          <w:b w:val="false"/>
          <w:i w:val="false"/>
          <w:color w:val="000000"/>
          <w:sz w:val="22"/>
        </w:rPr>
        <w:t> </w:t>
      </w:r>
      <w:r>
        <w:rPr>
          <w:rFonts w:ascii="Times New Roman" w:hAnsi="Times New Roman"/>
          <w:b w:val="false"/>
          <w:i/>
          <w:color w:val="000000"/>
          <w:sz w:val="22"/>
        </w:rPr>
        <w:t xml:space="preserve">Asset/stock purchase form for commission approval.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location and physical plant of the applicant, and description of proposed operation. The form may include other information the administrator deems necessary to make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w:t>
      </w:r>
      <w:r>
        <w:rPr>
          <w:rFonts w:ascii="Times New Roman" w:hAnsi="Times New Roman"/>
          <w:b w:val="false"/>
          <w:i w:val="false"/>
          <w:color w:val="000000"/>
          <w:sz w:val="22"/>
        </w:rPr>
        <w:t> </w:t>
      </w:r>
      <w:r>
        <w:rPr>
          <w:rFonts w:ascii="Times New Roman" w:hAnsi="Times New Roman"/>
          <w:b w:val="false"/>
          <w:i/>
          <w:color w:val="000000"/>
          <w:sz w:val="22"/>
        </w:rPr>
        <w:t xml:space="preserve">Sports wagering for excursion gambling boat, gambling structure or racetrack enclosure application. </w:t>
      </w:r>
      <w:r>
        <w:rPr>
          <w:rFonts w:ascii="Times New Roman" w:hAnsi="Times New Roman"/>
          <w:b w:val="false"/>
          <w:i w:val="false"/>
          <w:color w:val="000000"/>
          <w:sz w:val="22"/>
        </w:rPr>
        <w:t>This form shall contain, at a minimum, the full name of the applicant, disclosure of agreements involving sports wagering, a guarantee bond in an amount as determined by the commission, and a notarized certification of truthfulness. The applicant shall pay a nonrefundable application fee in the amount of $45,000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for sports wagering for excursion gambling boat, gambling structure or racetrack enclosure. </w:t>
      </w:r>
      <w:r>
        <w:rPr>
          <w:rFonts w:ascii="Times New Roman" w:hAnsi="Times New Roman"/>
          <w:b w:val="false"/>
          <w:i w:val="false"/>
          <w:color w:val="000000"/>
          <w:sz w:val="22"/>
        </w:rPr>
        <w:t>This form shall contain, at a minimum, the full name of the applicant, a $10,000 annual fee, disclosure of agreements involving sports wagering, sports wagering operations, internal controls, a guarantee bond in an amount as determined by the commission,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Advance deposit sports wagering operator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 gambling treatment program,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Internet fantasy sports contest application. </w:t>
      </w:r>
      <w:r>
        <w:rPr>
          <w:rFonts w:ascii="Times New Roman" w:hAnsi="Times New Roman"/>
          <w:b w:val="false"/>
          <w:i w:val="false"/>
          <w:color w:val="000000"/>
          <w:sz w:val="22"/>
        </w:rPr>
        <w:t>This form shall contain, at a minimum, the full name of the applicant, board members, all ownership interests, balance sheets and profit-and-loss statements for the fiscal year immediately preceding the application, pending legal action, proof of satisfactory segregation of internet fantasy sports contest player contest funds as determined by the commission, a description of the proposed operation and a notarized certification of truthfulness. The form may include other information the commission deems necessary to make a decision on the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Alternative simulcast license application. </w:t>
      </w:r>
      <w:r>
        <w:rPr>
          <w:rFonts w:ascii="Times New Roman" w:hAnsi="Times New Roman"/>
          <w:b w:val="false"/>
          <w:i w:val="false"/>
          <w:color w:val="000000"/>
          <w:sz w:val="22"/>
        </w:rPr>
        <w:t>This form shall contain, at a minimum, the full name of the applicant, all ownership interests, balance sheets and profit-and-loss statements for three fiscal years immediately preceding the application, pending legal action, agreement with licensed facility or description of proposed operation, and a notarized certification of truthfulness. The form may include other information the commission deems necessary to make a decision on the license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1506C</w:t>
      </w:r>
      <w:r>
        <w:rPr>
          <w:rFonts w:ascii="Times New Roman" w:hAnsi="Times New Roman"/>
          <w:b w:val="false"/>
          <w:i w:val="false"/>
          <w:color w:val="000000"/>
          <w:sz w:val="16"/>
        </w:rPr>
        <w:t>, IAB 6/25/14, effective 7/30/14</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491—1.6</w:t>
      </w:r>
      <w:r>
        <w:rPr>
          <w:rFonts w:ascii="Times New Roman" w:hAnsi="Times New Roman"/>
          <w:b/>
          <w:i w:val="false"/>
          <w:color w:val="000000"/>
          <w:sz w:val="22"/>
        </w:rPr>
        <w:t xml:space="preserve">(99D,99F) </w:t>
      </w:r>
      <w:r>
        <w:rPr>
          <w:rFonts w:ascii="Times New Roman" w:hAnsi="Times New Roman"/>
          <w:b/>
          <w:i w:val="false"/>
          <w:color w:val="000000"/>
          <w:sz w:val="22"/>
        </w:rPr>
        <w:t xml:space="preserve">Limitation on location and number of racetracks and excursion gambling boats.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9/29/04</w:t>
      </w:r>
      <w:r>
        <w:rPr>
          <w:rFonts w:ascii="Times New Roman" w:hAnsi="Times New Roman"/>
          <w:b w:val="false"/>
          <w:i w:val="false"/>
          <w:color w:val="000000"/>
          <w:sz w:val="22"/>
        </w:rPr>
        <w:t>, effective 11/3/04.</w:t>
      </w:r>
    </w:p>
    <w:p>
      <w:pPr>
        <w:spacing w:before="0" w:after="0"/>
        <w:ind w:left="120"/>
        <w:jc w:val="both"/>
      </w:pPr>
      <w:r>
        <w:rPr>
          <w:rFonts w:ascii="Times New Roman" w:hAnsi="Times New Roman"/>
          <w:b/>
          <w:i w:val="false"/>
          <w:color w:val="000000"/>
          <w:sz w:val="22"/>
        </w:rPr>
        <w:t>491—1.7</w:t>
      </w:r>
      <w:r>
        <w:rPr>
          <w:rFonts w:ascii="Times New Roman" w:hAnsi="Times New Roman"/>
          <w:b/>
          <w:i w:val="false"/>
          <w:color w:val="000000"/>
          <w:sz w:val="22"/>
        </w:rPr>
        <w:t xml:space="preserve">(99D,99F) </w:t>
      </w:r>
      <w:r>
        <w:rPr>
          <w:rFonts w:ascii="Times New Roman" w:hAnsi="Times New Roman"/>
          <w:b/>
          <w:i w:val="false"/>
          <w:color w:val="000000"/>
          <w:sz w:val="22"/>
        </w:rPr>
        <w:t xml:space="preserve">Criteria for granting licenses, renewing licenses, and determining race dates. </w:t>
      </w:r>
      <w:r>
        <w:rPr>
          <w:rFonts w:ascii="Times New Roman" w:hAnsi="Times New Roman"/>
          <w:b w:val="false"/>
          <w:i w:val="false"/>
          <w:color w:val="000000"/>
          <w:sz w:val="22"/>
        </w:rPr>
        <w:t>The commission sets forth the following criteria which the commission will consider when deciding whether to issue a license to conduct racing or gaming or sports wagering in Iowa. The various criteria may not have the same importance in each instance, and other factors may present themselves in the consideration of an application for a license. The criteria are not listed in order of priority. After the initial consideration for issuing a license, applicable criteria need only be considered when an applicant has demonstrated a deficiency.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The commission will consider whether or not the applicant is and has been in compliance with the terms and conditions specified in Iowa Code section </w:t>
      </w:r>
      <w:hyperlink r:id="rId21">
        <w:r>
          <w:rPr>
            <w:rStyle w:val="Hyperlink"/>
            <w:rFonts w:ascii="Times New Roman" w:hAnsi="Times New Roman"/>
            <w:b w:val="false"/>
            <w:i w:val="false"/>
            <w:color w:val="000000"/>
            <w:sz w:val="22"/>
          </w:rPr>
          <w:t>99D.9</w:t>
        </w:r>
      </w:hyperlink>
      <w:r>
        <w:rPr>
          <w:rFonts w:ascii="Times New Roman" w:hAnsi="Times New Roman"/>
          <w:b w:val="false"/>
          <w:i w:val="false"/>
          <w:color w:val="000000"/>
          <w:sz w:val="22"/>
        </w:rPr>
        <w:t xml:space="preserve"> or </w:t>
      </w:r>
      <w:hyperlink r:id="rId22">
        <w:r>
          <w:rPr>
            <w:rStyle w:val="Hyperlink"/>
            <w:rFonts w:ascii="Times New Roman" w:hAnsi="Times New Roman"/>
            <w:b w:val="false"/>
            <w:i w:val="false"/>
            <w:color w:val="000000"/>
            <w:sz w:val="22"/>
          </w:rPr>
          <w:t>99F.4</w:t>
        </w:r>
      </w:hyperlink>
      <w:r>
        <w:rPr>
          <w:rFonts w:ascii="Times New Roman" w:hAnsi="Times New Roman"/>
          <w:b w:val="false"/>
          <w:i w:val="false"/>
          <w:color w:val="000000"/>
          <w:sz w:val="22"/>
        </w:rPr>
        <w:t>. The commission will also consider whether the proposed facility is in compliance with applicable state and local laws regarding fire, health, construction, zoning, and other similar matters.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Gaming integrity. </w:t>
      </w:r>
      <w:r>
        <w:rPr>
          <w:rFonts w:ascii="Times New Roman" w:hAnsi="Times New Roman"/>
          <w:b w:val="false"/>
          <w:i w:val="false"/>
          <w:color w:val="000000"/>
          <w:sz w:val="22"/>
        </w:rPr>
        <w:t>The commission will consider whether the proposed operation would ensure that gaming and sports wagering are conducted with a high degree of integrity in Iowa and that the officers, directors, partners, or shareholders of the operation are of good repute and moral character. The commission shall decide what weight and effect evidence about an officer, director, partner, or shareholder should have in the determination of whether there is substantial evidence that the individual is not of good reputation and character. For the purposes of this chapter, the term “directors” shall also include managers of limited liability companies and the term “shareholders” shall also include members of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Economic impact and development. </w:t>
      </w:r>
      <w:r>
        <w:rPr>
          <w:rFonts w:ascii="Times New Roman" w:hAnsi="Times New Roman"/>
          <w:b w:val="false"/>
          <w:i w:val="false"/>
          <w:color w:val="000000"/>
          <w:sz w:val="22"/>
        </w:rPr>
        <w:t>The commission will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revenue to be provided by the proposed facility to the state and local communities through direct taxation on the facility’s operation and indirect revenues from tourism, ancillary businesses, creation of new industry, and taxes on employees and patrons. The commission may engage an independent firm proficient in market feasibility studies in the industry for specific analysis of any application to determine the potential market of any proposed facility as well as the impact on existing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level of financial and other support the proposed operation will provide to the community in order to improve the quality of life of the residents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viability and overall net benefit of the proposed operation to the state gaming industry, taking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Investment versus projected adjusted gross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Impact on existing operators’ adjusted gross revenue versus existing operators’ ratio of adjusted gross revenue to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Ratio of equity to total investment and whether the proposed project is adequately and properly financed.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underserved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Percent of projected adjusted gross revenue from existing Iowa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Stability and reliability of out-of-state market(s).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benefits to Iowa tourism.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and quality of employment opportunities for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development and sale of Iowa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number and types of developments and amenities associated with the proposed operation in addition to the gaming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Efficient and safe operation. </w:t>
      </w:r>
      <w:r>
        <w:rPr>
          <w:rFonts w:ascii="Times New Roman" w:hAnsi="Times New Roman"/>
          <w:b w:val="false"/>
          <w:i w:val="false"/>
          <w:color w:val="000000"/>
          <w:sz w:val="22"/>
        </w:rPr>
        <w:t>The commission will consider whether the proposed facility is planned in a manner that promotes efficient and safe operation of all aspects of the facility including providing adequate security for employees and patrons. Adequate employment to serve patrons’ needs, facility scope and design, parking facilities, access to cashier windows, concessions, and restrooms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Community support. </w:t>
      </w:r>
      <w:r>
        <w:rPr>
          <w:rFonts w:ascii="Times New Roman" w:hAnsi="Times New Roman"/>
          <w:b w:val="false"/>
          <w:i w:val="false"/>
          <w:color w:val="000000"/>
          <w:sz w:val="22"/>
        </w:rPr>
        <w:t>The commission will consider support for the proposed project within the community in which a proposed facility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Nurture of the racing industry. </w:t>
      </w:r>
      <w:r>
        <w:rPr>
          <w:rFonts w:ascii="Times New Roman" w:hAnsi="Times New Roman"/>
          <w:b w:val="false"/>
          <w:i w:val="false"/>
          <w:color w:val="000000"/>
          <w:sz w:val="22"/>
        </w:rPr>
        <w:t>The commission will consider whether the proposed racetrack operation would serve to nurture, promote, develop, and improve the racing industry in Iowa and provide high-quality racing in Iowa. The commission will also consider if the proposed racetrack operation will maximize purses and is beneficial to Iowa breeders.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w:t>
      </w:r>
      <w:r>
        <w:rPr>
          <w:rFonts w:ascii="Times New Roman" w:hAnsi="Times New Roman"/>
          <w:b w:val="false"/>
          <w:i w:val="false"/>
          <w:color w:val="000000"/>
          <w:sz w:val="22"/>
        </w:rPr>
        <w:t> </w:t>
      </w:r>
      <w:r>
        <w:rPr>
          <w:rFonts w:ascii="Times New Roman" w:hAnsi="Times New Roman"/>
          <w:b w:val="false"/>
          <w:i/>
          <w:color w:val="000000"/>
          <w:sz w:val="22"/>
        </w:rPr>
        <w:t xml:space="preserve">Other factors. </w:t>
      </w:r>
      <w:r>
        <w:rPr>
          <w:rFonts w:ascii="Times New Roman" w:hAnsi="Times New Roman"/>
          <w:b w:val="false"/>
          <w:i w:val="false"/>
          <w:color w:val="000000"/>
          <w:sz w:val="22"/>
        </w:rPr>
        <w:t>The commission will consider such other factors as may arise in the circumstances presented by a particular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8029B</w:t>
      </w:r>
      <w:r>
        <w:rPr>
          <w:rFonts w:ascii="Times New Roman" w:hAnsi="Times New Roman"/>
          <w:b w:val="false"/>
          <w:i w:val="false"/>
          <w:color w:val="000000"/>
          <w:sz w:val="16"/>
        </w:rPr>
        <w:t>, IAB 8/12/09, effective 9/16/09</w:t>
      </w:r>
      <w:r>
        <w:rPr>
          <w:rFonts w:ascii="Times New Roman" w:hAnsi="Times New Roman"/>
          <w:b w:val="false"/>
          <w:i w:val="false"/>
          <w:color w:val="000000"/>
          <w:sz w:val="16"/>
        </w:rPr>
        <w:t xml:space="preserve">; </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491—1.8</w:t>
      </w:r>
      <w:r>
        <w:rPr>
          <w:rFonts w:ascii="Times New Roman" w:hAnsi="Times New Roman"/>
          <w:b/>
          <w:i w:val="false"/>
          <w:color w:val="000000"/>
          <w:sz w:val="22"/>
        </w:rPr>
        <w:t xml:space="preserve">(17A,99D,99F) </w:t>
      </w:r>
      <w:r>
        <w:rPr>
          <w:rFonts w:ascii="Times New Roman" w:hAnsi="Times New Roman"/>
          <w:b/>
          <w:i w:val="false"/>
          <w:color w:val="000000"/>
          <w:sz w:val="22"/>
        </w:rPr>
        <w:t xml:space="preserve">Granting of a waiver. </w:t>
      </w:r>
      <w:r>
        <w:rPr>
          <w:rFonts w:ascii="Times New Roman" w:hAnsi="Times New Roman"/>
          <w:b w:val="false"/>
          <w:i w:val="false"/>
          <w:color w:val="000000"/>
          <w:sz w:val="22"/>
        </w:rPr>
        <w:t xml:space="preserve">For purposes of this rule, a waiver means action by the commission that suspends in whole or in part the requirements or provisions of a rule as applied to an identified entity on the basis of the particular circumstances of that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r>
        <w:rPr>
          <w:rFonts w:ascii="Times New Roman" w:hAnsi="Times New Roman"/>
          <w:b w:val="false"/>
          <w:i w:val="false"/>
          <w:color w:val="000000"/>
          <w:sz w:val="22"/>
        </w:rPr>
        <w:t>This rule outlines generally applicable standards and a uniform process for the granting of a waiver from rules adopted by the commission in situations where no other more specifically applicable law provides for waivers. To the extent another more specific provision of law governs the issuance of a waiver from a particular rule, the more specific provision shall supersede this rule with respect to any waiver from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rule. </w:t>
      </w:r>
      <w:r>
        <w:rPr>
          <w:rFonts w:ascii="Times New Roman" w:hAnsi="Times New Roman"/>
          <w:b w:val="false"/>
          <w:i w:val="false"/>
          <w:color w:val="000000"/>
          <w:sz w:val="22"/>
        </w:rPr>
        <w:t>The commission may grant a waiver from a rule only if the commission has jurisdiction over the rule and the requested waiver is consistent with applicable statutes, constitutional provisions, or other provisions of law. The commission may not waive requirements created or duties imposed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In response to a petition completed pursuant to subrule </w:t>
      </w:r>
      <w:hyperlink r:id="rId23">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 the commission may in its sole discretion issue an order waiving in whole or in part the requirements of a rule if the commission finds, based on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would impose an undue hardship on the entity for whom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from the requirements of the rule in the specific case would not prejudice the substantial legal rights of any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A petition for a waiver must be submitted in writing to the commission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If the petition relates to a license application, the petition shall be made in accordance with the filing requirements for the license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may be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w:t>
      </w:r>
      <w:r>
        <w:rPr>
          <w:rFonts w:ascii="Times New Roman" w:hAnsi="Times New Roman"/>
          <w:b w:val="false"/>
          <w:i w:val="false"/>
          <w:color w:val="000000"/>
          <w:sz w:val="22"/>
        </w:rPr>
        <w:t> </w:t>
      </w:r>
      <w:r>
        <w:rPr>
          <w:rFonts w:ascii="Times New Roman" w:hAnsi="Times New Roman"/>
          <w:b w:val="false"/>
          <w:i/>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or entity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each of the four criteria described in subrule </w:t>
      </w:r>
      <w:hyperlink r:id="rId24">
        <w:r>
          <w:rPr>
            <w:rStyle w:val="Hyperlink"/>
            <w:rFonts w:ascii="Times New Roman" w:hAnsi="Times New Roman"/>
            <w:b w:val="false"/>
            <w:i w:val="false"/>
            <w:color w:val="000000"/>
            <w:sz w:val="22"/>
          </w:rPr>
          <w:t>1.8(3)</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relating to the regulated activity or license affected by the proposed waiver, including a description of each affected license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commission’s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who would be adversely affected by the grant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relevant to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commission may request additional information from the petitioner relative to the petition and surrounding circumstances. If the petition was not filed in a contested case, the commission may, on its own motion or at the petitioner’s request, schedule a telephonic or in-person meeting between the petitioner and the administrator, a committee of the commission, or a quorum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commission shall acknowledge a petition upon receipt. The commission shall ensure that notice of the pendency of the petition and a concise summary of its contents have been provided to all persons to whom notice is required by any provision of law, within 30 days of the receipt of the petition. In addition, the commission may give notice to other persons.</w:t>
      </w:r>
    </w:p>
    <w:p>
      <w:pPr>
        <w:spacing w:before="0" w:after="0"/>
        <w:ind w:left="120"/>
        <w:jc w:val="both"/>
      </w:pPr>
      <w:r>
        <w:rPr>
          <w:rFonts w:ascii="Times New Roman" w:hAnsi="Times New Roman"/>
          <w:b w:val="false"/>
          <w:i w:val="false"/>
          <w:color w:val="000000"/>
          <w:sz w:val="22"/>
        </w:rPr>
        <w:t>To accomplish this notice provision, the commission may require the petitioner to serve the notice on all persons to whom notice is required by any provision of law, and provide a written statement to the commission attesting that notice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 xml:space="preserve">The provisions of Iowa Code sections </w:t>
      </w:r>
      <w:hyperlink r:id="rId25">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commission so provides by rule or order or is required to do so by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w:t>
      </w:r>
      <w:r>
        <w:rPr>
          <w:rFonts w:ascii="Times New Roman" w:hAnsi="Times New Roman"/>
          <w:b w:val="false"/>
          <w:i w:val="false"/>
          <w:color w:val="000000"/>
          <w:sz w:val="22"/>
        </w:rPr>
        <w:t> </w:t>
      </w:r>
      <w:r>
        <w:rPr>
          <w:rFonts w:ascii="Times New Roman" w:hAnsi="Times New Roman"/>
          <w:b w:val="false"/>
          <w:i/>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1.8(10)</w:t>
      </w:r>
      <w:r>
        <w:rPr>
          <w:rFonts w:ascii="Times New Roman" w:hAnsi="Times New Roman"/>
          <w:b w:val="false"/>
          <w:i w:val="false"/>
          <w:color w:val="000000"/>
          <w:sz w:val="22"/>
        </w:rPr>
        <w:t> </w:t>
      </w:r>
      <w:r>
        <w:rPr>
          <w:rFonts w:ascii="Times New Roman" w:hAnsi="Times New Roman"/>
          <w:b w:val="false"/>
          <w:i/>
          <w:color w:val="000000"/>
          <w:sz w:val="22"/>
        </w:rPr>
        <w:t xml:space="preserve">Board discretion. </w:t>
      </w:r>
      <w:r>
        <w:rPr>
          <w:rFonts w:ascii="Times New Roman" w:hAnsi="Times New Roman"/>
          <w:b w:val="false"/>
          <w:i w:val="false"/>
          <w:color w:val="000000"/>
          <w:sz w:val="22"/>
        </w:rPr>
        <w:t>The final decision on whether the circumstances justify the granting of a waiver shall be made at the sole discretion of the commission, upon consideration of all relevant factors. Each petition for a waiver shall be evaluated by the commission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commission should exercise its discretion to grant a waiver from a commission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commission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commission may place any condition on a waiver that the commission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the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commission shall grant or deny a petition for a waiver as soon as practicable but, in any event, shall do so within 120 days of its receipt, unless the petitioner agrees to a later date. However, if a petition is filed in a contested case, the commission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1.8(17)</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commission to grant or deny a petition within the required time period shall be deemed a denial of that petition by the commission. However, the commission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1.8(18)</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1.8(19)</w:t>
      </w:r>
      <w:r>
        <w:rPr>
          <w:rFonts w:ascii="Times New Roman" w:hAnsi="Times New Roman"/>
          <w:b w:val="false"/>
          <w:i w:val="false"/>
          <w:color w:val="000000"/>
          <w:sz w:val="22"/>
        </w:rPr>
        <w:t> </w:t>
      </w:r>
      <w:r>
        <w:rPr>
          <w:rFonts w:ascii="Times New Roman" w:hAnsi="Times New Roman"/>
          <w:b w:val="false"/>
          <w:i/>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2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2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commission is authorized or required to keep confidential. The commission may accordingly redact confidential information from petitions or orders prior to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1.8(20)</w:t>
      </w:r>
      <w:r>
        <w:rPr>
          <w:rFonts w:ascii="Times New Roman" w:hAnsi="Times New Roman"/>
          <w:b w:val="false"/>
          <w:i w:val="false"/>
          <w:color w:val="000000"/>
          <w:sz w:val="22"/>
        </w:rPr>
        <w:t> </w:t>
      </w:r>
      <w:r>
        <w:rPr>
          <w:rFonts w:ascii="Times New Roman" w:hAnsi="Times New Roman"/>
          <w:b w:val="false"/>
          <w:i/>
          <w:color w:val="000000"/>
          <w:sz w:val="22"/>
        </w:rPr>
        <w:t xml:space="preserve">Submission of waiver information. </w:t>
      </w:r>
      <w:r>
        <w:rPr>
          <w:rFonts w:ascii="Times New Roman" w:hAnsi="Times New Roman"/>
          <w:b w:val="false"/>
          <w:i w:val="false"/>
          <w:color w:val="000000"/>
          <w:sz w:val="22"/>
        </w:rPr>
        <w:t xml:space="preserve">All orders granting or denying a waiver petition shall be submitted to the legislative services agency through the Internet site established pursuant to Iowa Code section </w:t>
      </w:r>
      <w:hyperlink r:id="rId2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for such submissions within 60 days of the granting or denial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color w:val="000000"/>
          <w:sz w:val="22"/>
        </w:rPr>
        <w:t xml:space="preserve">Summary reports.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2/22/23</w:t>
      </w:r>
      <w:r>
        <w:rPr>
          <w:rFonts w:ascii="Times New Roman" w:hAnsi="Times New Roman"/>
          <w:b w:val="false"/>
          <w:i w:val="false"/>
          <w:color w:val="000000"/>
          <w:sz w:val="22"/>
        </w:rPr>
        <w:t>, effective 3/29/23.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a waiver. </w:t>
      </w:r>
      <w:r>
        <w:rPr>
          <w:rFonts w:ascii="Times New Roman" w:hAnsi="Times New Roman"/>
          <w:b w:val="false"/>
          <w:i w:val="false"/>
          <w:color w:val="000000"/>
          <w:sz w:val="22"/>
        </w:rPr>
        <w:t>A waiver issued by the commission pursuant to this rule may be withdrawn, canceled, or modified if, after appropriate notice and hearing, the commission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1.8(23)</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1.8(24)</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1.8(25)</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commission’s decision to grant or deny a waiver petition may be taken in accordance with Iowa Code chapter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 xml:space="preserve">; </w:t>
      </w:r>
      <w:r>
        <w:rPr>
          <w:rFonts w:ascii="Times New Roman" w:hAnsi="Times New Roman"/>
          <w:b/>
          <w:i w:val="false"/>
          <w:color w:val="000000"/>
          <w:sz w:val="16"/>
        </w:rPr>
        <w:t>ARC 6894C</w:t>
      </w:r>
      <w:r>
        <w:rPr>
          <w:rFonts w:ascii="Times New Roman" w:hAnsi="Times New Roman"/>
          <w:b w:val="false"/>
          <w:i w:val="false"/>
          <w:color w:val="000000"/>
          <w:sz w:val="16"/>
        </w:rPr>
        <w:t>, IAB 2/22/23, effective 3/29/23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0">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Iowa Code chapters </w:t>
      </w:r>
      <w:hyperlink r:id="rId31">
        <w:r>
          <w:rPr>
            <w:rStyle w:val="Hyperlink"/>
            <w:rFonts w:ascii="Times New Roman" w:hAnsi="Times New Roman"/>
            <w:b w:val="false"/>
            <w:i w:val="false"/>
            <w:color w:val="000000"/>
            <w:sz w:val="22"/>
          </w:rPr>
          <w:t>99D</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5/18/84, Notice 4/11/84—published 6/6/84, effective 7/13/84]</w:t>
      </w:r>
    </w:p>
    <w:p>
      <w:pPr>
        <w:spacing w:before="0" w:after="0"/>
        <w:ind w:left="120"/>
        <w:jc w:val="center"/>
      </w:pPr>
      <w:r>
        <w:rPr>
          <w:rFonts w:ascii="Times New Roman" w:hAnsi="Times New Roman"/>
          <w:b w:val="false"/>
          <w:i w:val="false"/>
          <w:color w:val="000000"/>
          <w:sz w:val="21"/>
        </w:rPr>
        <w:t>[Filed emergency 10/20/86—published 11/19/86, effective 10/20/86]</w:t>
      </w:r>
    </w:p>
    <w:p>
      <w:pPr>
        <w:spacing w:before="0" w:after="0"/>
        <w:ind w:left="120"/>
        <w:jc w:val="center"/>
      </w:pPr>
      <w:r>
        <w:rPr>
          <w:rFonts w:ascii="Times New Roman" w:hAnsi="Times New Roman"/>
          <w:b w:val="false"/>
          <w:i w:val="false"/>
          <w:color w:val="000000"/>
          <w:sz w:val="21"/>
        </w:rPr>
        <w:t>[Filed 3/6/87, Notice 1/14/87—published 3/25/87, effective 4/29/87]</w:t>
      </w:r>
    </w:p>
    <w:p>
      <w:pPr>
        <w:spacing w:before="0" w:after="0"/>
        <w:ind w:left="120"/>
        <w:jc w:val="center"/>
      </w:pPr>
      <w:r>
        <w:rPr>
          <w:rFonts w:ascii="Times New Roman" w:hAnsi="Times New Roman"/>
          <w:b w:val="false"/>
          <w:i w:val="false"/>
          <w:color w:val="000000"/>
          <w:sz w:val="21"/>
        </w:rPr>
        <w:t>[Filed 6/11/87, Notice 4/8/87—published 7/1/87, effective 8/6/87]</w:t>
      </w:r>
    </w:p>
    <w:p>
      <w:pPr>
        <w:spacing w:before="0" w:after="0"/>
        <w:ind w:left="120"/>
        <w:jc w:val="center"/>
      </w:pPr>
      <w:r>
        <w:rPr>
          <w:rFonts w:ascii="Times New Roman" w:hAnsi="Times New Roman"/>
          <w:b w:val="false"/>
          <w:i w:val="false"/>
          <w:color w:val="000000"/>
          <w:sz w:val="21"/>
        </w:rPr>
        <w:t>[Filed 10/23/87, Notice 9/9/87—published 11/18/87, effective 12/23/87]</w:t>
      </w:r>
    </w:p>
    <w:p>
      <w:pPr>
        <w:spacing w:before="0" w:after="0"/>
        <w:ind w:left="120"/>
        <w:jc w:val="center"/>
      </w:pPr>
      <w:r>
        <w:rPr>
          <w:rFonts w:ascii="Times New Roman" w:hAnsi="Times New Roman"/>
          <w:b w:val="false"/>
          <w:i w:val="false"/>
          <w:color w:val="000000"/>
          <w:sz w:val="21"/>
        </w:rPr>
        <w:t>[Filed 2/16/90, Notice 12/27/89—published 3/7/90, effective 4/11/90]</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10/16/91—published 12/25/91, effective 1/29/92]</w:t>
      </w:r>
    </w:p>
    <w:p>
      <w:pPr>
        <w:spacing w:before="0" w:after="0"/>
        <w:ind w:left="120"/>
        <w:jc w:val="center"/>
      </w:pPr>
      <w:r>
        <w:rPr>
          <w:rFonts w:ascii="Times New Roman" w:hAnsi="Times New Roman"/>
          <w:b w:val="false"/>
          <w:i w:val="false"/>
          <w:color w:val="000000"/>
          <w:sz w:val="21"/>
        </w:rPr>
        <w:t>[Filed emergency 3/22/93—published 4/14/93, effective 3/22/93]</w:t>
      </w:r>
    </w:p>
    <w:p>
      <w:pPr>
        <w:spacing w:before="0" w:after="0"/>
        <w:ind w:left="120"/>
        <w:jc w:val="center"/>
      </w:pPr>
      <w:r>
        <w:rPr>
          <w:rFonts w:ascii="Times New Roman" w:hAnsi="Times New Roman"/>
          <w:b w:val="false"/>
          <w:i w:val="false"/>
          <w:color w:val="000000"/>
          <w:sz w:val="21"/>
        </w:rPr>
        <w:t>[Filed 5/21/93, Notice 4/14/93—published 6/9/93, effective 7/14/93]</w:t>
      </w:r>
    </w:p>
    <w:p>
      <w:pPr>
        <w:spacing w:before="0" w:after="0"/>
        <w:ind w:left="120"/>
        <w:jc w:val="center"/>
      </w:pPr>
      <w:r>
        <w:rPr>
          <w:rFonts w:ascii="Times New Roman" w:hAnsi="Times New Roman"/>
          <w:b w:val="false"/>
          <w:i w:val="false"/>
          <w:color w:val="000000"/>
          <w:sz w:val="21"/>
        </w:rPr>
        <w:t>[Filed 4/10/97, Notice 2/12/97—published 5/7/97, effective 6/11/97]</w:t>
      </w:r>
    </w:p>
    <w:p>
      <w:pPr>
        <w:spacing w:before="0" w:after="0"/>
        <w:ind w:left="120"/>
        <w:jc w:val="center"/>
      </w:pPr>
      <w:r>
        <w:rPr>
          <w:rFonts w:ascii="Times New Roman" w:hAnsi="Times New Roman"/>
          <w:b w:val="false"/>
          <w:i w:val="false"/>
          <w:color w:val="000000"/>
          <w:sz w:val="21"/>
        </w:rPr>
        <w:t>[Filed 8/22/97, Notice 7/16/97—published 9/10/97, effective 10/15/97]</w:t>
      </w:r>
    </w:p>
    <w:p>
      <w:pPr>
        <w:spacing w:before="0" w:after="0"/>
        <w:ind w:left="120"/>
        <w:jc w:val="center"/>
      </w:pPr>
      <w:r>
        <w:rPr>
          <w:rFonts w:ascii="Times New Roman" w:hAnsi="Times New Roman"/>
          <w:b w:val="false"/>
          <w:i w:val="false"/>
          <w:color w:val="000000"/>
          <w:sz w:val="21"/>
        </w:rPr>
        <w:t>[Filed 3/6/98, Notice 12/17/97—published 3/25/98, effective 4/29/98]</w:t>
      </w:r>
    </w:p>
    <w:p>
      <w:pPr>
        <w:spacing w:before="0" w:after="0"/>
        <w:ind w:left="120"/>
        <w:jc w:val="center"/>
      </w:pPr>
      <w:r>
        <w:rPr>
          <w:rFonts w:ascii="Times New Roman" w:hAnsi="Times New Roman"/>
          <w:b w:val="false"/>
          <w:i w:val="false"/>
          <w:color w:val="000000"/>
          <w:sz w:val="21"/>
        </w:rPr>
        <w:t>[Filed 7/24/98, Notice 6/17/98—published 8/12/98, effective 9/16/98]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10/26/98, Notice 9/9/98—published 11/18/98, effective 12/23/98]</w:t>
      </w:r>
    </w:p>
    <w:p>
      <w:pPr>
        <w:spacing w:before="0" w:after="0"/>
        <w:ind w:left="120"/>
        <w:jc w:val="center"/>
      </w:pPr>
      <w:r>
        <w:rPr>
          <w:rFonts w:ascii="Times New Roman" w:hAnsi="Times New Roman"/>
          <w:b w:val="false"/>
          <w:i w:val="false"/>
          <w:color w:val="000000"/>
          <w:sz w:val="21"/>
        </w:rPr>
        <w:t>[Filed 1/20/00, Notice 12/15/99—published 2/9/00, effective 3/15/00]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7/20/00, Notice 6/14/00—published 8/9/00, effective 9/13/00]</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8/22/01, Notice 7/11/01—published 9/19/01, effective 10/24/01]</w:t>
      </w:r>
    </w:p>
    <w:p>
      <w:pPr>
        <w:spacing w:before="0" w:after="0"/>
        <w:ind w:left="120"/>
        <w:jc w:val="center"/>
      </w:pPr>
      <w:r>
        <w:rPr>
          <w:rFonts w:ascii="Times New Roman" w:hAnsi="Times New Roman"/>
          <w:b w:val="false"/>
          <w:i w:val="false"/>
          <w:color w:val="000000"/>
          <w:sz w:val="21"/>
        </w:rPr>
        <w:t>[Filed 7/18/02, Notice 6/12/02—published 8/7/02, effective 9/11/02]</w:t>
      </w:r>
    </w:p>
    <w:p>
      <w:pPr>
        <w:spacing w:before="0" w:after="0"/>
        <w:ind w:left="120"/>
        <w:jc w:val="center"/>
      </w:pPr>
      <w:r>
        <w:rPr>
          <w:rFonts w:ascii="Times New Roman" w:hAnsi="Times New Roman"/>
          <w:b w:val="false"/>
          <w:i w:val="false"/>
          <w:color w:val="000000"/>
          <w:sz w:val="21"/>
        </w:rPr>
        <w:t>[Filed 9/7/04, Notice 7/7/04—published 9/29/04, effective 11/3/04]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10/17/05, Notice 8/3/05—published 11/9/05, effective 12/14/05]</w:t>
      </w:r>
    </w:p>
    <w:p>
      <w:pPr>
        <w:spacing w:before="0" w:after="0"/>
        <w:ind w:left="120"/>
        <w:jc w:val="center"/>
      </w:pPr>
      <w:r>
        <w:rPr>
          <w:rFonts w:ascii="Times New Roman" w:hAnsi="Times New Roman"/>
          <w:b w:val="false"/>
          <w:i w:val="false"/>
          <w:color w:val="000000"/>
          <w:sz w:val="21"/>
        </w:rPr>
        <w:t>[Filed 4/20/07, Notice 2/14/07—published 5/9/07, effective 6/13/07]</w:t>
      </w:r>
    </w:p>
    <w:p>
      <w:pPr>
        <w:spacing w:before="0" w:after="0"/>
        <w:ind w:left="120"/>
        <w:jc w:val="center"/>
      </w:pPr>
      <w:r>
        <w:rPr>
          <w:rFonts w:ascii="Times New Roman" w:hAnsi="Times New Roman"/>
          <w:b w:val="false"/>
          <w:i w:val="false"/>
          <w:color w:val="000000"/>
          <w:sz w:val="21"/>
        </w:rPr>
        <w:t>[Filed 1/11/08, Notice 11/7/07—published 1/30/08, effective 3/5/08]</w:t>
      </w:r>
    </w:p>
    <w:p>
      <w:pPr>
        <w:spacing w:before="0" w:after="0"/>
        <w:ind w:left="120"/>
        <w:jc w:val="center"/>
      </w:pPr>
      <w:r>
        <w:rPr>
          <w:rFonts w:ascii="Times New Roman" w:hAnsi="Times New Roman"/>
          <w:b w:val="false"/>
          <w:i w:val="false"/>
          <w:color w:val="000000"/>
          <w:sz w:val="21"/>
        </w:rPr>
        <w:t>[Filed ARC 8029B</w:t>
      </w:r>
      <w:r>
        <w:rPr>
          <w:rFonts w:ascii="Times New Roman" w:hAnsi="Times New Roman"/>
          <w:b w:val="false"/>
          <w:i w:val="false"/>
          <w:color w:val="000000"/>
          <w:sz w:val="21"/>
        </w:rPr>
        <w:t xml:space="preserve"> (Notice ARC 7758B, IAB 5/6/09)</w:t>
      </w:r>
      <w:r>
        <w:rPr>
          <w:rFonts w:ascii="Times New Roman" w:hAnsi="Times New Roman"/>
          <w:b w:val="false"/>
          <w:i w:val="false"/>
          <w:color w:val="000000"/>
          <w:sz w:val="21"/>
        </w:rPr>
        <w:t>, IAB 8/12/09, effective 9/16/09]</w:t>
      </w:r>
    </w:p>
    <w:p>
      <w:pPr>
        <w:spacing w:before="0" w:after="0"/>
        <w:ind w:left="120"/>
        <w:jc w:val="center"/>
      </w:pPr>
      <w:r>
        <w:rPr>
          <w:rFonts w:ascii="Times New Roman" w:hAnsi="Times New Roman"/>
          <w:b w:val="false"/>
          <w:i w:val="false"/>
          <w:color w:val="000000"/>
          <w:sz w:val="21"/>
        </w:rPr>
        <w:t>[Filed ARC 0734C</w:t>
      </w:r>
      <w:r>
        <w:rPr>
          <w:rFonts w:ascii="Times New Roman" w:hAnsi="Times New Roman"/>
          <w:b w:val="false"/>
          <w:i w:val="false"/>
          <w:color w:val="000000"/>
          <w:sz w:val="21"/>
        </w:rPr>
        <w:t xml:space="preserve"> (Notice ARC 0604C, IAB 2/20/13)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1506C</w:t>
      </w:r>
      <w:r>
        <w:rPr>
          <w:rFonts w:ascii="Times New Roman" w:hAnsi="Times New Roman"/>
          <w:b w:val="false"/>
          <w:i w:val="false"/>
          <w:color w:val="000000"/>
          <w:sz w:val="21"/>
        </w:rPr>
        <w:t xml:space="preserve"> (Notice ARC 1393C, IAB 4/2/14)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2927C</w:t>
      </w:r>
      <w:r>
        <w:rPr>
          <w:rFonts w:ascii="Times New Roman" w:hAnsi="Times New Roman"/>
          <w:b w:val="false"/>
          <w:i w:val="false"/>
          <w:color w:val="000000"/>
          <w:sz w:val="21"/>
        </w:rPr>
        <w:t xml:space="preserve"> (Notice ARC 2801C, IAB 11/9/16)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Emergency ARC 4618C, IAB 8/28/19, effective 7/31/19]</w:t>
      </w:r>
    </w:p>
    <w:p>
      <w:pPr>
        <w:spacing w:before="0" w:after="0"/>
        <w:ind w:left="120"/>
        <w:jc w:val="center"/>
      </w:pPr>
      <w:r>
        <w:rPr>
          <w:rFonts w:ascii="Times New Roman" w:hAnsi="Times New Roman"/>
          <w:b w:val="false"/>
          <w:i w:val="false"/>
          <w:color w:val="000000"/>
          <w:sz w:val="21"/>
        </w:rPr>
        <w:t>[Filed ARC 5016C</w:t>
      </w:r>
      <w:r>
        <w:rPr>
          <w:rFonts w:ascii="Times New Roman" w:hAnsi="Times New Roman"/>
          <w:b w:val="false"/>
          <w:i w:val="false"/>
          <w:color w:val="000000"/>
          <w:sz w:val="21"/>
        </w:rPr>
        <w:t xml:space="preserve"> (Amended Notice ARC 4807C, IAB 12/18/19; </w:t>
      </w:r>
      <w:r>
        <w:rPr>
          <w:rFonts w:ascii="Times New Roman" w:hAnsi="Times New Roman"/>
          <w:b w:val="false"/>
          <w:i w:val="false"/>
          <w:color w:val="000000"/>
          <w:sz w:val="21"/>
        </w:rPr>
        <w:t>Notice ARC 4617C, IAB 8/28/19)</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5422C</w:t>
      </w:r>
      <w:r>
        <w:rPr>
          <w:rFonts w:ascii="Times New Roman" w:hAnsi="Times New Roman"/>
          <w:b w:val="false"/>
          <w:i w:val="false"/>
          <w:color w:val="000000"/>
          <w:sz w:val="21"/>
        </w:rPr>
        <w:t xml:space="preserve"> (Notice ARC 5269C, IAB 11/18/20)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6894C</w:t>
      </w:r>
      <w:r>
        <w:rPr>
          <w:rFonts w:ascii="Times New Roman" w:hAnsi="Times New Roman"/>
          <w:b w:val="false"/>
          <w:i w:val="false"/>
          <w:color w:val="000000"/>
          <w:sz w:val="21"/>
        </w:rPr>
        <w:t xml:space="preserve"> (Notice ARC 6542C, IAB 9/21/22)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[Editorial change: IAC Supplement 3/6/24]</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Item 1, subrule 1.6(4), delayed by the Administrative Rules Review Committee at its meeting held September 8, 1998, until the adjournment of the 1999 Session of the General Assembly.</w:t>
      </w:r>
    </w:p>
    <w:p>
      <w:pPr>
        <w:pBdr>
          <w:bottom w:space="2"/>
        </w:pBdr>
        <w:spacing w:before="0" w:after="0"/>
        <w:ind w:left="120"/>
        <w:jc w:val="both"/>
      </w:pPr>
      <w:r>
        <w:rPr>
          <w:rFonts w:ascii="Times New Roman" w:hAnsi="Times New Roman"/>
          <w:b w:val="false"/>
          <w:i w:val="false"/>
          <w:color w:val="000000"/>
          <w:sz w:val="22"/>
        </w:rPr>
        <w:t>Effective date of 1.8 delayed 70 days by the Administrative Rules Review Committee at its meeting held March 10, 2000.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D.pdf" Type="http://schemas.openxmlformats.org/officeDocument/2006/relationships/hyperlink" Id="rId5"/>
    <Relationship TargetMode="External" Target="https://www.legis.iowa.gov/docs/ico/chapter/99D.pdf" Type="http://schemas.openxmlformats.org/officeDocument/2006/relationships/hyperlink" Id="rId6"/>
    <Relationship TargetMode="External" Target="https://www.legis.iowa.gov/docs/ico/chapter/99F.pdf" Type="http://schemas.openxmlformats.org/officeDocument/2006/relationships/hyperlink" Id="rId7"/>
    <Relationship TargetMode="External" Target="https://www.legis.iowa.gov/docs/ico/chapter/99D.pdf" Type="http://schemas.openxmlformats.org/officeDocument/2006/relationships/hyperlink" Id="rId8"/>
    <Relationship TargetMode="External" Target="https://www.legis.iowa.gov/docs/ico/chapter/99F.pdf" Type="http://schemas.openxmlformats.org/officeDocument/2006/relationships/hyperlink" Id="rId9"/>
    <Relationship TargetMode="External" Target="http://irgc.iowa.gov/" Type="http://schemas.openxmlformats.org/officeDocument/2006/relationships/hyperlink" Id="rId10"/>
    <Relationship TargetMode="External" Target="https://www.legis.iowa.gov/docs/ico/chapter/21.4.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17A.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99D.7.pdf" Type="http://schemas.openxmlformats.org/officeDocument/2006/relationships/hyperlink" Id="rId16"/>
    <Relationship TargetMode="External" Target="https://www.legis.iowa.gov/docs/ico/chapter/99F.4.pdf" Type="http://schemas.openxmlformats.org/officeDocument/2006/relationships/hyperlink" Id="rId17"/>
    <Relationship TargetMode="External" Target="https://www.legis.iowa.gov/docs/iac/chapter/491.6.pdf" Type="http://schemas.openxmlformats.org/officeDocument/2006/relationships/hyperlink" Id="rId18"/>
    <Relationship TargetMode="External" Target="https://www.legis.iowa.gov/docs/iac/chapter/491.11.pdf" Type="http://schemas.openxmlformats.org/officeDocument/2006/relationships/hyperlink" Id="rId19"/>
    <Relationship TargetMode="External" Target="https://www.legis.iowa.gov/docs/iac/chapter/491.8.pdf" Type="http://schemas.openxmlformats.org/officeDocument/2006/relationships/hyperlink" Id="rId20"/>
    <Relationship TargetMode="External" Target="https://www.legis.iowa.gov/docs/ico/chapter/99D.9.pdf" Type="http://schemas.openxmlformats.org/officeDocument/2006/relationships/hyperlink" Id="rId21"/>
    <Relationship TargetMode="External" Target="https://www.legis.iowa.gov/docs/ico/chapter/99F.4.pdf" Type="http://schemas.openxmlformats.org/officeDocument/2006/relationships/hyperlink" Id="rId22"/>
    <Relationship TargetMode="External" Target="https://www.legis.iowa.gov/docs/iac/rule/491.1.8.pdf" Type="http://schemas.openxmlformats.org/officeDocument/2006/relationships/hyperlink" Id="rId23"/>
    <Relationship TargetMode="External" Target="https://www.legis.iowa.gov/docs/iac/rule/491.1.8.pdf" Type="http://schemas.openxmlformats.org/officeDocument/2006/relationships/hyperlink" Id="rId24"/>
    <Relationship TargetMode="External" Target="https://www.legis.iowa.gov/docs/ico/chapter/17A.10-18A.pdf" Type="http://schemas.openxmlformats.org/officeDocument/2006/relationships/hyperlink" Id="rId25"/>
    <Relationship TargetMode="External" Target="https://www.legis.iowa.gov/docs/ico/chapter/17A.3.pdf" Type="http://schemas.openxmlformats.org/officeDocument/2006/relationships/hyperlink" Id="rId26"/>
    <Relationship TargetMode="External" Target="https://www.legis.iowa.gov/docs/ico/chapter/22.pdf" Type="http://schemas.openxmlformats.org/officeDocument/2006/relationships/hyperlink" Id="rId27"/>
    <Relationship TargetMode="External" Target="https://www.legis.iowa.gov/docs/ico/chapter/17A.9A.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17A.9A.pdf" Type="http://schemas.openxmlformats.org/officeDocument/2006/relationships/hyperlink" Id="rId30"/>
    <Relationship TargetMode="External" Target="https://www.legis.iowa.gov/docs/ico/chapter/99D.pdf" Type="http://schemas.openxmlformats.org/officeDocument/2006/relationships/hyperlink" Id="rId31"/>
    <Relationship TargetMode="External" Target="https://www.legis.iowa.gov/docs/ico/chapter/99F.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