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employment appeal board adopts, with the following amendments and exceptions,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486—8.1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Delete “the agency” and insert “an agency”. Insert “The originating agency, if any, is the custodian of records which are used to carry out functions of the originating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“Originating agency” </w:t>
      </w:r>
      <w:r>
        <w:rPr>
          <w:rFonts w:ascii="Times New Roman" w:hAnsi="Times New Roman"/>
          <w:b w:val="false"/>
          <w:i w:val="false"/>
          <w:color w:val="000000"/>
          <w:sz w:val="22"/>
        </w:rPr>
        <w:t>means the government agency which has authority over and custody of records and for whom the board is performing a service.</w:t>
      </w:r>
    </w:p>
    <w:p>
      <w:pPr>
        <w:spacing w:before="0" w:after="0"/>
        <w:ind w:left="120"/>
        <w:jc w:val="both"/>
      </w:pPr>
      <w:r>
        <w:rPr>
          <w:rFonts w:ascii="Times New Roman" w:hAnsi="Times New Roman"/>
          <w:b/>
          <w:i w:val="false"/>
          <w:color w:val="000000"/>
          <w:sz w:val="22"/>
        </w:rPr>
        <w:t>486—8.3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“board”. In lieu of the words “(insert agency name and address)” insert “Employment Appeal Board,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“fifteen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486—8.6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originating agency, to the board”.</w:t>
      </w:r>
    </w:p>
    <w:p>
      <w:pPr>
        <w:spacing w:before="0" w:after="0"/>
        <w:ind w:left="120"/>
        <w:jc w:val="both"/>
      </w:pPr>
      <w:r>
        <w:rPr>
          <w:rFonts w:ascii="Times New Roman" w:hAnsi="Times New Roman"/>
          <w:b/>
          <w:i w:val="false"/>
          <w:color w:val="000000"/>
          <w:sz w:val="22"/>
        </w:rPr>
        <w:t>486—8.9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or exempt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6">
        <w:r>
          <w:rPr>
            <w:rStyle w:val="Hyperlink"/>
            <w:rFonts w:ascii="Times New Roman" w:hAnsi="Times New Roman"/>
            <w:b w:val="false"/>
            <w:i w:val="false"/>
            <w:color w:val="000000"/>
            <w:sz w:val="22"/>
          </w:rPr>
          <w:t>8.10</w:t>
        </w:r>
      </w:hyperlink>
      <w:r>
        <w:rPr>
          <w:rFonts w:ascii="Times New Roman" w:hAnsi="Times New Roman"/>
          <w:b w:val="false"/>
          <w:i w:val="false"/>
          <w:color w:val="000000"/>
          <w:sz w:val="22"/>
        </w:rPr>
        <w:t>(22)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486—8.10</w:t>
      </w:r>
      <w:r>
        <w:rPr>
          <w:rFonts w:ascii="Times New Roman" w:hAnsi="Times New Roman"/>
          <w:b/>
          <w:i w:val="false"/>
          <w:color w:val="000000"/>
          <w:sz w:val="22"/>
        </w:rPr>
        <w:t xml:space="preserve">(22)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board or the originating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486—8.11</w:t>
      </w:r>
      <w:r>
        <w:rPr>
          <w:rFonts w:ascii="Times New Roman" w:hAnsi="Times New Roman"/>
          <w:b/>
          <w:i w:val="false"/>
          <w:color w:val="000000"/>
          <w:sz w:val="22"/>
        </w:rPr>
        <w:t xml:space="preserve">(22)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provided by law, the subject may consent in writing to agency disclosure of confidential records as provided in rule </w:t>
      </w:r>
      <w:hyperlink r:id="rId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to the extent permitted by law may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486—8.12</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0">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1">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i w:val="false"/>
          <w:color w:val="000000"/>
          <w:sz w:val="22"/>
        </w:rPr>
        <w:t>486—8.13</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department maintains systems of records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people who make written or oral comments about proposed rules. Iowa Code section </w:t>
      </w:r>
      <w:hyperlink r:id="rId1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requires collection and retention of this information. It cannot be retrieved by an individual identifier. It is not stored in a computer system.</w:t>
      </w:r>
    </w:p>
    <w:p>
      <w:pPr>
        <w:spacing w:before="0" w:after="0"/>
        <w:ind w:left="120"/>
        <w:jc w:val="both"/>
      </w:pPr>
      <w:r>
        <w:rPr>
          <w:rFonts w:ascii="Times New Roman" w:hAnsi="Times New Roman"/>
          <w:b w:val="false"/>
          <w:i w:val="false"/>
          <w:color w:val="000000"/>
          <w:sz w:val="22"/>
        </w:rPr>
        <w:t>During the rule-writing process, committees are occasionally used to gather basic information. Minutes of committee meetings are available for public inspection. The minutes are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records. </w:t>
      </w:r>
      <w:r>
        <w:rPr>
          <w:rFonts w:ascii="Times New Roman" w:hAnsi="Times New Roman"/>
          <w:b w:val="false"/>
          <w:i w:val="false"/>
          <w:color w:val="000000"/>
          <w:sz w:val="22"/>
        </w:rPr>
        <w:t>Contested case records are maintained in paper and computer files and contain names and identifying numbers of people involved. Evidence and documents submitted as a result of a hearing are contained in the contested case records.</w:t>
      </w:r>
    </w:p>
    <w:p>
      <w:pPr>
        <w:spacing w:before="0" w:after="0"/>
        <w:ind w:left="120"/>
        <w:jc w:val="both"/>
      </w:pPr>
      <w:r>
        <w:rPr>
          <w:rFonts w:ascii="Times New Roman" w:hAnsi="Times New Roman"/>
          <w:b w:val="false"/>
          <w:i w:val="false"/>
          <w:color w:val="000000"/>
          <w:sz w:val="22"/>
        </w:rPr>
        <w:t xml:space="preserve">Records are collected by authority of Iowa Code section </w:t>
      </w:r>
      <w:hyperlink r:id="rId13">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 None of the information stored in a data processing system is compared with information in any other data processing system.</w:t>
      </w:r>
    </w:p>
    <w:p>
      <w:pPr>
        <w:spacing w:before="0" w:after="0"/>
        <w:ind w:left="120"/>
        <w:jc w:val="both"/>
      </w:pPr>
      <w:r>
        <w:rPr>
          <w:rFonts w:ascii="Times New Roman" w:hAnsi="Times New Roman"/>
          <w:b w:val="false"/>
          <w:i w:val="false"/>
          <w:color w:val="000000"/>
          <w:sz w:val="22"/>
        </w:rPr>
        <w:t>Records of hearings are recorded on magnetic cassette tapes or in written transcripts.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Iowa Code chapters </w:t>
      </w:r>
      <w:hyperlink r:id="rId1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19A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89B</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8/11/88 after Notice 5/4/88—published 9/7/88, effective 8/11/88]</w:t>
      </w:r>
    </w:p>
    <w:p>
      <w:pPr>
        <w:spacing w:before="0" w:after="0"/>
        <w:ind w:left="120"/>
        <w:jc w:val="center"/>
      </w:pPr>
      <w:r>
        <w:rPr>
          <w:rFonts w:ascii="Times New Roman" w:hAnsi="Times New Roman"/>
          <w:b w:val="false"/>
          <w:i w:val="false"/>
          <w:color w:val="000000"/>
          <w:sz w:val="21"/>
        </w:rPr>
        <w:t>[Editorial change: IAC Supplement 2/21/24]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486.8.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486.8.7.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0A.601.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11.pdf" Type="http://schemas.openxmlformats.org/officeDocument/2006/relationships/hyperlink" Id="rId15"/>
    <Relationship TargetMode="External" Target="https://www.legis.iowa.gov/docs/ico/chapter/10A.pdf" Type="http://schemas.openxmlformats.org/officeDocument/2006/relationships/hyperlink" Id="rId16"/>
    <Relationship TargetMode="External" Target="https://www.legis.iowa.gov/docs/ico/chapter/19A.pdf" Type="http://schemas.openxmlformats.org/officeDocument/2006/relationships/hyperlink" Id="rId17"/>
    <Relationship TargetMode="External" Target="https://www.legis.iowa.gov/docs/ico/chapter/80.pdf" Type="http://schemas.openxmlformats.org/officeDocument/2006/relationships/hyperlink" Id="rId18"/>
    <Relationship TargetMode="External" Target="https://www.legis.iowa.gov/docs/ico/chapter/88.pdf" Type="http://schemas.openxmlformats.org/officeDocument/2006/relationships/hyperlink" Id="rId19"/>
    <Relationship TargetMode="External" Target="https://www.legis.iowa.gov/docs/ico/chapter/89A.pdf" Type="http://schemas.openxmlformats.org/officeDocument/2006/relationships/hyperlink" Id="rId20"/>
    <Relationship TargetMode="External" Target="https://www.legis.iowa.gov/docs/ico/chapter/89B .pdf" Type="http://schemas.openxmlformats.org/officeDocument/2006/relationships/hyperlink" Id="rId21"/>
    <Relationship TargetMode="External" Target="https://www.legis.iowa.gov/docs/ico/chapter/96.pdf" Type="http://schemas.openxmlformats.org/officeDocument/2006/relationships/hyperlink" Id="rId22"/>
    <Relationship TargetMode="External" Target="https://www.legis.iowa.gov/docs/ico/chapter/97.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