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902</w:t>
      </w:r>
    </w:p>
    <w:p>
      <w:pPr>
        <w:spacing w:before="0" w:after="0"/>
        <w:ind w:left="120"/>
        <w:jc w:val="center"/>
      </w:pPr>
      <w:r>
        <w:rPr>
          <w:rFonts w:ascii="Times New Roman" w:hAnsi="Times New Roman"/>
          <w:b w:val="false"/>
          <w:i w:val="false"/>
          <w:color w:val="000000"/>
          <w:sz w:val="21"/>
        </w:rPr>
        <w:t>CONTINUING EDUCATION FOR FUNERAL DIRECTORS</w:t>
      </w:r>
    </w:p>
    <w:p>
      <w:pPr>
        <w:spacing w:before="0" w:after="0"/>
        <w:ind w:left="120"/>
        <w:jc w:val="center"/>
      </w:pPr>
      <w:r>
        <w:rPr>
          <w:rFonts w:ascii="Times New Roman" w:hAnsi="Times New Roman"/>
          <w:b w:val="false"/>
          <w:i w:val="false"/>
          <w:color w:val="000000"/>
          <w:sz w:val="14"/>
        </w:rPr>
        <w:t>[Prior to 9/18/24, see Professional Licensure Division[645] Ch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that are designed to maintain, improve, or expand a licensee’s knowledge and skills in order for the licensee to develop new knowledge and skills relevant to the enhancement of practice, education, or theory development to improve the safety and welfare of the public and that meet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these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funeral director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fifteenth day of the licensee’s birth month and ending on the fifteenth day of the licensee’s birth month. Each biennium, a person who holds an active license will be required to complete a minimum of 24 hours of continuing education activity. Two of the 24 hours of continuing education will be in current Iowa law and rules covering mortuary science content areas, including but not limited to Iowa law and rules governing the practice of mortuary science, cremation, vital statistics, cemeteries and preneed. A minimum of 12 hours of the 24 hours of continuing education required for renewal will be earned by completing a program in which an instructor conducts the class employing either in-person or live, real-time interactive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Continuing education is not required in the first renewal period. Continuing education hours acquired any time from the initial licensing until the second license renewal may be used. The new licensee will be required to complete a minimum of 24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902.2(4)</w:t>
      </w:r>
      <w:r>
        <w:rPr>
          <w:rFonts w:ascii="Times New Roman" w:hAnsi="Times New Roman"/>
          <w:b w:val="false"/>
          <w:i w:val="false"/>
          <w:color w:val="000000"/>
          <w:sz w:val="22"/>
        </w:rPr>
        <w:t> </w:t>
      </w:r>
      <w:r>
        <w:rPr>
          <w:rFonts w:ascii="Times New Roman" w:hAnsi="Times New Roman"/>
          <w:b w:val="false"/>
          <w:i w:val="false"/>
          <w:color w:val="000000"/>
          <w:sz w:val="22"/>
        </w:rPr>
        <w:t xml:space="preserve">No hours of continuing education will be carried over into the next biennium except as stated in subrule </w:t>
      </w:r>
      <w:r>
        <w:rPr>
          <w:rFonts w:ascii="Times New Roman" w:hAnsi="Times New Roman"/>
          <w:b w:val="false"/>
          <w:i w:val="false"/>
          <w:color w:val="000000"/>
          <w:sz w:val="22"/>
        </w:rPr>
        <w:t>902.2(2)</w:t>
      </w:r>
      <w:r>
        <w:rPr>
          <w:rFonts w:ascii="Times New Roman" w:hAnsi="Times New Roman"/>
          <w:b w:val="false"/>
          <w:i w:val="false"/>
          <w:color w:val="000000"/>
          <w:sz w:val="22"/>
        </w:rPr>
        <w: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481—902.3</w:t>
      </w:r>
      <w:r>
        <w:rPr>
          <w:rFonts w:ascii="Times New Roman" w:hAnsi="Times New Roman"/>
          <w:b/>
          <w:i w:val="false"/>
          <w:color w:val="000000"/>
          <w:sz w:val="22"/>
        </w:rPr>
        <w:t xml:space="preserve">(156,272C)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xml:space="preserve">All licensees must retain the information identified in paragraph </w:t>
      </w:r>
      <w:r>
        <w:rPr>
          <w:rFonts w:ascii="Times New Roman" w:hAnsi="Times New Roman"/>
          <w:b w:val="false"/>
          <w:i w:val="false"/>
          <w:color w:val="000000"/>
          <w:sz w:val="22"/>
        </w:rPr>
        <w:t>902.3(1)</w:t>
      </w:r>
      <w:r>
        <w:rPr>
          <w:rFonts w:ascii="Times New Roman" w:hAnsi="Times New Roman"/>
          <w:b w:val="false"/>
          <w:i/>
          <w:color w:val="000000"/>
          <w:sz w:val="22"/>
        </w:rPr>
        <w:t>“e”</w:t>
      </w:r>
      <w:r>
        <w:rPr>
          <w:rFonts w:ascii="Times New Roman" w:hAnsi="Times New Roman"/>
          <w:b w:val="false"/>
          <w:i w:val="false"/>
          <w:color w:val="000000"/>
          <w:sz w:val="22"/>
        </w:rPr>
        <w:t xml:space="preserve"> for two years after the biennium has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categories of continuing education are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health and technical: chemistry, microbiology and public health, anatomy, pathology, restorative art, arterial and cavity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management: accounting, funeral home and crematory management and merchandising, computer application, funeral directing, and small business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sciences/humanities: psychology of grief, counseling, sociology of funeral service, history of funeral service, communication skills,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ethical, regulatory: mortuary law; business law; ethics; Federal Trade Commission, OSHA, ADA, and EPA regulations; preneed regulation; social services; veterans affairs benefits; insurance; state and county benefits; legislative concerns. Insurance will be related to life insurance and will not exceed 8 hours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 is accepted. Continuing education credit equivalents are as follows:</w:t>
      </w:r>
    </w:p>
    <w:p>
      <w:pPr>
        <w:spacing w:before="0" w:after="0"/>
        <w:ind w:left="120"/>
        <w:jc w:val="both"/>
      </w:pPr>
      <w:r>
        <w:rPr>
          <w:rFonts w:ascii="Times New Roman" w:hAnsi="Times New Roman"/>
          <w:b w:val="false"/>
          <w:i w:val="false"/>
          <w:color w:val="000000"/>
          <w:sz w:val="22"/>
        </w:rPr>
        <w:t>1 academic semester hour = 10 continuing education hours</w:t>
      </w:r>
    </w:p>
    <w:p>
      <w:pPr>
        <w:spacing w:before="0" w:after="0"/>
        <w:ind w:left="120"/>
        <w:jc w:val="both"/>
      </w:pPr>
      <w:r>
        <w:rPr>
          <w:rFonts w:ascii="Times New Roman" w:hAnsi="Times New Roman"/>
          <w:b w:val="false"/>
          <w:i w:val="false"/>
          <w:color w:val="000000"/>
          <w:sz w:val="22"/>
        </w:rPr>
        <w:t>1 academic trimester hour = 8 continuing education hours</w:t>
      </w:r>
    </w:p>
    <w:p>
      <w:pPr>
        <w:spacing w:before="0" w:after="0"/>
        <w:ind w:left="120"/>
        <w:jc w:val="both"/>
      </w:pPr>
      <w:r>
        <w:rPr>
          <w:rFonts w:ascii="Times New Roman" w:hAnsi="Times New Roman"/>
          <w:b w:val="false"/>
          <w:i w:val="false"/>
          <w:color w:val="000000"/>
          <w:sz w:val="22"/>
        </w:rPr>
        <w:t>1 academic quarter hour = 7 continuing education hours</w:t>
      </w:r>
    </w:p>
    <w:p>
      <w:pPr>
        <w:spacing w:before="0" w:after="0"/>
        <w:ind w:left="120"/>
        <w:jc w:val="both"/>
      </w:pPr>
      <w:r>
        <w:rPr>
          <w:rFonts w:ascii="Times New Roman" w:hAnsi="Times New Roman"/>
          <w:b w:val="false"/>
          <w:i w:val="false"/>
          <w:color w:val="000000"/>
          <w:sz w:val="22"/>
        </w:rPr>
        <w:t>A course description and an official school transcript indicating successful completion of the course must be provided by the licensee to receive credit for an academic course if continuing education is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is offered or sponsored by a state or national funeral association that meets the criteria in subrule </w:t>
      </w:r>
      <w:r>
        <w:rPr>
          <w:rFonts w:ascii="Times New Roman" w:hAnsi="Times New Roman"/>
          <w:b w:val="false"/>
          <w:i w:val="false"/>
          <w:color w:val="000000"/>
          <w:sz w:val="22"/>
        </w:rPr>
        <w:t>902.3(1)</w:t>
      </w:r>
      <w:r>
        <w:rPr>
          <w:rFonts w:ascii="Times New Roman" w:hAnsi="Times New Roman"/>
          <w:b w:val="false"/>
          <w:i w:val="false"/>
          <w:color w:val="000000"/>
          <w:sz w:val="22"/>
        </w:rPr>
        <w:t xml:space="preserve"> and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is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credits, including those obtained by television viewing, Internet, video- or sound-recorded programs, or correspondence work or by other similar means that meet the criteria in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must be accompanied by a certificate from the sponsoring organization that indicates successful completion of the test. Continuing education credit obtained by independent study will not exceed 12 hours of the 24 hours required during the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Presentations of a structured continuing education program or a college course that meets the criteria established in standards for approval may receive 1.5 times the number of hours granted the attendees. These hours will be granted only once per biennium for identical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Two of the 24 hours of continuing education will be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481—902.4</w:t>
      </w:r>
      <w:r>
        <w:rPr>
          <w:rFonts w:ascii="Times New Roman" w:hAnsi="Times New Roman"/>
          <w:b/>
          <w:i w:val="false"/>
          <w:color w:val="000000"/>
          <w:sz w:val="22"/>
        </w:rPr>
        <w:t xml:space="preserve">(272C)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 xml:space="preserve">A licensee will be exempt from the continuing education requirement during the license biennium when that person: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honorably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absent from the state but engaged in active practice under circumstances that are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7814C</w:t>
      </w:r>
      <w:r>
        <w:rPr>
          <w:rFonts w:ascii="Times New Roman" w:hAnsi="Times New Roman"/>
          <w:b w:val="false"/>
          <w:i w:val="false"/>
          <w:color w:val="000000"/>
          <w:sz w:val="21"/>
        </w:rPr>
        <w:t xml:space="preserve"> (Notice ARC 7533C,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