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61</w:t>
      </w:r>
    </w:p>
    <w:p>
      <w:pPr>
        <w:spacing w:before="0" w:after="0"/>
        <w:ind w:left="120"/>
        <w:jc w:val="center"/>
      </w:pPr>
      <w:r>
        <w:rPr>
          <w:rFonts w:ascii="Times New Roman" w:hAnsi="Times New Roman"/>
          <w:b w:val="false"/>
          <w:i w:val="false"/>
          <w:color w:val="000000"/>
          <w:sz w:val="21"/>
        </w:rPr>
        <w:t>MINIMUM PHYSICAL STANDARDS FOR NURSING FACILITIES</w:t>
      </w:r>
    </w:p>
    <w:p>
      <w:pPr>
        <w:spacing w:before="0" w:after="0"/>
        <w:ind w:left="120"/>
        <w:jc w:val="center"/>
      </w:pPr>
      <w:r>
        <w:rPr>
          <w:rFonts w:ascii="Times New Roman" w:hAnsi="Times New Roman"/>
          <w:b w:val="false"/>
          <w:i w:val="false"/>
          <w:color w:val="000000"/>
          <w:sz w:val="14"/>
        </w:rPr>
        <w:t>[Prior to 7/15/87, Health Department[470] Ch 61]</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481—61.1</w:t>
      </w:r>
      <w:r>
        <w:rPr>
          <w:rFonts w:ascii="Times New Roman" w:hAnsi="Times New Roman"/>
          <w:b/>
          <w:i w:val="false"/>
          <w:color w:val="000000"/>
          <w:sz w:val="22"/>
        </w:rPr>
        <w:t xml:space="preserve">(135C)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Definitions in rule </w:t>
      </w:r>
      <w:hyperlink r:id="rId5">
        <w:r>
          <w:rPr>
            <w:rStyle w:val="Hyperlink"/>
            <w:rFonts w:ascii="Times New Roman" w:hAnsi="Times New Roman"/>
            <w:b w:val="false"/>
            <w:i w:val="false"/>
            <w:color w:val="000000"/>
            <w:sz w:val="22"/>
          </w:rPr>
          <w:t>481—58.1</w:t>
        </w:r>
      </w:hyperlink>
      <w:r>
        <w:rPr>
          <w:rFonts w:ascii="Times New Roman" w:hAnsi="Times New Roman"/>
          <w:b w:val="false"/>
          <w:i w:val="false"/>
          <w:color w:val="000000"/>
          <w:sz w:val="22"/>
        </w:rPr>
        <w:t>(135C) are incorporated by reference as part of this chapter. In addition, the following definition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“Responsible design professional” </w:t>
      </w:r>
      <w:r>
        <w:rPr>
          <w:rFonts w:ascii="Times New Roman" w:hAnsi="Times New Roman"/>
          <w:b w:val="false"/>
          <w:i w:val="false"/>
          <w:color w:val="000000"/>
          <w:sz w:val="22"/>
        </w:rPr>
        <w:t xml:space="preserve">means a registered architect or licensed professional engineer who signs the documents submitted pursuant to rule </w:t>
      </w:r>
      <w:hyperlink r:id="rId6">
        <w:r>
          <w:rPr>
            <w:rStyle w:val="Hyperlink"/>
            <w:rFonts w:ascii="Times New Roman" w:hAnsi="Times New Roman"/>
            <w:b w:val="false"/>
            <w:i w:val="false"/>
            <w:color w:val="000000"/>
            <w:sz w:val="22"/>
          </w:rPr>
          <w:t>481—61.3</w:t>
        </w:r>
      </w:hyperlink>
      <w:r>
        <w:rPr>
          <w:rFonts w:ascii="Times New Roman" w:hAnsi="Times New Roman"/>
          <w:b w:val="false"/>
          <w:i w:val="false"/>
          <w:color w:val="000000"/>
          <w:sz w:val="22"/>
        </w:rPr>
        <w:t>(135C).</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0763C</w:t>
      </w:r>
      <w:r>
        <w:rPr>
          <w:rFonts w:ascii="Times New Roman" w:hAnsi="Times New Roman"/>
          <w:b w:val="false"/>
          <w:i w:val="false"/>
          <w:color w:val="000000"/>
          <w:sz w:val="16"/>
        </w:rPr>
        <w:t>, IAB 5/29/13, effective 7/3/13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481—61.2</w:t>
      </w:r>
      <w:r>
        <w:rPr>
          <w:rFonts w:ascii="Times New Roman" w:hAnsi="Times New Roman"/>
          <w:b/>
          <w:i w:val="false"/>
          <w:color w:val="000000"/>
          <w:sz w:val="22"/>
        </w:rPr>
        <w:t xml:space="preserve">(135C) </w:t>
      </w:r>
      <w:r>
        <w:rPr>
          <w:rFonts w:ascii="Times New Roman" w:hAnsi="Times New Roman"/>
          <w:b/>
          <w:i w:val="false"/>
          <w:color w:val="000000"/>
          <w:sz w:val="22"/>
        </w:rPr>
        <w:t xml:space="preserve">General requirements. </w:t>
      </w:r>
      <w:r>
        <w:rPr>
          <w:rFonts w:ascii="Times New Roman" w:hAnsi="Times New Roman"/>
          <w:b w:val="false"/>
          <w:i w:val="false"/>
          <w:color w:val="000000"/>
          <w:sz w:val="22"/>
        </w:rPr>
        <w:t>Nursing facilities licensed under this chapter shall be built in accordance with the following construction standards: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61.2(1)</w:t>
      </w:r>
      <w:r>
        <w:rPr>
          <w:rFonts w:ascii="Times New Roman" w:hAnsi="Times New Roman"/>
          <w:b w:val="false"/>
          <w:i w:val="false"/>
          <w:color w:val="000000"/>
          <w:sz w:val="22"/>
        </w:rPr>
        <w:t> </w:t>
      </w:r>
      <w:r>
        <w:rPr>
          <w:rFonts w:ascii="Times New Roman" w:hAnsi="Times New Roman"/>
          <w:b w:val="false"/>
          <w:i w:val="false"/>
          <w:color w:val="000000"/>
          <w:sz w:val="22"/>
        </w:rPr>
        <w:t xml:space="preserve">Construction shall be in conformance with </w:t>
      </w:r>
      <w:hyperlink r:id="rId7">
        <w:r>
          <w:rPr>
            <w:rStyle w:val="Hyperlink"/>
            <w:rFonts w:ascii="Times New Roman" w:hAnsi="Times New Roman"/>
            <w:b w:val="false"/>
            <w:i w:val="false"/>
            <w:color w:val="000000"/>
            <w:sz w:val="22"/>
          </w:rPr>
          <w:t>661—Chapter 205</w:t>
        </w:r>
      </w:hyperlink>
      <w:r>
        <w:rPr>
          <w:rFonts w:ascii="Times New Roman" w:hAnsi="Times New Roman"/>
          <w:b w:val="false"/>
          <w:i w:val="false"/>
          <w:color w:val="000000"/>
          <w:sz w:val="22"/>
        </w:rPr>
        <w:t xml:space="preserve">, Fire Safety Requirements for Hospitals and Health Care Facilities. Projects required to meet the provisions of the state building code shall be deemed to be in compliance with the fire safety requirements of the state building code if the project is in compliance with the provisions of </w:t>
      </w:r>
      <w:hyperlink r:id="rId8">
        <w:r>
          <w:rPr>
            <w:rStyle w:val="Hyperlink"/>
            <w:rFonts w:ascii="Times New Roman" w:hAnsi="Times New Roman"/>
            <w:b w:val="false"/>
            <w:i w:val="false"/>
            <w:color w:val="000000"/>
            <w:sz w:val="22"/>
          </w:rPr>
          <w:t>661—Chapter 205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61.2(2)</w:t>
      </w:r>
      <w:r>
        <w:rPr>
          <w:rFonts w:ascii="Times New Roman" w:hAnsi="Times New Roman"/>
          <w:b w:val="false"/>
          <w:i w:val="false"/>
          <w:color w:val="000000"/>
          <w:sz w:val="22"/>
        </w:rPr>
        <w:t> </w:t>
      </w:r>
      <w:r>
        <w:rPr>
          <w:rFonts w:ascii="Times New Roman" w:hAnsi="Times New Roman"/>
          <w:b w:val="false"/>
          <w:i w:val="false"/>
          <w:color w:val="000000"/>
          <w:sz w:val="22"/>
        </w:rPr>
        <w:t xml:space="preserve">Construction shall be in conformance with </w:t>
      </w:r>
      <w:hyperlink r:id="rId9">
        <w:r>
          <w:rPr>
            <w:rStyle w:val="Hyperlink"/>
            <w:rFonts w:ascii="Times New Roman" w:hAnsi="Times New Roman"/>
            <w:b w:val="false"/>
            <w:i w:val="false"/>
            <w:color w:val="000000"/>
            <w:sz w:val="22"/>
          </w:rPr>
          <w:t>661—Chapter 301</w:t>
        </w:r>
      </w:hyperlink>
      <w:r>
        <w:rPr>
          <w:rFonts w:ascii="Times New Roman" w:hAnsi="Times New Roman"/>
          <w:b w:val="false"/>
          <w:i w:val="false"/>
          <w:color w:val="000000"/>
          <w:sz w:val="22"/>
        </w:rPr>
        <w:t>, State Building Code— General Provisions. Projects meeting the local building code shall be deemed to be in compliance with the state building code provided that the local jurisdiction has established a building department, has adopted a building code by ordinance and enforces the local code through a system which includes both plan review and inspection.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61.2(3)</w:t>
      </w:r>
      <w:r>
        <w:rPr>
          <w:rFonts w:ascii="Times New Roman" w:hAnsi="Times New Roman"/>
          <w:b w:val="false"/>
          <w:i w:val="false"/>
          <w:color w:val="000000"/>
          <w:sz w:val="22"/>
        </w:rPr>
        <w:t> </w:t>
      </w:r>
      <w:r>
        <w:rPr>
          <w:rFonts w:ascii="Times New Roman" w:hAnsi="Times New Roman"/>
          <w:b w:val="false"/>
          <w:i w:val="false"/>
          <w:color w:val="000000"/>
          <w:sz w:val="22"/>
        </w:rPr>
        <w:t>Construction shall be in accordance with the standards set forth in the Guidelines for Design and Construction of Residential Health, Care, and Support Facilities, 2018 edition, published by the Facility Guidelines Institute.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61.2(4)</w:t>
      </w:r>
      <w:r>
        <w:rPr>
          <w:rFonts w:ascii="Times New Roman" w:hAnsi="Times New Roman"/>
          <w:b w:val="false"/>
          <w:i w:val="false"/>
          <w:color w:val="000000"/>
          <w:sz w:val="22"/>
        </w:rPr>
        <w:t> </w:t>
      </w:r>
      <w:r>
        <w:rPr>
          <w:rFonts w:ascii="Times New Roman" w:hAnsi="Times New Roman"/>
          <w:b w:val="false"/>
          <w:i w:val="false"/>
          <w:color w:val="000000"/>
          <w:sz w:val="22"/>
        </w:rPr>
        <w:t>Nothing in these rules shall relieve a nursing facility from compliance with fire and building codes, ordinances and regulations which are enforced by city, county, state or federal jurisdictions.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61.2(5)</w:t>
      </w:r>
      <w:r>
        <w:rPr>
          <w:rFonts w:ascii="Times New Roman" w:hAnsi="Times New Roman"/>
          <w:b w:val="false"/>
          <w:i w:val="false"/>
          <w:color w:val="000000"/>
          <w:sz w:val="22"/>
        </w:rPr>
        <w:t> </w:t>
      </w:r>
      <w:r>
        <w:rPr>
          <w:rFonts w:ascii="Times New Roman" w:hAnsi="Times New Roman"/>
          <w:b w:val="false"/>
          <w:i w:val="false"/>
          <w:color w:val="000000"/>
          <w:sz w:val="22"/>
        </w:rPr>
        <w:t>New equipment. Any alteration or installation of new equipment shall be accomplished as nearly as practical in conformance with all applicable codes, ordinances, regulations and standards required for new construction. Alteration or installation of new equipment shall not diminish the level of compliance with any codes, ordinances, regulations or standards below that which existed prior to the alteration. Any feature that does not meet the requirement for new buildings but exceeds the requirement for existing buildings shall not be further diminished. Features that exceed requirements for new construction need not be maintained. In no case shall any feature be less than that required for existing buildings.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61.2(6)</w:t>
      </w:r>
      <w:r>
        <w:rPr>
          <w:rFonts w:ascii="Times New Roman" w:hAnsi="Times New Roman"/>
          <w:b w:val="false"/>
          <w:i w:val="false"/>
          <w:color w:val="000000"/>
          <w:sz w:val="22"/>
        </w:rPr>
        <w:t> </w:t>
      </w:r>
      <w:r>
        <w:rPr>
          <w:rFonts w:ascii="Times New Roman" w:hAnsi="Times New Roman"/>
          <w:b w:val="false"/>
          <w:i w:val="false"/>
          <w:color w:val="000000"/>
          <w:sz w:val="22"/>
        </w:rPr>
        <w:t>Existing nursing facilities built in compliance with prior versions of this chapter will be deemed in compliance, with the exception of any renovations, additions, functional alterations, changes of space utilization, or conversions to existing facilities for which construction documents are submitted pursuant to rule 481—61.3(135C) on or after July 1, 2013, which shall meet the standards specified in this chapter. Conversion of a building or any of the parts not currently licensed as a nursing facility must meet the rules governing construction of new facilities, except as provided in Life Safety Code, 2000 edition, sections 18.1.1.4.4 and 19.1.1.4.4.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61.2(7)</w:t>
      </w:r>
      <w:r>
        <w:rPr>
          <w:rFonts w:ascii="Times New Roman" w:hAnsi="Times New Roman"/>
          <w:b w:val="false"/>
          <w:i w:val="false"/>
          <w:color w:val="000000"/>
          <w:sz w:val="22"/>
        </w:rPr>
        <w:t> </w:t>
      </w:r>
      <w:r>
        <w:rPr>
          <w:rFonts w:ascii="Times New Roman" w:hAnsi="Times New Roman"/>
          <w:b w:val="false"/>
          <w:i w:val="false"/>
          <w:color w:val="000000"/>
          <w:sz w:val="22"/>
        </w:rPr>
        <w:t>Final plan approval and final occupancy shall be given by the state fire marshal’s office.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0763C</w:t>
      </w:r>
      <w:r>
        <w:rPr>
          <w:rFonts w:ascii="Times New Roman" w:hAnsi="Times New Roman"/>
          <w:b w:val="false"/>
          <w:i w:val="false"/>
          <w:color w:val="000000"/>
          <w:sz w:val="16"/>
        </w:rPr>
        <w:t>, IAB 5/29/13, effective 7/3/13</w:t>
      </w:r>
      <w:r>
        <w:rPr>
          <w:rFonts w:ascii="Times New Roman" w:hAnsi="Times New Roman"/>
          <w:b w:val="false"/>
          <w:i w:val="false"/>
          <w:color w:val="000000"/>
          <w:sz w:val="16"/>
        </w:rPr>
        <w:t xml:space="preserve">; </w:t>
      </w:r>
      <w:r>
        <w:rPr>
          <w:rFonts w:ascii="Times New Roman" w:hAnsi="Times New Roman"/>
          <w:b/>
          <w:i w:val="false"/>
          <w:color w:val="000000"/>
          <w:sz w:val="16"/>
        </w:rPr>
        <w:t>ARC 4264C</w:t>
      </w:r>
      <w:r>
        <w:rPr>
          <w:rFonts w:ascii="Times New Roman" w:hAnsi="Times New Roman"/>
          <w:b w:val="false"/>
          <w:i w:val="false"/>
          <w:color w:val="000000"/>
          <w:sz w:val="16"/>
        </w:rPr>
        <w:t>, IAB 1/30/19, effective 3/6/19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481—61.3</w:t>
      </w:r>
      <w:r>
        <w:rPr>
          <w:rFonts w:ascii="Times New Roman" w:hAnsi="Times New Roman"/>
          <w:b/>
          <w:i w:val="false"/>
          <w:color w:val="000000"/>
          <w:sz w:val="22"/>
        </w:rPr>
        <w:t xml:space="preserve">(135C) </w:t>
      </w:r>
      <w:r>
        <w:rPr>
          <w:rFonts w:ascii="Times New Roman" w:hAnsi="Times New Roman"/>
          <w:b/>
          <w:i w:val="false"/>
          <w:color w:val="000000"/>
          <w:sz w:val="22"/>
        </w:rPr>
        <w:t xml:space="preserve">Submission of construction documents.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61.3(1)</w:t>
      </w:r>
      <w:r>
        <w:rPr>
          <w:rFonts w:ascii="Times New Roman" w:hAnsi="Times New Roman"/>
          <w:b w:val="false"/>
          <w:i w:val="false"/>
          <w:color w:val="000000"/>
          <w:sz w:val="22"/>
        </w:rPr>
        <w:t> </w:t>
      </w:r>
      <w:r>
        <w:rPr>
          <w:rFonts w:ascii="Times New Roman" w:hAnsi="Times New Roman"/>
          <w:b w:val="false"/>
          <w:i w:val="false"/>
          <w:color w:val="000000"/>
          <w:sz w:val="22"/>
        </w:rPr>
        <w:t xml:space="preserve">Submissions of architectural technical documents, engineering documents, and plans and specifications to the state fire marshal’s office shall be as required by rule </w:t>
      </w:r>
      <w:hyperlink r:id="rId10">
        <w:r>
          <w:rPr>
            <w:rStyle w:val="Hyperlink"/>
            <w:rFonts w:ascii="Times New Roman" w:hAnsi="Times New Roman"/>
            <w:b w:val="false"/>
            <w:i w:val="false"/>
            <w:color w:val="000000"/>
            <w:sz w:val="22"/>
          </w:rPr>
          <w:t>661—300.4</w:t>
        </w:r>
      </w:hyperlink>
      <w:r>
        <w:rPr>
          <w:rFonts w:ascii="Times New Roman" w:hAnsi="Times New Roman"/>
          <w:b w:val="false"/>
          <w:i w:val="false"/>
          <w:color w:val="000000"/>
          <w:sz w:val="22"/>
        </w:rPr>
        <w:t>(103A) and are the responsibility of the owner of the building or facility, although the actual submission may be completed by an authorized agent of the owner or the responsible design professional.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61.3(2)</w:t>
      </w:r>
      <w:r>
        <w:rPr>
          <w:rFonts w:ascii="Times New Roman" w:hAnsi="Times New Roman"/>
          <w:b w:val="false"/>
          <w:i w:val="false"/>
          <w:color w:val="000000"/>
          <w:sz w:val="22"/>
        </w:rPr>
        <w:t> </w:t>
      </w:r>
      <w:r>
        <w:rPr>
          <w:rFonts w:ascii="Times New Roman" w:hAnsi="Times New Roman"/>
          <w:b w:val="false"/>
          <w:i w:val="false"/>
          <w:color w:val="000000"/>
          <w:sz w:val="22"/>
        </w:rPr>
        <w:t xml:space="preserve">Plans, specifications and other supporting information shall be sufficiently clear and complete to show in detail that the proposed work will comply with the construction standards required by rule </w:t>
      </w:r>
      <w:hyperlink r:id="rId11">
        <w:r>
          <w:rPr>
            <w:rStyle w:val="Hyperlink"/>
            <w:rFonts w:ascii="Times New Roman" w:hAnsi="Times New Roman"/>
            <w:b w:val="false"/>
            <w:i w:val="false"/>
            <w:color w:val="000000"/>
            <w:sz w:val="22"/>
          </w:rPr>
          <w:t>481—61.2</w:t>
        </w:r>
      </w:hyperlink>
      <w:r>
        <w:rPr>
          <w:rFonts w:ascii="Times New Roman" w:hAnsi="Times New Roman"/>
          <w:b w:val="false"/>
          <w:i w:val="false"/>
          <w:color w:val="000000"/>
          <w:sz w:val="22"/>
        </w:rPr>
        <w:t>(135C).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61.3(3)</w:t>
      </w:r>
      <w:r>
        <w:rPr>
          <w:rFonts w:ascii="Times New Roman" w:hAnsi="Times New Roman"/>
          <w:b w:val="false"/>
          <w:i w:val="false"/>
          <w:color w:val="000000"/>
          <w:sz w:val="22"/>
        </w:rPr>
        <w:t> </w:t>
      </w:r>
      <w:r>
        <w:rPr>
          <w:rFonts w:ascii="Times New Roman" w:hAnsi="Times New Roman"/>
          <w:b w:val="false"/>
          <w:i w:val="false"/>
          <w:color w:val="000000"/>
          <w:sz w:val="22"/>
        </w:rPr>
        <w:t xml:space="preserve">Submittals to the state fire marshal’s office shall be certified or stamped and signed as required by Iowa Code chapters </w:t>
      </w:r>
      <w:hyperlink r:id="rId12">
        <w:r>
          <w:rPr>
            <w:rStyle w:val="Hyperlink"/>
            <w:rFonts w:ascii="Times New Roman" w:hAnsi="Times New Roman"/>
            <w:b w:val="false"/>
            <w:i w:val="false"/>
            <w:color w:val="000000"/>
            <w:sz w:val="22"/>
          </w:rPr>
          <w:t>542B</w:t>
        </w:r>
      </w:hyperlink>
      <w:r>
        <w:rPr>
          <w:rFonts w:ascii="Times New Roman" w:hAnsi="Times New Roman"/>
          <w:b w:val="false"/>
          <w:i w:val="false"/>
          <w:color w:val="000000"/>
          <w:sz w:val="22"/>
        </w:rPr>
        <w:t xml:space="preserve"> and </w:t>
      </w:r>
      <w:hyperlink r:id="rId13">
        <w:r>
          <w:rPr>
            <w:rStyle w:val="Hyperlink"/>
            <w:rFonts w:ascii="Times New Roman" w:hAnsi="Times New Roman"/>
            <w:b w:val="false"/>
            <w:i w:val="false"/>
            <w:color w:val="000000"/>
            <w:sz w:val="22"/>
          </w:rPr>
          <w:t>544A</w:t>
        </w:r>
      </w:hyperlink>
      <w:r>
        <w:rPr>
          <w:rFonts w:ascii="Times New Roman" w:hAnsi="Times New Roman"/>
          <w:b w:val="false"/>
          <w:i w:val="false"/>
          <w:color w:val="000000"/>
          <w:sz w:val="22"/>
        </w:rPr>
        <w:t xml:space="preserve"> unless the applicant has certified on the submittal to the applicability of a specific exception under Iowa Code section </w:t>
      </w:r>
      <w:hyperlink r:id="rId14">
        <w:r>
          <w:rPr>
            <w:rStyle w:val="Hyperlink"/>
            <w:rFonts w:ascii="Times New Roman" w:hAnsi="Times New Roman"/>
            <w:b w:val="false"/>
            <w:i w:val="false"/>
            <w:color w:val="000000"/>
            <w:sz w:val="22"/>
          </w:rPr>
          <w:t>544A.18</w:t>
        </w:r>
      </w:hyperlink>
      <w:r>
        <w:rPr>
          <w:rFonts w:ascii="Times New Roman" w:hAnsi="Times New Roman"/>
          <w:b w:val="false"/>
          <w:i w:val="false"/>
          <w:color w:val="000000"/>
          <w:sz w:val="22"/>
        </w:rPr>
        <w:t xml:space="preserve"> and the submittal does not constitute the practice of engineering as defined by Iowa Code section </w:t>
      </w:r>
      <w:hyperlink r:id="rId15">
        <w:r>
          <w:rPr>
            <w:rStyle w:val="Hyperlink"/>
            <w:rFonts w:ascii="Times New Roman" w:hAnsi="Times New Roman"/>
            <w:b w:val="false"/>
            <w:i w:val="false"/>
            <w:color w:val="000000"/>
            <w:sz w:val="22"/>
          </w:rPr>
          <w:t>542B.2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61.3(4)</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responsible design professional shall certify that the building plans meet the requirements specified in this chapter, unless a waiver has been granted pursuant to rule </w:t>
      </w:r>
      <w:hyperlink r:id="rId16">
        <w:r>
          <w:rPr>
            <w:rStyle w:val="Hyperlink"/>
            <w:rFonts w:ascii="Times New Roman" w:hAnsi="Times New Roman"/>
            <w:b w:val="false"/>
            <w:i w:val="false"/>
            <w:color w:val="000000"/>
            <w:sz w:val="22"/>
          </w:rPr>
          <w:t>481—61.4</w:t>
        </w:r>
      </w:hyperlink>
      <w:r>
        <w:rPr>
          <w:rFonts w:ascii="Times New Roman" w:hAnsi="Times New Roman"/>
          <w:b w:val="false"/>
          <w:i w:val="false"/>
          <w:color w:val="000000"/>
          <w:sz w:val="22"/>
        </w:rPr>
        <w:t>(135C).</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0763C</w:t>
      </w:r>
      <w:r>
        <w:rPr>
          <w:rFonts w:ascii="Times New Roman" w:hAnsi="Times New Roman"/>
          <w:b w:val="false"/>
          <w:i w:val="false"/>
          <w:color w:val="000000"/>
          <w:sz w:val="16"/>
        </w:rPr>
        <w:t>, IAB 5/29/13, effective 7/3/13</w:t>
      </w:r>
      <w:r>
        <w:rPr>
          <w:rFonts w:ascii="Times New Roman" w:hAnsi="Times New Roman"/>
          <w:b w:val="false"/>
          <w:i w:val="false"/>
          <w:color w:val="000000"/>
          <w:sz w:val="16"/>
        </w:rPr>
        <w:t xml:space="preserve">; </w:t>
      </w:r>
      <w:r>
        <w:rPr>
          <w:rFonts w:ascii="Times New Roman" w:hAnsi="Times New Roman"/>
          <w:b/>
          <w:i w:val="false"/>
          <w:color w:val="000000"/>
          <w:sz w:val="16"/>
        </w:rPr>
        <w:t>ARC 5719C</w:t>
      </w:r>
      <w:r>
        <w:rPr>
          <w:rFonts w:ascii="Times New Roman" w:hAnsi="Times New Roman"/>
          <w:b w:val="false"/>
          <w:i w:val="false"/>
          <w:color w:val="000000"/>
          <w:sz w:val="16"/>
        </w:rPr>
        <w:t>, IAB 6/16/21, effective 7/21/21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481—61.4</w:t>
      </w:r>
      <w:r>
        <w:rPr>
          <w:rFonts w:ascii="Times New Roman" w:hAnsi="Times New Roman"/>
          <w:b/>
          <w:i w:val="false"/>
          <w:color w:val="000000"/>
          <w:sz w:val="22"/>
        </w:rPr>
        <w:t xml:space="preserve">(135C) </w:t>
      </w:r>
      <w:r>
        <w:rPr>
          <w:rFonts w:ascii="Times New Roman" w:hAnsi="Times New Roman"/>
          <w:b/>
          <w:i w:val="false"/>
          <w:color w:val="000000"/>
          <w:sz w:val="22"/>
        </w:rPr>
        <w:t xml:space="preserve">Waivers.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61.4(1)</w:t>
      </w:r>
      <w:r>
        <w:rPr>
          <w:rFonts w:ascii="Times New Roman" w:hAnsi="Times New Roman"/>
          <w:b w:val="false"/>
          <w:i w:val="false"/>
          <w:color w:val="000000"/>
          <w:sz w:val="22"/>
        </w:rPr>
        <w:t> </w:t>
      </w:r>
      <w:r>
        <w:rPr>
          <w:rFonts w:ascii="Times New Roman" w:hAnsi="Times New Roman"/>
          <w:b w:val="false"/>
          <w:i w:val="false"/>
          <w:color w:val="000000"/>
          <w:sz w:val="22"/>
        </w:rPr>
        <w:t xml:space="preserve">Procedures in rule </w:t>
      </w:r>
      <w:hyperlink r:id="rId17">
        <w:r>
          <w:rPr>
            <w:rStyle w:val="Hyperlink"/>
            <w:rFonts w:ascii="Times New Roman" w:hAnsi="Times New Roman"/>
            <w:b w:val="false"/>
            <w:i w:val="false"/>
            <w:color w:val="000000"/>
            <w:sz w:val="22"/>
          </w:rPr>
          <w:t>481—58.2</w:t>
        </w:r>
      </w:hyperlink>
      <w:r>
        <w:rPr>
          <w:rFonts w:ascii="Times New Roman" w:hAnsi="Times New Roman"/>
          <w:b w:val="false"/>
          <w:i w:val="false"/>
          <w:color w:val="000000"/>
          <w:sz w:val="22"/>
        </w:rPr>
        <w:t>(135C) for requesting a waiver are incorporated by reference as part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61.4(2)</w:t>
      </w:r>
      <w:r>
        <w:rPr>
          <w:rFonts w:ascii="Times New Roman" w:hAnsi="Times New Roman"/>
          <w:b w:val="false"/>
          <w:i w:val="false"/>
          <w:color w:val="000000"/>
          <w:sz w:val="22"/>
        </w:rPr>
        <w:t> </w:t>
      </w:r>
      <w:r>
        <w:rPr>
          <w:rFonts w:ascii="Times New Roman" w:hAnsi="Times New Roman"/>
          <w:b w:val="false"/>
          <w:i w:val="false"/>
          <w:color w:val="000000"/>
          <w:sz w:val="22"/>
        </w:rPr>
        <w:t>Certain resident populations, conditions in the area, or the site may justify waivers. In specific cases, waivers to the rules may be granted by the director after the following conditions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design and planning for the specific property shall offer improved or compensating features which provide equivalent desirability and utility;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Alternate or special construction methods, techniques, and mechanical equipment shall offer equivalent durability, utility, safety, structural strength and rigidity, sanitation, odor control, protection from corrosion, decay and insect attack, and quality of workmanship;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health, safety or welfare of any resident shall not be endangered;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Variations are limited to the specific project under consideration and shall not be construed as establishing a precedent for similar acceptance in other cases;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occupancy and function of the building shall be considered;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type of licensure shall be considered.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0763C</w:t>
      </w:r>
      <w:r>
        <w:rPr>
          <w:rFonts w:ascii="Times New Roman" w:hAnsi="Times New Roman"/>
          <w:b w:val="false"/>
          <w:i w:val="false"/>
          <w:color w:val="000000"/>
          <w:sz w:val="16"/>
        </w:rPr>
        <w:t>, IAB 5/29/13, effective 7/3/13</w:t>
      </w:r>
      <w:r>
        <w:rPr>
          <w:rFonts w:ascii="Times New Roman" w:hAnsi="Times New Roman"/>
          <w:b w:val="false"/>
          <w:i w:val="false"/>
          <w:color w:val="000000"/>
          <w:sz w:val="16"/>
        </w:rPr>
        <w:t xml:space="preserve">; </w:t>
      </w:r>
      <w:r>
        <w:rPr>
          <w:rFonts w:ascii="Times New Roman" w:hAnsi="Times New Roman"/>
          <w:b/>
          <w:i w:val="false"/>
          <w:color w:val="000000"/>
          <w:sz w:val="16"/>
        </w:rPr>
        <w:t>ARC 5719C</w:t>
      </w:r>
      <w:r>
        <w:rPr>
          <w:rFonts w:ascii="Times New Roman" w:hAnsi="Times New Roman"/>
          <w:b w:val="false"/>
          <w:i w:val="false"/>
          <w:color w:val="000000"/>
          <w:sz w:val="16"/>
        </w:rPr>
        <w:t>, IAB 6/16/21, effective 7/21/21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481—61.5</w:t>
      </w:r>
      <w:r>
        <w:rPr>
          <w:rFonts w:ascii="Times New Roman" w:hAnsi="Times New Roman"/>
          <w:b/>
          <w:i w:val="false"/>
          <w:color w:val="000000"/>
          <w:sz w:val="22"/>
        </w:rPr>
        <w:t xml:space="preserve">(135C) </w:t>
      </w:r>
      <w:r>
        <w:rPr>
          <w:rFonts w:ascii="Times New Roman" w:hAnsi="Times New Roman"/>
          <w:b/>
          <w:i w:val="false"/>
          <w:color w:val="000000"/>
          <w:sz w:val="22"/>
        </w:rPr>
        <w:t xml:space="preserve">Additional notification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61.5(1)</w:t>
      </w:r>
      <w:r>
        <w:rPr>
          <w:rFonts w:ascii="Times New Roman" w:hAnsi="Times New Roman"/>
          <w:b w:val="false"/>
          <w:i w:val="false"/>
          <w:color w:val="000000"/>
          <w:sz w:val="22"/>
        </w:rPr>
        <w:t> </w:t>
      </w:r>
      <w:r>
        <w:rPr>
          <w:rFonts w:ascii="Times New Roman" w:hAnsi="Times New Roman"/>
          <w:b w:val="false"/>
          <w:i w:val="false"/>
          <w:color w:val="000000"/>
          <w:sz w:val="22"/>
        </w:rPr>
        <w:t>When new construction or renovation, addition, functional alteration, change of space utilization, or conversion of an existing building is contemplated, the licensee or applicant for a license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File a detailed and comprehensive program of care, as set forth in rule </w:t>
      </w:r>
      <w:hyperlink r:id="rId18">
        <w:r>
          <w:rPr>
            <w:rStyle w:val="Hyperlink"/>
            <w:rFonts w:ascii="Times New Roman" w:hAnsi="Times New Roman"/>
            <w:b w:val="false"/>
            <w:i w:val="false"/>
            <w:color w:val="000000"/>
            <w:sz w:val="22"/>
          </w:rPr>
          <w:t>481—58.3</w:t>
        </w:r>
      </w:hyperlink>
      <w:r>
        <w:rPr>
          <w:rFonts w:ascii="Times New Roman" w:hAnsi="Times New Roman"/>
          <w:b w:val="false"/>
          <w:i w:val="false"/>
          <w:color w:val="000000"/>
          <w:sz w:val="22"/>
        </w:rPr>
        <w:t>(135C), which includes a description of the specific needs of the residents to be served, and any other information the department may require.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Receive written approval from the state fire marshal’s office before starting construction. The applicant is responsible for ensuring that construction proceeds according to approved plans and specifications. If construction is not started within 12 months of the date of final approval of the working drawings and specifications, the approval shall be void and the plans and specifications shall be resubmitted. Multiphase projects shall be completed within a time period approved by the state fire marshal’s office.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Meet requirements for new construction if the project includes changes to structural and life safety components of the building or changes for accessibility of persons with disabilities. Only that portion of the building that is part of the project must meet requirements for new construction.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61.5(2)</w:t>
      </w:r>
      <w:r>
        <w:rPr>
          <w:rFonts w:ascii="Times New Roman" w:hAnsi="Times New Roman"/>
          <w:b w:val="false"/>
          <w:i w:val="false"/>
          <w:color w:val="000000"/>
          <w:sz w:val="22"/>
        </w:rPr>
        <w:t> </w:t>
      </w:r>
      <w:r>
        <w:rPr>
          <w:rFonts w:ascii="Times New Roman" w:hAnsi="Times New Roman"/>
          <w:b w:val="false"/>
          <w:i w:val="false"/>
          <w:color w:val="000000"/>
          <w:sz w:val="22"/>
        </w:rPr>
        <w:t>Inspections.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For new construction or renovations, additions, functional alterations, change of space utilization or conversion of an existing building, it is the responsibility of the owner or an agent to notify the state fire marshal’s office at all of the following intervals and wait for inspection before proceeding. Inspections shall be conducted in accordance with the following schedule: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Two days prior to the beginning of any construction or demolition.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After installation of any under-slab plumbing and before covering is installed.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After installation of electrical, mechanical and plumbing and prior to covering.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Five days prior to a final occupancy inspection.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following must approve the project before final occupancy: the state fire inspector, the state building inspector and, in jurisdictions without electrical code enforcement, the state electrical inspector. Approval of local or county jurisdictions is as required by those jurisdictions.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0763C</w:t>
      </w:r>
      <w:r>
        <w:rPr>
          <w:rFonts w:ascii="Times New Roman" w:hAnsi="Times New Roman"/>
          <w:b w:val="false"/>
          <w:i w:val="false"/>
          <w:color w:val="000000"/>
          <w:sz w:val="16"/>
        </w:rPr>
        <w:t>, IAB 5/29/13, effective 7/3/13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481—61.6</w:t>
      </w:r>
      <w:r>
        <w:rPr>
          <w:rFonts w:ascii="Times New Roman" w:hAnsi="Times New Roman"/>
          <w:b/>
          <w:i w:val="false"/>
          <w:color w:val="000000"/>
          <w:sz w:val="22"/>
        </w:rPr>
        <w:t xml:space="preserve">(135C) </w:t>
      </w:r>
      <w:r>
        <w:rPr>
          <w:rFonts w:ascii="Times New Roman" w:hAnsi="Times New Roman"/>
          <w:b/>
          <w:i w:val="false"/>
          <w:color w:val="000000"/>
          <w:sz w:val="22"/>
        </w:rPr>
        <w:t xml:space="preserve">Construction requirements. </w:t>
      </w:r>
      <w:r>
        <w:rPr>
          <w:rFonts w:ascii="Times New Roman" w:hAnsi="Times New Roman"/>
          <w:b w:val="false"/>
          <w:i w:val="false"/>
          <w:color w:val="000000"/>
          <w:sz w:val="22"/>
        </w:rPr>
        <w:t>This rule contains construction requirements for all areas of the building.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61.6(1)</w:t>
      </w:r>
      <w:r>
        <w:rPr>
          <w:rFonts w:ascii="Times New Roman" w:hAnsi="Times New Roman"/>
          <w:b w:val="false"/>
          <w:i w:val="false"/>
          <w:color w:val="000000"/>
          <w:sz w:val="22"/>
        </w:rPr>
        <w:t> </w:t>
      </w:r>
      <w:r>
        <w:rPr>
          <w:rFonts w:ascii="Times New Roman" w:hAnsi="Times New Roman"/>
          <w:b w:val="false"/>
          <w:i/>
          <w:color w:val="000000"/>
          <w:sz w:val="22"/>
        </w:rPr>
        <w:t xml:space="preserve">General provisions.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Projects shall be constructed in compliance with </w:t>
      </w:r>
      <w:hyperlink r:id="rId19">
        <w:r>
          <w:rPr>
            <w:rStyle w:val="Hyperlink"/>
            <w:rFonts w:ascii="Times New Roman" w:hAnsi="Times New Roman"/>
            <w:b w:val="false"/>
            <w:i w:val="false"/>
            <w:color w:val="000000"/>
            <w:sz w:val="22"/>
          </w:rPr>
          <w:t>661—Chapter 205</w:t>
        </w:r>
      </w:hyperlink>
      <w:r>
        <w:rPr>
          <w:rFonts w:ascii="Times New Roman" w:hAnsi="Times New Roman"/>
          <w:b w:val="false"/>
          <w:i w:val="false"/>
          <w:color w:val="000000"/>
          <w:sz w:val="22"/>
        </w:rPr>
        <w:t xml:space="preserve">, Fire Safety Requirements for Hospitals and Health Care Facilities. Projects required to meet the provisions of the state building code shall be deemed to be in compliance with the fire safety requirements of the state building code if the nursing facility is in compliance with the provisions of </w:t>
      </w:r>
      <w:hyperlink r:id="rId20">
        <w:r>
          <w:rPr>
            <w:rStyle w:val="Hyperlink"/>
            <w:rFonts w:ascii="Times New Roman" w:hAnsi="Times New Roman"/>
            <w:b w:val="false"/>
            <w:i w:val="false"/>
            <w:color w:val="000000"/>
            <w:sz w:val="22"/>
          </w:rPr>
          <w:t>661—Chapter 205</w:t>
        </w:r>
      </w:hyperlink>
      <w:r>
        <w:rPr>
          <w:rFonts w:ascii="Times New Roman" w:hAnsi="Times New Roman"/>
          <w:b w:val="false"/>
          <w:i w:val="false"/>
          <w:color w:val="000000"/>
          <w:sz w:val="22"/>
        </w:rPr>
        <w:t>, Fire Safety Requirements for Hospitals and Health Care Facilities.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Projects shall be constructed in compliance with </w:t>
      </w:r>
      <w:hyperlink r:id="rId21">
        <w:r>
          <w:rPr>
            <w:rStyle w:val="Hyperlink"/>
            <w:rFonts w:ascii="Times New Roman" w:hAnsi="Times New Roman"/>
            <w:b w:val="false"/>
            <w:i w:val="false"/>
            <w:color w:val="000000"/>
            <w:sz w:val="22"/>
          </w:rPr>
          <w:t>661—Chapter 301</w:t>
        </w:r>
      </w:hyperlink>
      <w:r>
        <w:rPr>
          <w:rFonts w:ascii="Times New Roman" w:hAnsi="Times New Roman"/>
          <w:b w:val="false"/>
          <w:i w:val="false"/>
          <w:color w:val="000000"/>
          <w:sz w:val="22"/>
        </w:rPr>
        <w:t xml:space="preserve">, State Building Code—General Provisions. Projects meeting the local building code shall be deemed to be in compliance with the state building code provided that the local jurisdiction has established a building department, has adopted a building code by ordinance and enforces the local code through a system which includes both plan review and inspection.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Projects shall be constructed in compliance with the standards set forth in the Guidelines for Design and Construction of Residential Health, Care, and Support Facilities, 2018 edition, published by the Facility Guidelines Institute.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Final plan approval and final occupancy shall be given by the state fire marshal’s office.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61.6(2)</w:t>
      </w:r>
      <w:r>
        <w:rPr>
          <w:rFonts w:ascii="Times New Roman" w:hAnsi="Times New Roman"/>
          <w:b w:val="false"/>
          <w:i w:val="false"/>
          <w:color w:val="000000"/>
          <w:sz w:val="22"/>
        </w:rPr>
        <w:t> </w:t>
      </w:r>
      <w:r>
        <w:rPr>
          <w:rFonts w:ascii="Times New Roman" w:hAnsi="Times New Roman"/>
          <w:b w:val="false"/>
          <w:i/>
          <w:color w:val="000000"/>
          <w:sz w:val="22"/>
        </w:rPr>
        <w:t xml:space="preserve">Mechanical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Projects shall be constructed in compliance with </w:t>
      </w:r>
      <w:hyperlink r:id="rId22">
        <w:r>
          <w:rPr>
            <w:rStyle w:val="Hyperlink"/>
            <w:rFonts w:ascii="Times New Roman" w:hAnsi="Times New Roman"/>
            <w:b w:val="false"/>
            <w:i w:val="false"/>
            <w:color w:val="000000"/>
            <w:sz w:val="22"/>
          </w:rPr>
          <w:t>661—Chapter 205</w:t>
        </w:r>
      </w:hyperlink>
      <w:r>
        <w:rPr>
          <w:rFonts w:ascii="Times New Roman" w:hAnsi="Times New Roman"/>
          <w:b w:val="false"/>
          <w:i w:val="false"/>
          <w:color w:val="000000"/>
          <w:sz w:val="22"/>
        </w:rPr>
        <w:t>, Fire Safety Requirements for Hospitals and Health Care Facilities.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Projects shall be constructed in compliance with the state mechanical code as provided in rule </w:t>
      </w:r>
      <w:hyperlink r:id="rId23">
        <w:r>
          <w:rPr>
            <w:rStyle w:val="Hyperlink"/>
            <w:rFonts w:ascii="Times New Roman" w:hAnsi="Times New Roman"/>
            <w:b w:val="false"/>
            <w:i w:val="false"/>
            <w:color w:val="000000"/>
            <w:sz w:val="22"/>
          </w:rPr>
          <w:t>661—301.4</w:t>
        </w:r>
      </w:hyperlink>
      <w:r>
        <w:rPr>
          <w:rFonts w:ascii="Times New Roman" w:hAnsi="Times New Roman"/>
          <w:b w:val="false"/>
          <w:i w:val="false"/>
          <w:color w:val="000000"/>
          <w:sz w:val="22"/>
        </w:rPr>
        <w:t>(103A). Projects meeting the local mechanical code shall be deemed to be in compliance with the state mechanical code provided that the local jurisdiction has established a building department, has adopted a building code by ordinance and enforces the local code through a system which includes both plan review and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Final plan approval and final occupancy shall be given by the state fire marshal’s office.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61.6(3)</w:t>
      </w:r>
      <w:r>
        <w:rPr>
          <w:rFonts w:ascii="Times New Roman" w:hAnsi="Times New Roman"/>
          <w:b w:val="false"/>
          <w:i w:val="false"/>
          <w:color w:val="000000"/>
          <w:sz w:val="22"/>
        </w:rPr>
        <w:t> </w:t>
      </w:r>
      <w:r>
        <w:rPr>
          <w:rFonts w:ascii="Times New Roman" w:hAnsi="Times New Roman"/>
          <w:b w:val="false"/>
          <w:i/>
          <w:color w:val="000000"/>
          <w:sz w:val="22"/>
        </w:rPr>
        <w:t xml:space="preserve">Electrical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Projects shall be constructed in compliance with standards referenced in </w:t>
      </w:r>
      <w:hyperlink r:id="rId24">
        <w:r>
          <w:rPr>
            <w:rStyle w:val="Hyperlink"/>
            <w:rFonts w:ascii="Times New Roman" w:hAnsi="Times New Roman"/>
            <w:b w:val="false"/>
            <w:i w:val="false"/>
            <w:color w:val="000000"/>
            <w:sz w:val="22"/>
          </w:rPr>
          <w:t>661—Chapter 205</w:t>
        </w:r>
      </w:hyperlink>
      <w:r>
        <w:rPr>
          <w:rFonts w:ascii="Times New Roman" w:hAnsi="Times New Roman"/>
          <w:b w:val="false"/>
          <w:i w:val="false"/>
          <w:color w:val="000000"/>
          <w:sz w:val="22"/>
        </w:rPr>
        <w:t>, Fire Safety Requirements for Hospitals and Health Care Facilities.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Projects shall be constructed in compliance with the state electrical code as provided in rule </w:t>
      </w:r>
      <w:hyperlink r:id="rId25">
        <w:r>
          <w:rPr>
            <w:rStyle w:val="Hyperlink"/>
            <w:rFonts w:ascii="Times New Roman" w:hAnsi="Times New Roman"/>
            <w:b w:val="false"/>
            <w:i w:val="false"/>
            <w:color w:val="000000"/>
            <w:sz w:val="22"/>
          </w:rPr>
          <w:t>661—301.5</w:t>
        </w:r>
      </w:hyperlink>
      <w:r>
        <w:rPr>
          <w:rFonts w:ascii="Times New Roman" w:hAnsi="Times New Roman"/>
          <w:b w:val="false"/>
          <w:i w:val="false"/>
          <w:color w:val="000000"/>
          <w:sz w:val="22"/>
        </w:rPr>
        <w:t xml:space="preserve">(103A).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61.6(4)</w:t>
      </w:r>
      <w:r>
        <w:rPr>
          <w:rFonts w:ascii="Times New Roman" w:hAnsi="Times New Roman"/>
          <w:b w:val="false"/>
          <w:i w:val="false"/>
          <w:color w:val="000000"/>
          <w:sz w:val="22"/>
        </w:rPr>
        <w:t> </w:t>
      </w:r>
      <w:r>
        <w:rPr>
          <w:rFonts w:ascii="Times New Roman" w:hAnsi="Times New Roman"/>
          <w:b w:val="false"/>
          <w:i/>
          <w:color w:val="000000"/>
          <w:sz w:val="22"/>
        </w:rPr>
        <w:t xml:space="preserve">Plumbing requirements. </w:t>
      </w:r>
      <w:r>
        <w:rPr>
          <w:rFonts w:ascii="Times New Roman" w:hAnsi="Times New Roman"/>
          <w:b w:val="false"/>
          <w:i w:val="false"/>
          <w:color w:val="000000"/>
          <w:sz w:val="22"/>
        </w:rPr>
        <w:t xml:space="preserve">Projects shall be constructed in compliance with </w:t>
      </w:r>
      <w:hyperlink r:id="rId26">
        <w:r>
          <w:rPr>
            <w:rStyle w:val="Hyperlink"/>
            <w:rFonts w:ascii="Times New Roman" w:hAnsi="Times New Roman"/>
            <w:b w:val="false"/>
            <w:i w:val="false"/>
            <w:color w:val="000000"/>
            <w:sz w:val="22"/>
          </w:rPr>
          <w:t>641—Chapter 25</w:t>
        </w:r>
      </w:hyperlink>
      <w:r>
        <w:rPr>
          <w:rFonts w:ascii="Times New Roman" w:hAnsi="Times New Roman"/>
          <w:b w:val="false"/>
          <w:i w:val="false"/>
          <w:color w:val="000000"/>
          <w:sz w:val="22"/>
        </w:rPr>
        <w:t>, State Plumbing Code.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61.6(5)</w:t>
      </w:r>
      <w:r>
        <w:rPr>
          <w:rFonts w:ascii="Times New Roman" w:hAnsi="Times New Roman"/>
          <w:b w:val="false"/>
          <w:i w:val="false"/>
          <w:color w:val="000000"/>
          <w:sz w:val="22"/>
        </w:rPr>
        <w:t> </w:t>
      </w:r>
      <w:r>
        <w:rPr>
          <w:rFonts w:ascii="Times New Roman" w:hAnsi="Times New Roman"/>
          <w:b w:val="false"/>
          <w:i/>
          <w:color w:val="000000"/>
          <w:sz w:val="22"/>
        </w:rPr>
        <w:t xml:space="preserve">Accessibility requirements. </w:t>
      </w:r>
      <w:r>
        <w:rPr>
          <w:rFonts w:ascii="Times New Roman" w:hAnsi="Times New Roman"/>
          <w:b w:val="false"/>
          <w:i w:val="false"/>
          <w:color w:val="000000"/>
          <w:sz w:val="22"/>
        </w:rPr>
        <w:t xml:space="preserve">Projects shall be constructed in compliance with </w:t>
      </w:r>
      <w:hyperlink r:id="rId27">
        <w:r>
          <w:rPr>
            <w:rStyle w:val="Hyperlink"/>
            <w:rFonts w:ascii="Times New Roman" w:hAnsi="Times New Roman"/>
            <w:b w:val="false"/>
            <w:i w:val="false"/>
            <w:color w:val="000000"/>
            <w:sz w:val="22"/>
          </w:rPr>
          <w:t>661—Chapter 302</w:t>
        </w:r>
      </w:hyperlink>
      <w:r>
        <w:rPr>
          <w:rFonts w:ascii="Times New Roman" w:hAnsi="Times New Roman"/>
          <w:b w:val="false"/>
          <w:i w:val="false"/>
          <w:color w:val="000000"/>
          <w:sz w:val="22"/>
        </w:rPr>
        <w:t>, State Building Code—Accessibility of Buildings and Facilities Available to the Public.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61.6(6)</w:t>
      </w:r>
      <w:r>
        <w:rPr>
          <w:rFonts w:ascii="Times New Roman" w:hAnsi="Times New Roman"/>
          <w:b w:val="false"/>
          <w:i w:val="false"/>
          <w:color w:val="000000"/>
          <w:sz w:val="22"/>
        </w:rPr>
        <w:t> </w:t>
      </w:r>
      <w:r>
        <w:rPr>
          <w:rFonts w:ascii="Times New Roman" w:hAnsi="Times New Roman"/>
          <w:b w:val="false"/>
          <w:i/>
          <w:color w:val="000000"/>
          <w:sz w:val="22"/>
        </w:rPr>
        <w:t xml:space="preserve">Lighting requirements. </w:t>
      </w:r>
      <w:r>
        <w:rPr>
          <w:rFonts w:ascii="Times New Roman" w:hAnsi="Times New Roman"/>
          <w:b w:val="false"/>
          <w:i w:val="false"/>
          <w:color w:val="000000"/>
          <w:sz w:val="22"/>
        </w:rPr>
        <w:t>Light shall be provided in the areas of the building as required in the Guidelines for Design and Construction of Residential Health, Care, and Support Facilities, 2018 edition, published by the Facilities Guidelines Institute.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61.6(7)</w:t>
      </w:r>
      <w:r>
        <w:rPr>
          <w:rFonts w:ascii="Times New Roman" w:hAnsi="Times New Roman"/>
          <w:b w:val="false"/>
          <w:i w:val="false"/>
          <w:color w:val="000000"/>
          <w:sz w:val="22"/>
        </w:rPr>
        <w:t> </w:t>
      </w:r>
      <w:r>
        <w:rPr>
          <w:rFonts w:ascii="Times New Roman" w:hAnsi="Times New Roman"/>
          <w:b w:val="false"/>
          <w:i/>
          <w:color w:val="000000"/>
          <w:sz w:val="22"/>
        </w:rPr>
        <w:t xml:space="preserve">Exit door alarm system. </w:t>
      </w:r>
      <w:r>
        <w:rPr>
          <w:rFonts w:ascii="Times New Roman" w:hAnsi="Times New Roman"/>
          <w:b w:val="false"/>
          <w:i w:val="false"/>
          <w:color w:val="000000"/>
          <w:sz w:val="22"/>
        </w:rPr>
        <w:t>An exit door alarm system shall be installed on all exterior doors. (I, II, III)</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0763C</w:t>
      </w:r>
      <w:r>
        <w:rPr>
          <w:rFonts w:ascii="Times New Roman" w:hAnsi="Times New Roman"/>
          <w:b w:val="false"/>
          <w:i w:val="false"/>
          <w:color w:val="000000"/>
          <w:sz w:val="16"/>
        </w:rPr>
        <w:t>, IAB 5/29/13, effective 7/3/13</w:t>
      </w:r>
      <w:r>
        <w:rPr>
          <w:rFonts w:ascii="Times New Roman" w:hAnsi="Times New Roman"/>
          <w:b w:val="false"/>
          <w:i w:val="false"/>
          <w:color w:val="000000"/>
          <w:sz w:val="16"/>
        </w:rPr>
        <w:t xml:space="preserve">; </w:t>
      </w:r>
      <w:r>
        <w:rPr>
          <w:rFonts w:ascii="Times New Roman" w:hAnsi="Times New Roman"/>
          <w:b/>
          <w:i w:val="false"/>
          <w:color w:val="000000"/>
          <w:sz w:val="16"/>
        </w:rPr>
        <w:t>ARC 4264C</w:t>
      </w:r>
      <w:r>
        <w:rPr>
          <w:rFonts w:ascii="Times New Roman" w:hAnsi="Times New Roman"/>
          <w:b w:val="false"/>
          <w:i w:val="false"/>
          <w:color w:val="000000"/>
          <w:sz w:val="16"/>
        </w:rPr>
        <w:t>, IAB 1/30/19, effective 3/6/19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481—61.7</w:t>
      </w:r>
      <w:r>
        <w:rPr>
          <w:rFonts w:ascii="Times New Roman" w:hAnsi="Times New Roman"/>
          <w:b/>
          <w:i w:val="false"/>
          <w:color w:val="000000"/>
          <w:sz w:val="22"/>
        </w:rPr>
        <w:t xml:space="preserve">(135C) </w:t>
      </w:r>
      <w:r>
        <w:rPr>
          <w:rFonts w:ascii="Times New Roman" w:hAnsi="Times New Roman"/>
          <w:b/>
          <w:i w:val="false"/>
          <w:color w:val="000000"/>
          <w:sz w:val="22"/>
        </w:rPr>
        <w:t xml:space="preserve">Nursing care unit.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61.7(1)</w:t>
      </w:r>
      <w:r>
        <w:rPr>
          <w:rFonts w:ascii="Times New Roman" w:hAnsi="Times New Roman"/>
          <w:b w:val="false"/>
          <w:i w:val="false"/>
          <w:color w:val="000000"/>
          <w:sz w:val="22"/>
        </w:rPr>
        <w:t> </w:t>
      </w:r>
      <w:r>
        <w:rPr>
          <w:rFonts w:ascii="Times New Roman" w:hAnsi="Times New Roman"/>
          <w:b w:val="false"/>
          <w:i w:val="false"/>
          <w:color w:val="000000"/>
          <w:sz w:val="22"/>
        </w:rPr>
        <w:t>A seclusion room may be used in an intermediate care facility for persons with mental illness.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61.7(2)</w:t>
      </w:r>
      <w:r>
        <w:rPr>
          <w:rFonts w:ascii="Times New Roman" w:hAnsi="Times New Roman"/>
          <w:b w:val="false"/>
          <w:i w:val="false"/>
          <w:color w:val="000000"/>
          <w:sz w:val="22"/>
        </w:rPr>
        <w:t> </w:t>
      </w:r>
      <w:r>
        <w:rPr>
          <w:rFonts w:ascii="Times New Roman" w:hAnsi="Times New Roman"/>
          <w:b w:val="false"/>
          <w:i w:val="false"/>
          <w:color w:val="000000"/>
          <w:sz w:val="22"/>
        </w:rPr>
        <w:t>When a seclusion room is used, it must meet the following standards. A seclusion room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Be located where direct care staff can provide direct supervision; (I,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Have only one door which swings out but does not swing into a corridor;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Have only locking devices that are approved by the state fire marshal; (I,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Have unbreakable, fire-safe vision panels arranged to permit observation of the resident. The arrangement shall ensure resident privacy and prevent casual observation by visitors or other residents; (I,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House only one resident at a time; (I,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Have an area of at least 60 square feet, but not more than 100 square feet;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Be constructed to protect against the possibility of hiding, escape, injury and suicide; (I,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Have construction of the room area, including floor, walls, ceilings, and all openings, approved in writing by the state fire marshal prior to construction or alteration of a room. Padding materials, if used, shall be approved in writing by the state fire marshal; (I,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Contain only vandal- and tamper-resistant fixtures and hardware; (I,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Contain no electrical receptacles; (I,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Contain an exhaust ventilation system with a fan located at the discharge end of the system, with exhaust discharging to the outside;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Have electrical switches for the light and exhaust ventilation systems installed outside the room; (I,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Have an emergency call system for staff located outside the room near the observation window; (II, III)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Be built with materials that are easily maintained and sanitized. (III)</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0763C</w:t>
      </w:r>
      <w:r>
        <w:rPr>
          <w:rFonts w:ascii="Times New Roman" w:hAnsi="Times New Roman"/>
          <w:b w:val="false"/>
          <w:i w:val="false"/>
          <w:color w:val="000000"/>
          <w:sz w:val="16"/>
        </w:rPr>
        <w:t>, IAB 5/29/13, effective 7/3/13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481—61.8</w:t>
      </w:r>
      <w:r>
        <w:rPr>
          <w:rFonts w:ascii="Times New Roman" w:hAnsi="Times New Roman"/>
          <w:b/>
          <w:i w:val="false"/>
          <w:color w:val="000000"/>
          <w:sz w:val="22"/>
        </w:rPr>
        <w:t xml:space="preserve">(135C) </w:t>
      </w:r>
      <w:r>
        <w:rPr>
          <w:rFonts w:ascii="Times New Roman" w:hAnsi="Times New Roman"/>
          <w:b/>
          <w:i w:val="false"/>
          <w:color w:val="000000"/>
          <w:sz w:val="22"/>
        </w:rPr>
        <w:t xml:space="preserve">Dietetic and other service areas.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61.8(1)</w:t>
      </w:r>
      <w:r>
        <w:rPr>
          <w:rFonts w:ascii="Times New Roman" w:hAnsi="Times New Roman"/>
          <w:b w:val="false"/>
          <w:i w:val="false"/>
          <w:color w:val="000000"/>
          <w:sz w:val="22"/>
        </w:rPr>
        <w:t> </w:t>
      </w:r>
      <w:r>
        <w:rPr>
          <w:rFonts w:ascii="Times New Roman" w:hAnsi="Times New Roman"/>
          <w:b w:val="false"/>
          <w:i/>
          <w:color w:val="000000"/>
          <w:sz w:val="22"/>
        </w:rPr>
        <w:t xml:space="preserve">Dietetic service area. </w:t>
      </w:r>
      <w:r>
        <w:rPr>
          <w:rFonts w:ascii="Times New Roman" w:hAnsi="Times New Roman"/>
          <w:b w:val="false"/>
          <w:i w:val="false"/>
          <w:color w:val="000000"/>
          <w:sz w:val="22"/>
        </w:rPr>
        <w:t xml:space="preserve">The construction and installation of equipment of the dietetic service area shall comply with the requirements of the Food and Drug Administration Food Code adopted under provisions of Iowa Code section </w:t>
      </w:r>
      <w:hyperlink r:id="rId28">
        <w:r>
          <w:rPr>
            <w:rStyle w:val="Hyperlink"/>
            <w:rFonts w:ascii="Times New Roman" w:hAnsi="Times New Roman"/>
            <w:b w:val="false"/>
            <w:i w:val="false"/>
            <w:color w:val="000000"/>
            <w:sz w:val="22"/>
          </w:rPr>
          <w:t>137F.2</w:t>
        </w:r>
      </w:hyperlink>
      <w:r>
        <w:rPr>
          <w:rFonts w:ascii="Times New Roman" w:hAnsi="Times New Roman"/>
          <w:b w:val="false"/>
          <w:i w:val="false"/>
          <w:color w:val="000000"/>
          <w:sz w:val="22"/>
        </w:rPr>
        <w:t>.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61.8(2)</w:t>
      </w:r>
      <w:r>
        <w:rPr>
          <w:rFonts w:ascii="Times New Roman" w:hAnsi="Times New Roman"/>
          <w:b w:val="false"/>
          <w:i w:val="false"/>
          <w:color w:val="000000"/>
          <w:sz w:val="22"/>
        </w:rPr>
        <w:t> </w:t>
      </w:r>
      <w:r>
        <w:rPr>
          <w:rFonts w:ascii="Times New Roman" w:hAnsi="Times New Roman"/>
          <w:b w:val="false"/>
          <w:i/>
          <w:color w:val="000000"/>
          <w:sz w:val="22"/>
        </w:rPr>
        <w:t xml:space="preserve">General storage areas. </w:t>
      </w:r>
      <w:r>
        <w:rPr>
          <w:rFonts w:ascii="Times New Roman" w:hAnsi="Times New Roman"/>
          <w:b w:val="false"/>
          <w:i w:val="false"/>
          <w:color w:val="000000"/>
          <w:sz w:val="22"/>
        </w:rPr>
        <w:t>General storage areas totaling not less than 14 square feet per bed shall be provided. If each resident has a 4-foot wide closet in the bedroom, the general storage area per bed may be reduced from 14 square feet to 10 square feet per bed. Storage areas are not required to be located in only one room.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Storage areas for linens, janitor’s supplies, sterile nursing supplies, activities supplies, library books, office supplies, kitchen supplies and mechanical plant accessories shall not be included as part of the general storage area and are not required to be located in the same area.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Thirty percent of the general storage area may be provided in a building outside the facility if the building is easily accessible to personnel. (III)</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0763C</w:t>
      </w:r>
      <w:r>
        <w:rPr>
          <w:rFonts w:ascii="Times New Roman" w:hAnsi="Times New Roman"/>
          <w:b w:val="false"/>
          <w:i w:val="false"/>
          <w:color w:val="000000"/>
          <w:sz w:val="16"/>
        </w:rPr>
        <w:t>, IAB 5/29/13, effective 7/3/13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481—61.9</w:t>
      </w:r>
      <w:r>
        <w:rPr>
          <w:rFonts w:ascii="Times New Roman" w:hAnsi="Times New Roman"/>
          <w:b/>
          <w:i w:val="false"/>
          <w:color w:val="000000"/>
          <w:sz w:val="22"/>
        </w:rPr>
        <w:t xml:space="preserve">(135C) </w:t>
      </w:r>
      <w:r>
        <w:rPr>
          <w:rFonts w:ascii="Times New Roman" w:hAnsi="Times New Roman"/>
          <w:b/>
          <w:i w:val="false"/>
          <w:color w:val="000000"/>
          <w:sz w:val="22"/>
        </w:rPr>
        <w:t xml:space="preserve">Specialized unit or facility for persons with chronic confusion or a dementing illness (CCDI unit or facility). </w:t>
      </w:r>
      <w:r>
        <w:rPr>
          <w:rFonts w:ascii="Times New Roman" w:hAnsi="Times New Roman"/>
          <w:b w:val="false"/>
          <w:i w:val="false"/>
          <w:color w:val="000000"/>
          <w:sz w:val="22"/>
        </w:rPr>
        <w:t>A CCDI unit or facility shall be designed in accordance with the standards set forth in the Guidelines for Design and Construction of Residential Health, Care, and Support Facilities, 2018 edition, published by the Facility Guidelines Institute. The following provisions shall also apply: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61.9(1)</w:t>
      </w:r>
      <w:r>
        <w:rPr>
          <w:rFonts w:ascii="Times New Roman" w:hAnsi="Times New Roman"/>
          <w:b w:val="false"/>
          <w:i w:val="false"/>
          <w:color w:val="000000"/>
          <w:sz w:val="22"/>
        </w:rPr>
        <w:t> </w:t>
      </w:r>
      <w:r>
        <w:rPr>
          <w:rFonts w:ascii="Times New Roman" w:hAnsi="Times New Roman"/>
          <w:b w:val="false"/>
          <w:i w:val="false"/>
          <w:color w:val="000000"/>
          <w:sz w:val="22"/>
        </w:rPr>
        <w:t>A CCDI unit or facility shall be designed so that residents, staff and visitors will not pass through the unit in order to reach exits or other areas of the facility unless in an emergency.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61.9(2)</w:t>
      </w:r>
      <w:r>
        <w:rPr>
          <w:rFonts w:ascii="Times New Roman" w:hAnsi="Times New Roman"/>
          <w:b w:val="false"/>
          <w:i w:val="false"/>
          <w:color w:val="000000"/>
          <w:sz w:val="22"/>
        </w:rPr>
        <w:t> </w:t>
      </w:r>
      <w:r>
        <w:rPr>
          <w:rFonts w:ascii="Times New Roman" w:hAnsi="Times New Roman"/>
          <w:b w:val="false"/>
          <w:i w:val="false"/>
          <w:color w:val="000000"/>
          <w:sz w:val="22"/>
        </w:rPr>
        <w:t>If the unit or facility is to be a locked unit or facility, all locking devices shall meet the requirements of the state fire marshal. If the unit or facility is to be unlocked, a system of security monitoring is required. (I,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61.9(3)</w:t>
      </w:r>
      <w:r>
        <w:rPr>
          <w:rFonts w:ascii="Times New Roman" w:hAnsi="Times New Roman"/>
          <w:b w:val="false"/>
          <w:i w:val="false"/>
          <w:color w:val="000000"/>
          <w:sz w:val="22"/>
        </w:rPr>
        <w:t> </w:t>
      </w:r>
      <w:r>
        <w:rPr>
          <w:rFonts w:ascii="Times New Roman" w:hAnsi="Times New Roman"/>
          <w:b w:val="false"/>
          <w:i w:val="false"/>
          <w:color w:val="000000"/>
          <w:sz w:val="22"/>
        </w:rPr>
        <w:t>The outdoor activity area for the unit or facility shall be secure. Nontoxic plants shall be used in the secured outdoor activity area. (I,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61.9(4)</w:t>
      </w:r>
      <w:r>
        <w:rPr>
          <w:rFonts w:ascii="Times New Roman" w:hAnsi="Times New Roman"/>
          <w:b w:val="false"/>
          <w:i w:val="false"/>
          <w:color w:val="000000"/>
          <w:sz w:val="22"/>
        </w:rPr>
        <w:t> </w:t>
      </w:r>
      <w:r>
        <w:rPr>
          <w:rFonts w:ascii="Times New Roman" w:hAnsi="Times New Roman"/>
          <w:b w:val="false"/>
          <w:i w:val="false"/>
          <w:color w:val="000000"/>
          <w:sz w:val="22"/>
        </w:rPr>
        <w:t>There shall be no steps inside the CCDI unit or freestanding CCDI facility.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61.9(5)</w:t>
      </w:r>
      <w:r>
        <w:rPr>
          <w:rFonts w:ascii="Times New Roman" w:hAnsi="Times New Roman"/>
          <w:b w:val="false"/>
          <w:i w:val="false"/>
          <w:color w:val="000000"/>
          <w:sz w:val="22"/>
        </w:rPr>
        <w:t> </w:t>
      </w:r>
      <w:r>
        <w:rPr>
          <w:rFonts w:ascii="Times New Roman" w:hAnsi="Times New Roman"/>
          <w:b w:val="false"/>
          <w:i w:val="false"/>
          <w:color w:val="000000"/>
          <w:sz w:val="22"/>
        </w:rPr>
        <w:t>Dining and activity areas for the unit or facility shall be located within the unit or facility and shall not be used as the primary dining or activity area by other facility residents.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61.9(6)</w:t>
      </w:r>
      <w:r>
        <w:rPr>
          <w:rFonts w:ascii="Times New Roman" w:hAnsi="Times New Roman"/>
          <w:b w:val="false"/>
          <w:i w:val="false"/>
          <w:color w:val="000000"/>
          <w:sz w:val="22"/>
        </w:rPr>
        <w:t> </w:t>
      </w:r>
      <w:r>
        <w:rPr>
          <w:rFonts w:ascii="Times New Roman" w:hAnsi="Times New Roman"/>
          <w:b w:val="false"/>
          <w:i w:val="false"/>
          <w:color w:val="000000"/>
          <w:sz w:val="22"/>
        </w:rPr>
        <w:t>An area shall be provided to allow nurses to prepare daily resident reports.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61.9(7)</w:t>
      </w:r>
      <w:r>
        <w:rPr>
          <w:rFonts w:ascii="Times New Roman" w:hAnsi="Times New Roman"/>
          <w:b w:val="false"/>
          <w:i w:val="false"/>
          <w:color w:val="000000"/>
          <w:sz w:val="22"/>
        </w:rPr>
        <w:t> </w:t>
      </w:r>
      <w:r>
        <w:rPr>
          <w:rFonts w:ascii="Times New Roman" w:hAnsi="Times New Roman"/>
          <w:b w:val="false"/>
          <w:i w:val="false"/>
          <w:color w:val="000000"/>
          <w:sz w:val="22"/>
        </w:rPr>
        <w:t>If the lounge and activity areas are not adjacent to resident rooms, there shall be in clear view of the lounge and activity area one unisex resident toilet room for each ten residents. (III)</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0763C</w:t>
      </w:r>
      <w:r>
        <w:rPr>
          <w:rFonts w:ascii="Times New Roman" w:hAnsi="Times New Roman"/>
          <w:b w:val="false"/>
          <w:i w:val="false"/>
          <w:color w:val="000000"/>
          <w:sz w:val="16"/>
        </w:rPr>
        <w:t>, IAB 5/29/13, effective 7/3/13</w:t>
      </w:r>
      <w:r>
        <w:rPr>
          <w:rFonts w:ascii="Times New Roman" w:hAnsi="Times New Roman"/>
          <w:b w:val="false"/>
          <w:i w:val="false"/>
          <w:color w:val="000000"/>
          <w:sz w:val="16"/>
        </w:rPr>
        <w:t xml:space="preserve">; </w:t>
      </w:r>
      <w:r>
        <w:rPr>
          <w:rFonts w:ascii="Times New Roman" w:hAnsi="Times New Roman"/>
          <w:b/>
          <w:i w:val="false"/>
          <w:color w:val="000000"/>
          <w:sz w:val="16"/>
        </w:rPr>
        <w:t>ARC 4264C</w:t>
      </w:r>
      <w:r>
        <w:rPr>
          <w:rFonts w:ascii="Times New Roman" w:hAnsi="Times New Roman"/>
          <w:b w:val="false"/>
          <w:i w:val="false"/>
          <w:color w:val="000000"/>
          <w:sz w:val="16"/>
        </w:rPr>
        <w:t>, IAB 1/30/19, effective 3/6/19</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29">
        <w:r>
          <w:rPr>
            <w:rStyle w:val="Hyperlink"/>
            <w:rFonts w:ascii="Times New Roman" w:hAnsi="Times New Roman"/>
            <w:b w:val="false"/>
            <w:i w:val="false"/>
            <w:color w:val="000000"/>
            <w:sz w:val="22"/>
          </w:rPr>
          <w:t>135C.14</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8/6/76, Notice 4/19/76—published 8/23/76, effective 9/27/76]</w:t>
      </w:r>
    </w:p>
    <w:p>
      <w:pPr>
        <w:spacing w:before="0" w:after="0"/>
        <w:ind w:left="120"/>
        <w:jc w:val="center"/>
      </w:pPr>
      <w:r>
        <w:rPr>
          <w:rFonts w:ascii="Times New Roman" w:hAnsi="Times New Roman"/>
          <w:b w:val="false"/>
          <w:i w:val="false"/>
          <w:color w:val="000000"/>
          <w:sz w:val="21"/>
        </w:rPr>
        <w:t>[Filed without Notice 10/4/76—published 10/20/76, effective 11/24/76]</w:t>
      </w:r>
    </w:p>
    <w:p>
      <w:pPr>
        <w:spacing w:before="0" w:after="0"/>
        <w:ind w:left="120"/>
        <w:jc w:val="center"/>
      </w:pPr>
      <w:r>
        <w:rPr>
          <w:rFonts w:ascii="Times New Roman" w:hAnsi="Times New Roman"/>
          <w:b w:val="false"/>
          <w:i w:val="false"/>
          <w:color w:val="000000"/>
          <w:sz w:val="21"/>
        </w:rPr>
        <w:t>[Filed emergency 12/21/76—published 1/12/77, effective 1/12/77]</w:t>
      </w:r>
    </w:p>
    <w:p>
      <w:pPr>
        <w:spacing w:before="0" w:after="0"/>
        <w:ind w:left="120"/>
        <w:jc w:val="center"/>
      </w:pPr>
      <w:r>
        <w:rPr>
          <w:rFonts w:ascii="Times New Roman" w:hAnsi="Times New Roman"/>
          <w:b w:val="false"/>
          <w:i w:val="false"/>
          <w:color w:val="000000"/>
          <w:sz w:val="21"/>
        </w:rPr>
        <w:t>[Filed 8/18/77, Notice 3/9/77—published 9/7/77, effective 10/13/77]</w:t>
      </w:r>
    </w:p>
    <w:p>
      <w:pPr>
        <w:spacing w:before="0" w:after="0"/>
        <w:ind w:left="120"/>
        <w:jc w:val="center"/>
      </w:pPr>
      <w:r>
        <w:rPr>
          <w:rFonts w:ascii="Times New Roman" w:hAnsi="Times New Roman"/>
          <w:b w:val="false"/>
          <w:i w:val="false"/>
          <w:color w:val="000000"/>
          <w:sz w:val="21"/>
        </w:rPr>
        <w:t>[Filed without Notice 10/14/77—published 11/2/77, effective 12/8/77]</w:t>
      </w:r>
    </w:p>
    <w:p>
      <w:pPr>
        <w:spacing w:before="0" w:after="0"/>
        <w:ind w:left="120"/>
        <w:jc w:val="center"/>
      </w:pPr>
      <w:r>
        <w:rPr>
          <w:rFonts w:ascii="Times New Roman" w:hAnsi="Times New Roman"/>
          <w:b w:val="false"/>
          <w:i w:val="false"/>
          <w:color w:val="000000"/>
          <w:sz w:val="21"/>
        </w:rPr>
        <w:t>[Filed 1/20/78, Notice 12/14/77—published 2/8/78, effective 3/15/78]</w:t>
      </w:r>
    </w:p>
    <w:p>
      <w:pPr>
        <w:spacing w:before="0" w:after="0"/>
        <w:ind w:left="120"/>
        <w:jc w:val="center"/>
      </w:pPr>
      <w:r>
        <w:rPr>
          <w:rFonts w:ascii="Times New Roman" w:hAnsi="Times New Roman"/>
          <w:b w:val="false"/>
          <w:i w:val="false"/>
          <w:color w:val="000000"/>
          <w:sz w:val="21"/>
        </w:rPr>
        <w:t>[Filed 11/9/78, Notice 6/28/78—published 11/29/78, effective 1/3/79]</w:t>
      </w:r>
    </w:p>
    <w:p>
      <w:pPr>
        <w:spacing w:before="0" w:after="0"/>
        <w:ind w:left="120"/>
        <w:jc w:val="center"/>
      </w:pPr>
      <w:r>
        <w:rPr>
          <w:rFonts w:ascii="Times New Roman" w:hAnsi="Times New Roman"/>
          <w:b w:val="false"/>
          <w:i w:val="false"/>
          <w:color w:val="000000"/>
          <w:sz w:val="21"/>
        </w:rPr>
        <w:t>[Filed emergency 6/25/87—published 7/15/87, effective 6/25/87]</w:t>
      </w:r>
    </w:p>
    <w:p>
      <w:pPr>
        <w:spacing w:before="0" w:after="0"/>
        <w:ind w:left="120"/>
        <w:jc w:val="center"/>
      </w:pPr>
      <w:r>
        <w:rPr>
          <w:rFonts w:ascii="Times New Roman" w:hAnsi="Times New Roman"/>
          <w:b w:val="false"/>
          <w:i w:val="false"/>
          <w:color w:val="000000"/>
          <w:sz w:val="21"/>
        </w:rPr>
        <w:t>[Filed 9/28/90, Notice 5/16/90—published 10/17/90, effective 11/21/90]</w:t>
      </w:r>
    </w:p>
    <w:p>
      <w:pPr>
        <w:spacing w:before="0" w:after="0"/>
        <w:ind w:left="120"/>
        <w:jc w:val="center"/>
      </w:pPr>
      <w:r>
        <w:rPr>
          <w:rFonts w:ascii="Times New Roman" w:hAnsi="Times New Roman"/>
          <w:b w:val="false"/>
          <w:i w:val="false"/>
          <w:color w:val="000000"/>
          <w:sz w:val="21"/>
        </w:rPr>
        <w:t>[Filed 3/12/92, Notice 12/11/91—published 4/1/92, effective 5/6/92]</w:t>
      </w:r>
    </w:p>
    <w:p>
      <w:pPr>
        <w:spacing w:before="0" w:after="0"/>
        <w:ind w:left="120"/>
        <w:jc w:val="center"/>
      </w:pPr>
      <w:r>
        <w:rPr>
          <w:rFonts w:ascii="Times New Roman" w:hAnsi="Times New Roman"/>
          <w:b w:val="false"/>
          <w:i w:val="false"/>
          <w:color w:val="000000"/>
          <w:sz w:val="21"/>
        </w:rPr>
        <w:t>[Filed 1/15/93, Notice 11/25/92—published 2/3/93, effective 3/10/93]</w:t>
      </w:r>
    </w:p>
    <w:p>
      <w:pPr>
        <w:spacing w:before="0" w:after="0"/>
        <w:ind w:left="120"/>
        <w:jc w:val="center"/>
      </w:pPr>
      <w:r>
        <w:rPr>
          <w:rFonts w:ascii="Times New Roman" w:hAnsi="Times New Roman"/>
          <w:b w:val="false"/>
          <w:i w:val="false"/>
          <w:color w:val="000000"/>
          <w:sz w:val="21"/>
        </w:rPr>
        <w:t>[Filed 5/16/95, Notice 3/15/95—published 6/7/95, effective 7/12/95]</w:t>
      </w:r>
    </w:p>
    <w:p>
      <w:pPr>
        <w:spacing w:before="0" w:after="0"/>
        <w:ind w:left="120"/>
        <w:jc w:val="center"/>
      </w:pPr>
      <w:r>
        <w:rPr>
          <w:rFonts w:ascii="Times New Roman" w:hAnsi="Times New Roman"/>
          <w:b w:val="false"/>
          <w:i w:val="false"/>
          <w:color w:val="000000"/>
          <w:sz w:val="21"/>
        </w:rPr>
        <w:t>[Filed 1/21/97, Notice 8/14/96—published 2/12/97, effective 3/19/97]</w:t>
      </w:r>
    </w:p>
    <w:p>
      <w:pPr>
        <w:spacing w:before="0" w:after="0"/>
        <w:ind w:left="120"/>
        <w:jc w:val="center"/>
      </w:pPr>
      <w:r>
        <w:rPr>
          <w:rFonts w:ascii="Times New Roman" w:hAnsi="Times New Roman"/>
          <w:b w:val="false"/>
          <w:i w:val="false"/>
          <w:color w:val="000000"/>
          <w:sz w:val="21"/>
        </w:rPr>
        <w:t>[Filed 7/11/97, Notice 4/23/97—published 7/30/97, effective 9/3/97]</w:t>
      </w:r>
    </w:p>
    <w:p>
      <w:pPr>
        <w:spacing w:before="0" w:after="0"/>
        <w:ind w:left="120"/>
        <w:jc w:val="center"/>
      </w:pPr>
      <w:r>
        <w:rPr>
          <w:rFonts w:ascii="Times New Roman" w:hAnsi="Times New Roman"/>
          <w:b w:val="false"/>
          <w:i w:val="false"/>
          <w:color w:val="000000"/>
          <w:sz w:val="21"/>
        </w:rPr>
        <w:t>[Filed 7/17/03, Notice 6/11/03—published 8/6/03, effective 9/10/03]</w:t>
      </w:r>
    </w:p>
    <w:p>
      <w:pPr>
        <w:spacing w:before="0" w:after="0"/>
        <w:ind w:left="120"/>
        <w:jc w:val="center"/>
      </w:pPr>
      <w:r>
        <w:rPr>
          <w:rFonts w:ascii="Times New Roman" w:hAnsi="Times New Roman"/>
          <w:b w:val="false"/>
          <w:i w:val="false"/>
          <w:color w:val="000000"/>
          <w:sz w:val="21"/>
        </w:rPr>
        <w:t>[Filed 11/16/05, Notice 10/12/05—published 12/7/05, effective 1/11/06]</w:t>
      </w:r>
    </w:p>
    <w:p>
      <w:pPr>
        <w:spacing w:before="0" w:after="0"/>
        <w:ind w:left="120"/>
        <w:jc w:val="center"/>
      </w:pPr>
      <w:r>
        <w:rPr>
          <w:rFonts w:ascii="Times New Roman" w:hAnsi="Times New Roman"/>
          <w:b w:val="false"/>
          <w:i w:val="false"/>
          <w:color w:val="000000"/>
          <w:sz w:val="21"/>
        </w:rPr>
        <w:t>[Filed 11/15/06, Notice 10/11/06—published 12/6/06, effective 1/10/07]</w:t>
      </w:r>
    </w:p>
    <w:p>
      <w:pPr>
        <w:spacing w:before="0" w:after="0"/>
        <w:ind w:left="120"/>
        <w:jc w:val="center"/>
      </w:pPr>
      <w:r>
        <w:rPr>
          <w:rFonts w:ascii="Times New Roman" w:hAnsi="Times New Roman"/>
          <w:b w:val="false"/>
          <w:i w:val="false"/>
          <w:color w:val="000000"/>
          <w:sz w:val="21"/>
        </w:rPr>
        <w:t>[Filed 3/21/07, Notice 2/14/07—published 4/11/07, effective 5/16/07]</w:t>
      </w:r>
    </w:p>
    <w:p>
      <w:pPr>
        <w:spacing w:before="0" w:after="0"/>
        <w:ind w:left="120"/>
        <w:jc w:val="center"/>
      </w:pPr>
      <w:r>
        <w:rPr>
          <w:rFonts w:ascii="Times New Roman" w:hAnsi="Times New Roman"/>
          <w:b w:val="false"/>
          <w:i w:val="false"/>
          <w:color w:val="000000"/>
          <w:sz w:val="21"/>
        </w:rPr>
        <w:t>[Filed ARC 8189B</w:t>
      </w:r>
      <w:r>
        <w:rPr>
          <w:rFonts w:ascii="Times New Roman" w:hAnsi="Times New Roman"/>
          <w:b w:val="false"/>
          <w:i w:val="false"/>
          <w:color w:val="000000"/>
          <w:sz w:val="21"/>
        </w:rPr>
        <w:t xml:space="preserve"> (Notice ARC 7989B, IAB 7/29/09)</w:t>
      </w:r>
      <w:r>
        <w:rPr>
          <w:rFonts w:ascii="Times New Roman" w:hAnsi="Times New Roman"/>
          <w:b w:val="false"/>
          <w:i w:val="false"/>
          <w:color w:val="000000"/>
          <w:sz w:val="21"/>
        </w:rPr>
        <w:t>, IAB 10/7/09, effective 11/11/09]</w:t>
      </w:r>
    </w:p>
    <w:p>
      <w:pPr>
        <w:spacing w:before="0" w:after="0"/>
        <w:ind w:left="120"/>
        <w:jc w:val="center"/>
      </w:pPr>
      <w:r>
        <w:rPr>
          <w:rFonts w:ascii="Times New Roman" w:hAnsi="Times New Roman"/>
          <w:b w:val="false"/>
          <w:i w:val="false"/>
          <w:color w:val="000000"/>
          <w:sz w:val="21"/>
        </w:rPr>
        <w:t>[Filed ARC 0763C</w:t>
      </w:r>
      <w:r>
        <w:rPr>
          <w:rFonts w:ascii="Times New Roman" w:hAnsi="Times New Roman"/>
          <w:b w:val="false"/>
          <w:i w:val="false"/>
          <w:color w:val="000000"/>
          <w:sz w:val="21"/>
        </w:rPr>
        <w:t xml:space="preserve"> (Notice ARC 0514C, IAB 12/12/12)</w:t>
      </w:r>
      <w:r>
        <w:rPr>
          <w:rFonts w:ascii="Times New Roman" w:hAnsi="Times New Roman"/>
          <w:b w:val="false"/>
          <w:i w:val="false"/>
          <w:color w:val="000000"/>
          <w:sz w:val="21"/>
        </w:rPr>
        <w:t>, IAB 5/29/13, effective 7/3/13]</w:t>
      </w:r>
    </w:p>
    <w:p>
      <w:pPr>
        <w:spacing w:before="0" w:after="0"/>
        <w:ind w:left="120"/>
        <w:jc w:val="center"/>
      </w:pPr>
      <w:r>
        <w:rPr>
          <w:rFonts w:ascii="Times New Roman" w:hAnsi="Times New Roman"/>
          <w:b w:val="false"/>
          <w:i w:val="false"/>
          <w:color w:val="000000"/>
          <w:sz w:val="21"/>
        </w:rPr>
        <w:t>[Filed ARC 4264C</w:t>
      </w:r>
      <w:r>
        <w:rPr>
          <w:rFonts w:ascii="Times New Roman" w:hAnsi="Times New Roman"/>
          <w:b w:val="false"/>
          <w:i w:val="false"/>
          <w:color w:val="000000"/>
          <w:sz w:val="21"/>
        </w:rPr>
        <w:t xml:space="preserve"> (Notice ARC 4162C, IAB 12/5/18)</w:t>
      </w:r>
      <w:r>
        <w:rPr>
          <w:rFonts w:ascii="Times New Roman" w:hAnsi="Times New Roman"/>
          <w:b w:val="false"/>
          <w:i w:val="false"/>
          <w:color w:val="000000"/>
          <w:sz w:val="21"/>
        </w:rPr>
        <w:t>, IAB 1/30/19, effective 3/6/19]</w:t>
      </w:r>
    </w:p>
    <w:p>
      <w:pPr>
        <w:spacing w:before="0" w:after="0"/>
        <w:ind w:left="120"/>
        <w:jc w:val="center"/>
      </w:pPr>
      <w:r>
        <w:rPr>
          <w:rFonts w:ascii="Times New Roman" w:hAnsi="Times New Roman"/>
          <w:b w:val="false"/>
          <w:i w:val="false"/>
          <w:color w:val="000000"/>
          <w:sz w:val="21"/>
        </w:rPr>
        <w:t>[Filed ARC 5719C</w:t>
      </w:r>
      <w:r>
        <w:rPr>
          <w:rFonts w:ascii="Times New Roman" w:hAnsi="Times New Roman"/>
          <w:b w:val="false"/>
          <w:i w:val="false"/>
          <w:color w:val="000000"/>
          <w:sz w:val="21"/>
        </w:rPr>
        <w:t xml:space="preserve"> (Notice ARC 5560C, IAB 4/21/21)</w:t>
      </w:r>
      <w:r>
        <w:rPr>
          <w:rFonts w:ascii="Times New Roman" w:hAnsi="Times New Roman"/>
          <w:b w:val="false"/>
          <w:i w:val="false"/>
          <w:color w:val="000000"/>
          <w:sz w:val="21"/>
        </w:rPr>
        <w:t>, IAB 6/16/21, effective 7/21/21]</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481.58.1.pdf" Type="http://schemas.openxmlformats.org/officeDocument/2006/relationships/hyperlink" Id="rId5"/>
    <Relationship TargetMode="External" Target="https://www.legis.iowa.gov/docs/iac/rule/481.61.3.pdf" Type="http://schemas.openxmlformats.org/officeDocument/2006/relationships/hyperlink" Id="rId6"/>
    <Relationship TargetMode="External" Target="https://www.legis.iowa.gov/docs/iac/chapter/661.205.pdf" Type="http://schemas.openxmlformats.org/officeDocument/2006/relationships/hyperlink" Id="rId7"/>
    <Relationship TargetMode="External" Target="https://www.legis.iowa.gov/docs/iac/chapter/661.205.pdf" Type="http://schemas.openxmlformats.org/officeDocument/2006/relationships/hyperlink" Id="rId8"/>
    <Relationship TargetMode="External" Target="https://www.legis.iowa.gov/docs/iac/chapter/661.301.pdf" Type="http://schemas.openxmlformats.org/officeDocument/2006/relationships/hyperlink" Id="rId9"/>
    <Relationship TargetMode="External" Target="https://www.legis.iowa.gov/docs/iac/rule/661.300.4.pdf" Type="http://schemas.openxmlformats.org/officeDocument/2006/relationships/hyperlink" Id="rId10"/>
    <Relationship TargetMode="External" Target="https://www.legis.iowa.gov/docs/iac/rule/481.61.2.pdf" Type="http://schemas.openxmlformats.org/officeDocument/2006/relationships/hyperlink" Id="rId11"/>
    <Relationship TargetMode="External" Target="https://www.legis.iowa.gov/docs/ico/chapter/542B.pdf" Type="http://schemas.openxmlformats.org/officeDocument/2006/relationships/hyperlink" Id="rId12"/>
    <Relationship TargetMode="External" Target="https://www.legis.iowa.gov/docs/ico/chapter/544A.pdf" Type="http://schemas.openxmlformats.org/officeDocument/2006/relationships/hyperlink" Id="rId13"/>
    <Relationship TargetMode="External" Target="https://www.legis.iowa.gov/docs/ico/chapter/544A.18.pdf" Type="http://schemas.openxmlformats.org/officeDocument/2006/relationships/hyperlink" Id="rId14"/>
    <Relationship TargetMode="External" Target="https://www.legis.iowa.gov/docs/ico/chapter/542B.2.pdf" Type="http://schemas.openxmlformats.org/officeDocument/2006/relationships/hyperlink" Id="rId15"/>
    <Relationship TargetMode="External" Target="https://www.legis.iowa.gov/docs/iac/rule/481.61.4.pdf" Type="http://schemas.openxmlformats.org/officeDocument/2006/relationships/hyperlink" Id="rId16"/>
    <Relationship TargetMode="External" Target="https://www.legis.iowa.gov/docs/iac/rule/481.58.2.pdf" Type="http://schemas.openxmlformats.org/officeDocument/2006/relationships/hyperlink" Id="rId17"/>
    <Relationship TargetMode="External" Target="https://www.legis.iowa.gov/docs/iac/rule/481.58.3.pdf" Type="http://schemas.openxmlformats.org/officeDocument/2006/relationships/hyperlink" Id="rId18"/>
    <Relationship TargetMode="External" Target="https://www.legis.iowa.gov/docs/iac/chapter/661.205.pdf" Type="http://schemas.openxmlformats.org/officeDocument/2006/relationships/hyperlink" Id="rId19"/>
    <Relationship TargetMode="External" Target="https://www.legis.iowa.gov/docs/iac/chapter/661.205.pdf" Type="http://schemas.openxmlformats.org/officeDocument/2006/relationships/hyperlink" Id="rId20"/>
    <Relationship TargetMode="External" Target="https://www.legis.iowa.gov/docs/iac/chapter/661.301.pdf" Type="http://schemas.openxmlformats.org/officeDocument/2006/relationships/hyperlink" Id="rId21"/>
    <Relationship TargetMode="External" Target="https://www.legis.iowa.gov/docs/iac/chapter/661.205.pdf" Type="http://schemas.openxmlformats.org/officeDocument/2006/relationships/hyperlink" Id="rId22"/>
    <Relationship TargetMode="External" Target="https://www.legis.iowa.gov/docs/iac/rule/661.301.4.pdf" Type="http://schemas.openxmlformats.org/officeDocument/2006/relationships/hyperlink" Id="rId23"/>
    <Relationship TargetMode="External" Target="https://www.legis.iowa.gov/docs/iac/chapter/661.205.pdf" Type="http://schemas.openxmlformats.org/officeDocument/2006/relationships/hyperlink" Id="rId24"/>
    <Relationship TargetMode="External" Target="https://www.legis.iowa.gov/docs/iac/rule/661.301.5.pdf" Type="http://schemas.openxmlformats.org/officeDocument/2006/relationships/hyperlink" Id="rId25"/>
    <Relationship TargetMode="External" Target="https://www.legis.iowa.gov/docs/iac/chapter/641.25.pdf" Type="http://schemas.openxmlformats.org/officeDocument/2006/relationships/hyperlink" Id="rId26"/>
    <Relationship TargetMode="External" Target="https://www.legis.iowa.gov/docs/iac/chapter/661.302.pdf" Type="http://schemas.openxmlformats.org/officeDocument/2006/relationships/hyperlink" Id="rId27"/>
    <Relationship TargetMode="External" Target="https://www.legis.iowa.gov/docs/ico/chapter/137F.2.pdf" Type="http://schemas.openxmlformats.org/officeDocument/2006/relationships/hyperlink" Id="rId28"/>
    <Relationship TargetMode="External" Target="https://www.legis.iowa.gov/docs/ico/chapter/135C.14.pdf" Type="http://schemas.openxmlformats.org/officeDocument/2006/relationships/hyperlink" Id="rId2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