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COLLECTION SERVICES CENTER</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 collection services center is the public agency designated by state law as the state disbursement unit with responsibility for the receipt, recording and disbursement of specified support payments within the state of Iowa. The administrative guidelines within this chapter describe the process of transferring support cases or information from the clerks of district court to the collection services center and the policies and procedures used to receive, monitor, and distribute support payments.</w:t>
      </w:r>
    </w:p>
    <w:p>
      <w:pPr>
        <w:spacing w:before="0" w:after="0"/>
        <w:ind w:left="120"/>
        <w:jc w:val="both"/>
      </w:pPr>
      <w:r>
        <w:rPr>
          <w:rFonts w:ascii="Times New Roman" w:hAnsi="Times New Roman"/>
          <w:b/>
          <w:i w:val="false"/>
          <w:color w:val="000000"/>
          <w:sz w:val="22"/>
        </w:rPr>
        <w:t>441—97.1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used in this chapter shall follow those terms defined in rule </w:t>
      </w:r>
      <w:hyperlink r:id="rId5">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 with the exception or addition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services center” </w:t>
      </w:r>
      <w:r>
        <w:rPr>
          <w:rFonts w:ascii="Times New Roman" w:hAnsi="Times New Roman"/>
          <w:b w:val="false"/>
          <w:i w:val="false"/>
          <w:color w:val="000000"/>
          <w:sz w:val="22"/>
        </w:rPr>
        <w:t xml:space="preserve">means the public agency designated to receive, record, monitor, and disburse support payments as defined in Iowa Code section </w:t>
      </w:r>
      <w:hyperlink r:id="rId6">
        <w:r>
          <w:rPr>
            <w:rStyle w:val="Hyperlink"/>
            <w:rFonts w:ascii="Times New Roman" w:hAnsi="Times New Roman"/>
            <w:b w:val="false"/>
            <w:i w:val="false"/>
            <w:color w:val="000000"/>
            <w:sz w:val="22"/>
          </w:rPr>
          <w:t>598.1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252B.15</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 xml:space="preserve">, in accordance with Iowa Code sections </w:t>
      </w:r>
      <w:hyperlink r:id="rId9">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“Correlated non-IV-D case” </w:t>
      </w:r>
      <w:r>
        <w:rPr>
          <w:rFonts w:ascii="Times New Roman" w:hAnsi="Times New Roman"/>
          <w:b w:val="false"/>
          <w:i w:val="false"/>
          <w:color w:val="000000"/>
          <w:sz w:val="22"/>
        </w:rPr>
        <w:t>means a non-IV-D case where income withholding information must be maintained by the unit in order to properly process an income withholding payment because the obligor has both a non-IV-D and a current or former IV-D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funds transmission” </w:t>
      </w:r>
      <w:r>
        <w:rPr>
          <w:rFonts w:ascii="Times New Roman" w:hAnsi="Times New Roman"/>
          <w:b w:val="false"/>
          <w:i w:val="false"/>
          <w:color w:val="000000"/>
          <w:sz w:val="22"/>
        </w:rPr>
        <w:t>means, for purposes of this chapter, the use of a NACHA-approved child support format for the electronic transmission of funds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 xml:space="preserve">shall have the same meaning provided this term in Iowa Code section </w:t>
      </w:r>
      <w:hyperlink r:id="rId11">
        <w:r>
          <w:rPr>
            <w:rStyle w:val="Hyperlink"/>
            <w:rFonts w:ascii="Times New Roman" w:hAnsi="Times New Roman"/>
            <w:b w:val="false"/>
            <w:i w:val="false"/>
            <w:color w:val="000000"/>
            <w:sz w:val="22"/>
          </w:rPr>
          <w:t>252G.1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“Former IV-D case” </w:t>
      </w:r>
      <w:r>
        <w:rPr>
          <w:rFonts w:ascii="Times New Roman" w:hAnsi="Times New Roman"/>
          <w:b w:val="false"/>
          <w:i w:val="false"/>
          <w:color w:val="000000"/>
          <w:sz w:val="22"/>
        </w:rPr>
        <w:t xml:space="preserve">means a case that previously received services from the unit under rule </w:t>
      </w:r>
      <w:hyperlink r:id="rId12">
        <w:r>
          <w:rPr>
            <w:rStyle w:val="Hyperlink"/>
            <w:rFonts w:ascii="Times New Roman" w:hAnsi="Times New Roman"/>
            <w:b w:val="false"/>
            <w:i w:val="false"/>
            <w:color w:val="000000"/>
            <w:sz w:val="22"/>
          </w:rPr>
          <w:t>441—95.2</w:t>
        </w:r>
      </w:hyperlink>
      <w:r>
        <w:rPr>
          <w:rFonts w:ascii="Times New Roman" w:hAnsi="Times New Roman"/>
          <w:b w:val="false"/>
          <w:i w:val="false"/>
          <w:color w:val="000000"/>
          <w:sz w:val="22"/>
        </w:rPr>
        <w:t>(252B) but currently receives only payment processing services from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“Insufficient funds payment” </w:t>
      </w:r>
      <w:r>
        <w:rPr>
          <w:rFonts w:ascii="Times New Roman" w:hAnsi="Times New Roman"/>
          <w:b w:val="false"/>
          <w:i w:val="false"/>
          <w:color w:val="000000"/>
          <w:sz w:val="22"/>
        </w:rPr>
        <w:t>means a support payment by check or other financial instrument which is dishonored, not paid, or the funding of the payment is determined to be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“IV-D case” </w:t>
      </w:r>
      <w:r>
        <w:rPr>
          <w:rFonts w:ascii="Times New Roman" w:hAnsi="Times New Roman"/>
          <w:b w:val="false"/>
          <w:i w:val="false"/>
          <w:color w:val="000000"/>
          <w:sz w:val="22"/>
        </w:rPr>
        <w:t xml:space="preserve">means a case that receives services from the unit under rule </w:t>
      </w:r>
      <w:hyperlink r:id="rId13">
        <w:r>
          <w:rPr>
            <w:rStyle w:val="Hyperlink"/>
            <w:rFonts w:ascii="Times New Roman" w:hAnsi="Times New Roman"/>
            <w:b w:val="false"/>
            <w:i w:val="false"/>
            <w:color w:val="000000"/>
            <w:sz w:val="22"/>
          </w:rPr>
          <w:t>441—95.2</w:t>
        </w:r>
      </w:hyperlink>
      <w:r>
        <w:rPr>
          <w:rFonts w:ascii="Times New Roman" w:hAnsi="Times New Roman"/>
          <w:b w:val="false"/>
          <w:i w:val="false"/>
          <w:color w:val="000000"/>
          <w:sz w:val="22"/>
        </w:rPr>
        <w:t>(252B), including payment processing services from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“NACHA-approved child support format” </w:t>
      </w:r>
      <w:r>
        <w:rPr>
          <w:rFonts w:ascii="Times New Roman" w:hAnsi="Times New Roman"/>
          <w:b w:val="false"/>
          <w:i w:val="false"/>
          <w:color w:val="000000"/>
          <w:sz w:val="22"/>
        </w:rPr>
        <w:t>means a child support payment transmission format approved by the National Automated Clearing House Association (NACHA).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“Non-IV-D case” </w:t>
      </w:r>
      <w:r>
        <w:rPr>
          <w:rFonts w:ascii="Times New Roman" w:hAnsi="Times New Roman"/>
          <w:b w:val="false"/>
          <w:i w:val="false"/>
          <w:color w:val="000000"/>
          <w:sz w:val="22"/>
        </w:rPr>
        <w:t xml:space="preserve">means a support order that never received services from the unit under rule </w:t>
      </w:r>
      <w:hyperlink r:id="rId14">
        <w:r>
          <w:rPr>
            <w:rStyle w:val="Hyperlink"/>
            <w:rFonts w:ascii="Times New Roman" w:hAnsi="Times New Roman"/>
            <w:b w:val="false"/>
            <w:i w:val="false"/>
            <w:color w:val="000000"/>
            <w:sz w:val="22"/>
          </w:rPr>
          <w:t>441—95.2</w:t>
        </w:r>
      </w:hyperlink>
      <w:r>
        <w:rPr>
          <w:rFonts w:ascii="Times New Roman" w:hAnsi="Times New Roman"/>
          <w:b w:val="false"/>
          <w:i w:val="false"/>
          <w:color w:val="000000"/>
          <w:sz w:val="22"/>
        </w:rPr>
        <w:t>(252B), but that receives payment processing services from the collection services center for income withholding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means the guardian, custodial parent, person, or entity entitled to receive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means a parent, relative, or any other person declared to be legally liable for the support of a child or the custodial parent or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“Payor of income” </w:t>
      </w:r>
      <w:r>
        <w:rPr>
          <w:rFonts w:ascii="Times New Roman" w:hAnsi="Times New Roman"/>
          <w:b w:val="false"/>
          <w:i w:val="false"/>
          <w:color w:val="000000"/>
          <w:sz w:val="22"/>
        </w:rPr>
        <w:t xml:space="preserve">shall have the same meaning provided this term in Iowa Code section </w:t>
      </w:r>
      <w:hyperlink r:id="rId15">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payment” </w:t>
      </w:r>
      <w:r>
        <w:rPr>
          <w:rFonts w:ascii="Times New Roman" w:hAnsi="Times New Roman"/>
          <w:b w:val="false"/>
          <w:i w:val="false"/>
          <w:color w:val="000000"/>
          <w:sz w:val="22"/>
        </w:rPr>
        <w:t xml:space="preserve">shall have the same meaning provided this term in Iowa Code section </w:t>
      </w:r>
      <w:hyperlink r:id="rId16">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means the child support recovery unit as defined in Iowa Code section </w:t>
      </w:r>
      <w:hyperlink r:id="rId17">
        <w:r>
          <w:rPr>
            <w:rStyle w:val="Hyperlink"/>
            <w:rFonts w:ascii="Times New Roman" w:hAnsi="Times New Roman"/>
            <w:b w:val="false"/>
            <w:i w:val="false"/>
            <w:color w:val="000000"/>
            <w:sz w:val="22"/>
          </w:rPr>
          <w:t>252B.2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“Website” </w:t>
      </w:r>
      <w:r>
        <w:rPr>
          <w:rFonts w:ascii="Times New Roman" w:hAnsi="Times New Roman"/>
          <w:b w:val="false"/>
          <w:i w:val="false"/>
          <w:color w:val="000000"/>
          <w:sz w:val="22"/>
        </w:rPr>
        <w:t>means the website operated by the department of human services for the purpose of allowing a payor of income to make a support payment through electronic transmission to the collection services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441—97.2</w:t>
      </w:r>
      <w:r>
        <w:rPr>
          <w:rFonts w:ascii="Times New Roman" w:hAnsi="Times New Roman"/>
          <w:b/>
          <w:i w:val="false"/>
          <w:color w:val="000000"/>
          <w:sz w:val="22"/>
        </w:rPr>
        <w:t xml:space="preserve">(252B) </w:t>
      </w:r>
      <w:r>
        <w:rPr>
          <w:rFonts w:ascii="Times New Roman" w:hAnsi="Times New Roman"/>
          <w:b/>
          <w:i w:val="false"/>
          <w:color w:val="000000"/>
          <w:sz w:val="22"/>
        </w:rPr>
        <w:t xml:space="preserve">Transfer of records and payments. </w:t>
      </w:r>
      <w:r>
        <w:rPr>
          <w:rFonts w:ascii="Times New Roman" w:hAnsi="Times New Roman"/>
          <w:b w:val="false"/>
          <w:i w:val="false"/>
          <w:color w:val="000000"/>
          <w:sz w:val="22"/>
        </w:rPr>
        <w:t xml:space="preserve">For non-IV-D cases, the clerk of court shall provide core case information to the unit upon the filing of a new income withholding order or upon the request of the unit. “Core case information” means information listed in paragraphs </w:t>
      </w:r>
      <w:hyperlink r:id="rId18">
        <w:r>
          <w:rPr>
            <w:rStyle w:val="Hyperlink"/>
            <w:rFonts w:ascii="Times New Roman" w:hAnsi="Times New Roman"/>
            <w:b w:val="false"/>
            <w:i w:val="false"/>
            <w:color w:val="000000"/>
            <w:sz w:val="22"/>
          </w:rPr>
          <w:t>97.2(1)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subrule </w:t>
      </w:r>
      <w:hyperlink r:id="rId20">
        <w:r>
          <w:rPr>
            <w:rStyle w:val="Hyperlink"/>
            <w:rFonts w:ascii="Times New Roman" w:hAnsi="Times New Roman"/>
            <w:b w:val="false"/>
            <w:i w:val="false"/>
            <w:color w:val="000000"/>
            <w:sz w:val="22"/>
          </w:rPr>
          <w:t>97.2(2)</w:t>
        </w:r>
      </w:hyperlink>
      <w:r>
        <w:rPr>
          <w:rFonts w:ascii="Times New Roman" w:hAnsi="Times New Roman"/>
          <w:b w:val="false"/>
          <w:i w:val="false"/>
          <w:color w:val="000000"/>
          <w:sz w:val="22"/>
        </w:rPr>
        <w:t>. For IV-D and correlated non-IV-D cases, the clerk of court shall provide detailed case information to the unit upon request. After the establishment of a case, the unit shall send notices of transfer to obligors and obligees based upon case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97.2(1)</w:t>
      </w:r>
      <w:r>
        <w:rPr>
          <w:rFonts w:ascii="Times New Roman" w:hAnsi="Times New Roman"/>
          <w:b w:val="false"/>
          <w:i w:val="false"/>
          <w:color w:val="000000"/>
          <w:sz w:val="22"/>
        </w:rPr>
        <w:t> </w:t>
      </w:r>
      <w:r>
        <w:rPr>
          <w:rFonts w:ascii="Times New Roman" w:hAnsi="Times New Roman"/>
          <w:b w:val="false"/>
          <w:i/>
          <w:color w:val="000000"/>
          <w:sz w:val="22"/>
        </w:rPr>
        <w:t xml:space="preserve">Transfer of information on non-IV-D and correlated non-IV-D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non-IV-D cases, the unit shall request the following information necessary for the receipt, recording and disbursement of payments from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order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correlated non-IV-D cases, the unit shall request the following information necessary for the receipt, recording and disbursement of payments from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order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clerk of the district court shall provide case information to the unit on a regular basis when an income withholding order is filed with a clerk of court or when the unit requests the information in order to process a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unit shall automatically create cases for payment processing based upon the information received from the clerks of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97.2(2)</w:t>
      </w:r>
      <w:r>
        <w:rPr>
          <w:rFonts w:ascii="Times New Roman" w:hAnsi="Times New Roman"/>
          <w:b w:val="false"/>
          <w:i w:val="false"/>
          <w:color w:val="000000"/>
          <w:sz w:val="22"/>
        </w:rPr>
        <w:t> </w:t>
      </w:r>
      <w:r>
        <w:rPr>
          <w:rFonts w:ascii="Times New Roman" w:hAnsi="Times New Roman"/>
          <w:b w:val="false"/>
          <w:i/>
          <w:color w:val="000000"/>
          <w:sz w:val="22"/>
        </w:rPr>
        <w:t xml:space="preserve">Transfer of information on IV-D cases. </w:t>
      </w:r>
      <w:r>
        <w:rPr>
          <w:rFonts w:ascii="Times New Roman" w:hAnsi="Times New Roman"/>
          <w:b w:val="false"/>
          <w:i w:val="false"/>
          <w:color w:val="000000"/>
          <w:sz w:val="22"/>
        </w:rPr>
        <w:t>In IV-D cases, the clerk of district court shall provide the unit with the following information if the information has been provided to the clerk upon request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obligee’s name, date of birth, last-known mailing address, the social security number if known and, if different in whole or part, the names of the persons to whom the obligation of support is owed by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birth date, social security number, and last-known mailing address of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all support orders that establish or modify a support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social security numbers, and dates of birth of any minor dependents for whom support is ordered,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any support payments received by the clerk of district court prior to the transfer of case information and any payments received by the collection services center and the date of transfer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record of any determination of controlling order under the Uniform Interstate Family Support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6780C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441—97.3</w:t>
      </w:r>
      <w:r>
        <w:rPr>
          <w:rFonts w:ascii="Times New Roman" w:hAnsi="Times New Roman"/>
          <w:b/>
          <w:i w:val="false"/>
          <w:color w:val="000000"/>
          <w:sz w:val="22"/>
        </w:rPr>
        <w:t xml:space="preserve">(252B) </w:t>
      </w:r>
      <w:r>
        <w:rPr>
          <w:rFonts w:ascii="Times New Roman" w:hAnsi="Times New Roman"/>
          <w:b/>
          <w:i w:val="false"/>
          <w:color w:val="000000"/>
          <w:sz w:val="22"/>
        </w:rPr>
        <w:t xml:space="preserve">Support payment records. </w:t>
      </w:r>
      <w:r>
        <w:rPr>
          <w:rFonts w:ascii="Times New Roman" w:hAnsi="Times New Roman"/>
          <w:b w:val="false"/>
          <w:i w:val="false"/>
          <w:color w:val="000000"/>
          <w:sz w:val="22"/>
        </w:rPr>
        <w:t>Each IV-D, former IV-D and non-IV-D case type shall have an official payment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97.3(1)</w:t>
      </w:r>
      <w:r>
        <w:rPr>
          <w:rFonts w:ascii="Times New Roman" w:hAnsi="Times New Roman"/>
          <w:b w:val="false"/>
          <w:i w:val="false"/>
          <w:color w:val="000000"/>
          <w:sz w:val="22"/>
        </w:rPr>
        <w:t> </w:t>
      </w:r>
      <w:r>
        <w:rPr>
          <w:rFonts w:ascii="Times New Roman" w:hAnsi="Times New Roman"/>
          <w:b w:val="false"/>
          <w:i/>
          <w:color w:val="000000"/>
          <w:sz w:val="22"/>
        </w:rPr>
        <w:t xml:space="preserve">Official records for cases. </w:t>
      </w:r>
      <w:r>
        <w:rPr>
          <w:rFonts w:ascii="Times New Roman" w:hAnsi="Times New Roman"/>
          <w:b w:val="false"/>
          <w:i w:val="false"/>
          <w:color w:val="000000"/>
          <w:sz w:val="22"/>
        </w:rPr>
        <w:t>The official payment records for each case type shall be maintained by a designated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shall establish, maintain and certify the official support payment records for IV-D or former IV-D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clerk of the district court shall establish, maintain and certify the official support payment records for non-IV-D and correlated non-IV-D cases. The collection services center shall establish and maintain records for receipt and disbursement of income withholding payments for these cases, but shall not certify these records as the complete payment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for payment records. </w:t>
      </w:r>
      <w:r>
        <w:rPr>
          <w:rFonts w:ascii="Times New Roman" w:hAnsi="Times New Roman"/>
          <w:b w:val="false"/>
          <w:i w:val="false"/>
          <w:color w:val="000000"/>
          <w:sz w:val="22"/>
        </w:rPr>
        <w:t>The unit shall provide an informal conference or desk review regarding the contents of any support payment record to the obligor or obligee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IV-D or former IV-D cases, the conference shall be available to review the payment record and to answer questions of the obligee or obligor regarding the accuracy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non-IV-D and correlated non-IV-D cases, the conference shall be available to review the accuracy of the contents of any record of income withholding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97.3(3)</w:t>
      </w:r>
      <w:r>
        <w:rPr>
          <w:rFonts w:ascii="Times New Roman" w:hAnsi="Times New Roman"/>
          <w:b w:val="false"/>
          <w:i w:val="false"/>
          <w:color w:val="000000"/>
          <w:sz w:val="22"/>
        </w:rPr>
        <w:t> </w:t>
      </w:r>
      <w:r>
        <w:rPr>
          <w:rFonts w:ascii="Times New Roman" w:hAnsi="Times New Roman"/>
          <w:b w:val="false"/>
          <w:i/>
          <w:color w:val="000000"/>
          <w:sz w:val="22"/>
        </w:rPr>
        <w:t xml:space="preserve">Certified payment records. </w:t>
      </w:r>
      <w:r>
        <w:rPr>
          <w:rFonts w:ascii="Times New Roman" w:hAnsi="Times New Roman"/>
          <w:b w:val="false"/>
          <w:i w:val="false"/>
          <w:color w:val="000000"/>
          <w:sz w:val="22"/>
        </w:rPr>
        <w:t xml:space="preserve">The unit shall provide certified copies of the official support payment records as defined in paragraph </w:t>
      </w:r>
      <w:hyperlink r:id="rId21">
        <w:r>
          <w:rPr>
            <w:rStyle w:val="Hyperlink"/>
            <w:rFonts w:ascii="Times New Roman" w:hAnsi="Times New Roman"/>
            <w:b w:val="false"/>
            <w:i w:val="false"/>
            <w:color w:val="000000"/>
            <w:sz w:val="22"/>
          </w:rPr>
          <w:t>97.3(1)</w:t>
        </w:r>
        <w:r>
          <w:rPr>
            <w:rFonts w:ascii="Times New Roman" w:hAnsi="Times New Roman"/>
            <w:b w:val="false"/>
            <w:i/>
            <w:color w:val="000000"/>
            <w:sz w:val="22"/>
          </w:rPr>
          <w:t>“a”</w:t>
        </w:r>
      </w:hyperlink>
      <w:r>
        <w:rPr>
          <w:rFonts w:ascii="Times New Roman" w:hAnsi="Times New Roman"/>
          <w:b w:val="false"/>
          <w:i w:val="false"/>
          <w:color w:val="000000"/>
          <w:sz w:val="22"/>
        </w:rPr>
        <w:t xml:space="preserve"> in accordance with Iowa Code section </w:t>
      </w:r>
      <w:hyperlink r:id="rId22">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1262C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441—97.4</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of payment. </w:t>
      </w:r>
      <w:r>
        <w:rPr>
          <w:rFonts w:ascii="Times New Roman" w:hAnsi="Times New Roman"/>
          <w:b w:val="false"/>
          <w:i w:val="false"/>
          <w:color w:val="000000"/>
          <w:sz w:val="22"/>
        </w:rPr>
        <w:t>Payments shall be accepted in specific forms from obligors and payors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color w:val="000000"/>
          <w:sz w:val="22"/>
        </w:rPr>
        <w:t xml:space="preserve">Form of payment. </w:t>
      </w:r>
      <w:r>
        <w:rPr>
          <w:rFonts w:ascii="Times New Roman" w:hAnsi="Times New Roman"/>
          <w:b w:val="false"/>
          <w:i w:val="false"/>
          <w:color w:val="000000"/>
          <w:sz w:val="22"/>
        </w:rPr>
        <w:t xml:space="preserve">Except as otherwise provided in this rule and in rule </w:t>
      </w:r>
      <w:hyperlink r:id="rId23">
        <w:r>
          <w:rPr>
            <w:rStyle w:val="Hyperlink"/>
            <w:rFonts w:ascii="Times New Roman" w:hAnsi="Times New Roman"/>
            <w:b w:val="false"/>
            <w:i w:val="false"/>
            <w:color w:val="000000"/>
            <w:sz w:val="22"/>
          </w:rPr>
          <w:t>441—97.5</w:t>
        </w:r>
      </w:hyperlink>
      <w:r>
        <w:rPr>
          <w:rFonts w:ascii="Times New Roman" w:hAnsi="Times New Roman"/>
          <w:b w:val="false"/>
          <w:i w:val="false"/>
          <w:color w:val="000000"/>
          <w:sz w:val="22"/>
        </w:rPr>
        <w:t>(252D), support payments may be paid in the form of cash, check, bank draft, money order, preauthorized withdrawal of funds, or other financial instrument, and sent by mail to the collection services center, or by electronic transmission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color w:val="000000"/>
          <w:sz w:val="22"/>
        </w:rPr>
        <w:t xml:space="preserve">Treatment of insufficient funds payments. </w:t>
      </w:r>
      <w:r>
        <w:rPr>
          <w:rFonts w:ascii="Times New Roman" w:hAnsi="Times New Roman"/>
          <w:b w:val="false"/>
          <w:i w:val="false"/>
          <w:color w:val="000000"/>
          <w:sz w:val="22"/>
        </w:rPr>
        <w:t>The unit shall have a process in place to handle insufficient funds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obligor submitting an insufficient funds support payment to the collection services center shall be required to submit payments by cash, bank draft, or money order for a period of up to 12 months unless waived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payor of income submitting an insufficient funds support payment to the collection services center shall be required to submit payments through electronic funds transmission, cash, bank draft, or money order for a period of up to 12 months unless waived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Insufficient funds payments shall not be credited to the collection services center account for the obligor or shall be removed from the account if credited before sufficiency was verified. Insufficient funds support payments shall be subject to additional collection by the collection services center for the dishonored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shall not process additional payments other than cash, bank drafts or money orders from an obligor or payor of income who has previously submitted insufficient funds payments without first verifying the payment. The collection services center shall have a process in place to allow the obligor or the payor of income the opportunity to replace any additional moneys submitted for payment of support before processing in order to avoid additional insufficient funds entries into the official payment records on the affected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97.4(3)</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payment. </w:t>
      </w:r>
      <w:r>
        <w:rPr>
          <w:rFonts w:ascii="Times New Roman" w:hAnsi="Times New Roman"/>
          <w:b w:val="false"/>
          <w:i w:val="false"/>
          <w:color w:val="000000"/>
          <w:sz w:val="22"/>
        </w:rPr>
        <w:t>Nonincome withholding support payments received by the collection services center in IV-D, former IV-D, non-IV-D, or correlated non-IV-D cases which are not directed to a specific account or support obligation shall first be applied proportionately to the current support obligation on all cases for the obligor and, secondly, to the support arrearages owed by the obligor.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441—97.5</w:t>
      </w:r>
      <w:r>
        <w:rPr>
          <w:rFonts w:ascii="Times New Roman" w:hAnsi="Times New Roman"/>
          <w:b/>
          <w:i w:val="false"/>
          <w:color w:val="000000"/>
          <w:sz w:val="22"/>
        </w:rPr>
        <w:t xml:space="preserve">(252D) </w:t>
      </w:r>
      <w:r>
        <w:rPr>
          <w:rFonts w:ascii="Times New Roman" w:hAnsi="Times New Roman"/>
          <w:b/>
          <w:i w:val="false"/>
          <w:color w:val="000000"/>
          <w:sz w:val="22"/>
        </w:rPr>
        <w:t xml:space="preserve">Electronic transmission of payments. </w:t>
      </w:r>
      <w:r>
        <w:rPr>
          <w:rFonts w:ascii="Times New Roman" w:hAnsi="Times New Roman"/>
          <w:b w:val="false"/>
          <w:i w:val="false"/>
          <w:color w:val="000000"/>
          <w:sz w:val="22"/>
        </w:rPr>
        <w:t>Payors of income shall electronically transmit to the collection services center the amounts withheld under an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97.5(1)</w:t>
      </w:r>
      <w:r>
        <w:rPr>
          <w:rFonts w:ascii="Times New Roman" w:hAnsi="Times New Roman"/>
          <w:b w:val="false"/>
          <w:i w:val="false"/>
          <w:color w:val="000000"/>
          <w:sz w:val="22"/>
        </w:rPr>
        <w:t> </w:t>
      </w:r>
      <w:r>
        <w:rPr>
          <w:rFonts w:ascii="Times New Roman" w:hAnsi="Times New Roman"/>
          <w:b w:val="false"/>
          <w:i/>
          <w:color w:val="000000"/>
          <w:sz w:val="22"/>
        </w:rPr>
        <w:t xml:space="preserve">Thresholds for electronic funds transmission. </w:t>
      </w:r>
      <w:r>
        <w:rPr>
          <w:rFonts w:ascii="Times New Roman" w:hAnsi="Times New Roman"/>
          <w:b w:val="false"/>
          <w:i w:val="false"/>
          <w:color w:val="000000"/>
          <w:sz w:val="22"/>
        </w:rPr>
        <w:t>A payor of income shall transmit payment through electronic funds transmission if either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payor of income employs 100 or more employees and uses an agent for payroll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payor of income employs 200 or more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97.5(2)</w:t>
      </w:r>
      <w:r>
        <w:rPr>
          <w:rFonts w:ascii="Times New Roman" w:hAnsi="Times New Roman"/>
          <w:b w:val="false"/>
          <w:i w:val="false"/>
          <w:color w:val="000000"/>
          <w:sz w:val="22"/>
        </w:rPr>
        <w:t> </w:t>
      </w:r>
      <w:r>
        <w:rPr>
          <w:rFonts w:ascii="Times New Roman" w:hAnsi="Times New Roman"/>
          <w:b w:val="false"/>
          <w:i/>
          <w:color w:val="000000"/>
          <w:sz w:val="22"/>
        </w:rPr>
        <w:t xml:space="preserve">Use of the website. </w:t>
      </w:r>
      <w:r>
        <w:rPr>
          <w:rFonts w:ascii="Times New Roman" w:hAnsi="Times New Roman"/>
          <w:b w:val="false"/>
          <w:i w:val="false"/>
          <w:color w:val="000000"/>
          <w:sz w:val="22"/>
        </w:rPr>
        <w:t xml:space="preserve">Unless paragraph </w:t>
      </w:r>
      <w:hyperlink r:id="rId24">
        <w:r>
          <w:rPr>
            <w:rStyle w:val="Hyperlink"/>
            <w:rFonts w:ascii="Times New Roman" w:hAnsi="Times New Roman"/>
            <w:b w:val="false"/>
            <w:i w:val="false"/>
            <w:color w:val="000000"/>
            <w:sz w:val="22"/>
          </w:rPr>
          <w:t>97.4(2)</w:t>
        </w:r>
        <w:r>
          <w:rPr>
            <w:rFonts w:ascii="Times New Roman" w:hAnsi="Times New Roman"/>
            <w:b w:val="false"/>
            <w:i/>
            <w:color w:val="000000"/>
            <w:sz w:val="22"/>
          </w:rPr>
          <w:t>“b”</w:t>
        </w:r>
      </w:hyperlink>
      <w:r>
        <w:rPr>
          <w:rFonts w:ascii="Times New Roman" w:hAnsi="Times New Roman"/>
          <w:b w:val="false"/>
          <w:i w:val="false"/>
          <w:color w:val="000000"/>
          <w:sz w:val="22"/>
        </w:rPr>
        <w:t xml:space="preserve"> applies, a payor of income required to use electronic funds transmission under subrule </w:t>
      </w:r>
      <w:hyperlink r:id="rId25">
        <w:r>
          <w:rPr>
            <w:rStyle w:val="Hyperlink"/>
            <w:rFonts w:ascii="Times New Roman" w:hAnsi="Times New Roman"/>
            <w:b w:val="false"/>
            <w:i w:val="false"/>
            <w:color w:val="000000"/>
            <w:sz w:val="22"/>
          </w:rPr>
          <w:t>97.5(1)</w:t>
        </w:r>
      </w:hyperlink>
      <w:r>
        <w:rPr>
          <w:rFonts w:ascii="Times New Roman" w:hAnsi="Times New Roman"/>
          <w:b w:val="false"/>
          <w:i w:val="false"/>
          <w:color w:val="000000"/>
          <w:sz w:val="22"/>
        </w:rPr>
        <w:t xml:space="preserve"> may elect to submit payments electronically by using the website if the payor of income determines that using electronic funds transmission would cause undue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97.5(3)</w:t>
      </w:r>
      <w:r>
        <w:rPr>
          <w:rFonts w:ascii="Times New Roman" w:hAnsi="Times New Roman"/>
          <w:b w:val="false"/>
          <w:i w:val="false"/>
          <w:color w:val="000000"/>
          <w:sz w:val="22"/>
        </w:rPr>
        <w:t> </w:t>
      </w:r>
      <w:r>
        <w:rPr>
          <w:rFonts w:ascii="Times New Roman" w:hAnsi="Times New Roman"/>
          <w:b w:val="false"/>
          <w:i/>
          <w:color w:val="000000"/>
          <w:sz w:val="22"/>
        </w:rPr>
        <w:t xml:space="preserve">Implementing electronic funds transmission. </w:t>
      </w:r>
      <w:r>
        <w:rPr>
          <w:rFonts w:ascii="Times New Roman" w:hAnsi="Times New Roman"/>
          <w:b w:val="false"/>
          <w:i w:val="false"/>
          <w:color w:val="000000"/>
          <w:sz w:val="22"/>
        </w:rPr>
        <w:t>A payor of income implementing electronic funds transmission shall complete all the following in advance of transmitting payments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collection services center to obtain file layout and case reconciliation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for the person responsible for electronic funds transmission for the payor of income or the payor of income’s agent for payroll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for the person responsible for payroll accounts for the payor of income or the payor of income’s agent for payroll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authorized financial institution from which the payment will be withheld;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sample file layout in a NACHA-approved child support format and, if necessary, a test file in a NACHA-approved child support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needed upon review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corrections to the file layout to meet a NACHA-approved child support format,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corrected copy to the collection services center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approval of the file layout by the collection services center, provide an implementation date before the first submission of payment through electronic funds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97.5(4)</w:t>
      </w:r>
      <w:r>
        <w:rPr>
          <w:rFonts w:ascii="Times New Roman" w:hAnsi="Times New Roman"/>
          <w:b w:val="false"/>
          <w:i w:val="false"/>
          <w:color w:val="000000"/>
          <w:sz w:val="22"/>
        </w:rPr>
        <w:t> </w:t>
      </w:r>
      <w:r>
        <w:rPr>
          <w:rFonts w:ascii="Times New Roman" w:hAnsi="Times New Roman"/>
          <w:b w:val="false"/>
          <w:i/>
          <w:color w:val="000000"/>
          <w:sz w:val="22"/>
        </w:rPr>
        <w:t xml:space="preserve">Maintaining information and file format after implementation. </w:t>
      </w:r>
      <w:r>
        <w:rPr>
          <w:rFonts w:ascii="Times New Roman" w:hAnsi="Times New Roman"/>
          <w:b w:val="false"/>
          <w:i w:val="false"/>
          <w:color w:val="000000"/>
          <w:sz w:val="22"/>
        </w:rPr>
        <w:t>A payor of income that has implemented electronic funds transmission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Transmit both payment amounts and detailed information records in accordance with a NACHA-approved child support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 the collection services center of a payment error within two business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collection services center ten working days’ advance notice when changing between NACHA-approved child support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Correct case number or file problems identified by the collection services center before sending any additional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97.5(5)</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implementation.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12/28/22</w:t>
      </w:r>
      <w:r>
        <w:rPr>
          <w:rFonts w:ascii="Times New Roman" w:hAnsi="Times New Roman"/>
          <w:b w:val="false"/>
          <w:i w:val="false"/>
          <w:color w:val="000000"/>
          <w:sz w:val="22"/>
        </w:rPr>
        <w:t>, effective 2/1/23.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electronic transmission. </w:t>
      </w:r>
      <w:r>
        <w:rPr>
          <w:rFonts w:ascii="Times New Roman" w:hAnsi="Times New Roman"/>
          <w:b w:val="false"/>
          <w:i w:val="false"/>
          <w:color w:val="000000"/>
          <w:sz w:val="22"/>
        </w:rPr>
        <w:t xml:space="preserve">To avoid undue hardship, a payor of income that has fewer than 200 employees or a payor of income that has fewer than 100 employees and uses an agent for payroll processing is exempt from using electronic transmission unless subrule </w:t>
      </w:r>
      <w:hyperlink r:id="rId26">
        <w:r>
          <w:rPr>
            <w:rStyle w:val="Hyperlink"/>
            <w:rFonts w:ascii="Times New Roman" w:hAnsi="Times New Roman"/>
            <w:b w:val="false"/>
            <w:i w:val="false"/>
            <w:color w:val="000000"/>
            <w:sz w:val="22"/>
          </w:rPr>
          <w:t>97.4(2)</w:t>
        </w:r>
      </w:hyperlink>
      <w:r>
        <w:rPr>
          <w:rFonts w:ascii="Times New Roman" w:hAnsi="Times New Roman"/>
          <w:b w:val="false"/>
          <w:i w:val="false"/>
          <w:color w:val="000000"/>
          <w:sz w:val="22"/>
        </w:rPr>
        <w:t xml:space="preserv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6780C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441—97.6</w:t>
      </w:r>
      <w:r>
        <w:rPr>
          <w:rFonts w:ascii="Times New Roman" w:hAnsi="Times New Roman"/>
          <w:b/>
          <w:i w:val="false"/>
          <w:color w:val="000000"/>
          <w:sz w:val="22"/>
        </w:rPr>
        <w:t xml:space="preserve">(252B) </w:t>
      </w:r>
      <w:r>
        <w:rPr>
          <w:rFonts w:ascii="Times New Roman" w:hAnsi="Times New Roman"/>
          <w:b/>
          <w:i w:val="false"/>
          <w:color w:val="000000"/>
          <w:sz w:val="22"/>
        </w:rPr>
        <w:t xml:space="preserve">Authorization of payment. </w:t>
      </w:r>
      <w:r>
        <w:rPr>
          <w:rFonts w:ascii="Times New Roman" w:hAnsi="Times New Roman"/>
          <w:b w:val="false"/>
          <w:i w:val="false"/>
          <w:color w:val="000000"/>
          <w:sz w:val="22"/>
        </w:rPr>
        <w:t>The collection services center must authorize the generation of payments for support paid. The collection services center shall issue payments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color w:val="000000"/>
          <w:sz w:val="22"/>
        </w:rPr>
        <w:t xml:space="preserve">Submittal of information to department of administrative services. </w:t>
      </w:r>
      <w:r>
        <w:rPr>
          <w:rFonts w:ascii="Times New Roman" w:hAnsi="Times New Roman"/>
          <w:b w:val="false"/>
          <w:i w:val="false"/>
          <w:color w:val="000000"/>
          <w:sz w:val="22"/>
        </w:rPr>
        <w:t>In order to disburse payments to the obligee within two working days, the collection services center shall submit information daily to the department of administrative services to issue a warrant or electronic file transfer (EFT) payment to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color w:val="000000"/>
          <w:sz w:val="22"/>
        </w:rPr>
        <w:t xml:space="preserve">Release of funds. </w:t>
      </w:r>
      <w:r>
        <w:rPr>
          <w:rFonts w:ascii="Times New Roman" w:hAnsi="Times New Roman"/>
          <w:b w:val="false"/>
          <w:i w:val="false"/>
          <w:color w:val="000000"/>
          <w:sz w:val="22"/>
        </w:rPr>
        <w:t xml:space="preserve">The following workday an electronic transfer of funds shall be sent to the designated account of the obligee or an alternate account to be accessed by the obligee through an electronic access card, or if subrule </w:t>
      </w:r>
      <w:hyperlink r:id="rId27">
        <w:r>
          <w:rPr>
            <w:rStyle w:val="Hyperlink"/>
            <w:rFonts w:ascii="Times New Roman" w:hAnsi="Times New Roman"/>
            <w:b w:val="false"/>
            <w:i w:val="false"/>
            <w:color w:val="000000"/>
            <w:sz w:val="22"/>
          </w:rPr>
          <w:t>97.6(5)</w:t>
        </w:r>
      </w:hyperlink>
      <w:r>
        <w:rPr>
          <w:rFonts w:ascii="Times New Roman" w:hAnsi="Times New Roman"/>
          <w:b w:val="false"/>
          <w:i w:val="false"/>
          <w:color w:val="000000"/>
          <w:sz w:val="22"/>
        </w:rPr>
        <w:t xml:space="preserve"> applies, a state warrant may be sent by regular mail to the last-known address of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transfer. </w:t>
      </w:r>
      <w:r>
        <w:rPr>
          <w:rFonts w:ascii="Times New Roman" w:hAnsi="Times New Roman"/>
          <w:b w:val="false"/>
          <w:i w:val="false"/>
          <w:color w:val="000000"/>
          <w:sz w:val="22"/>
        </w:rPr>
        <w:t xml:space="preserve">Obligees who want electronic transfer of support payments to a designated account shall complete Form 470-2612 and submit it to the collection services center. Unless subrule </w:t>
      </w:r>
      <w:hyperlink r:id="rId28">
        <w:r>
          <w:rPr>
            <w:rStyle w:val="Hyperlink"/>
            <w:rFonts w:ascii="Times New Roman" w:hAnsi="Times New Roman"/>
            <w:b w:val="false"/>
            <w:i w:val="false"/>
            <w:color w:val="000000"/>
            <w:sz w:val="22"/>
          </w:rPr>
          <w:t>97.6(5)</w:t>
        </w:r>
      </w:hyperlink>
      <w:r>
        <w:rPr>
          <w:rFonts w:ascii="Times New Roman" w:hAnsi="Times New Roman"/>
          <w:b w:val="false"/>
          <w:i w:val="false"/>
          <w:color w:val="000000"/>
          <w:sz w:val="22"/>
        </w:rPr>
        <w:t xml:space="preserve"> applies, any obligee not using automatic deposit to a designated account shall be issued an electronic access card for receipt of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color w:val="000000"/>
          <w:sz w:val="22"/>
        </w:rPr>
        <w:t xml:space="preserve">Walk-ins. </w:t>
      </w:r>
      <w:r>
        <w:rPr>
          <w:rFonts w:ascii="Times New Roman" w:hAnsi="Times New Roman"/>
          <w:b w:val="false"/>
          <w:i w:val="false"/>
          <w:color w:val="000000"/>
          <w:sz w:val="22"/>
        </w:rPr>
        <w:t>Support payments shall not be hand-delivered to the obligee on a walk-in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color w:val="000000"/>
          <w:sz w:val="22"/>
        </w:rPr>
        <w:t xml:space="preserve">Warrants. </w:t>
      </w:r>
      <w:r>
        <w:rPr>
          <w:rFonts w:ascii="Times New Roman" w:hAnsi="Times New Roman"/>
          <w:b w:val="false"/>
          <w:i w:val="false"/>
          <w:color w:val="000000"/>
          <w:sz w:val="22"/>
        </w:rPr>
        <w:t>The collection services center may authorize generation of a warrant if any one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Generation of a warrant is necessary to meet federal requirements to disburse a payment to an obligee within two working days when electronic transfer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obligee has not requested automatic deposit to a designated account of the obligee, and payment is from a source that is nonrecurring or is not expected to continue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obligee has not requested automatic deposit to a designated account of the obligee and has asserted in writing on Form 470-3972 that one of the exemptions listed in this paragraph applies. To claim an exemption, the obligee must return Form 470-3972 to the collection services center within ten days of the date the form was issued. An exemption granted under this paragraph is subject to periodic review by the collection services center. The exemptions available under this paragraph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physical disability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mental disability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language barrier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literacy barrier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obligee’s home and work addresses are more than 30 miles from an automated teller machine and more than 30 miles from a financial institution where the account funds can be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representative payee, court appointee, or trustee notifies the collection services center or unit in writing that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obligee is under a court-ordered guardianship or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 is involved in other legal proceedings, including bankruptcy, which require payments to be sent to a trustee or other representative payee.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6780C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441—97.7</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Processing misdirected payments. </w:t>
      </w:r>
      <w:r>
        <w:rPr>
          <w:rFonts w:ascii="Times New Roman" w:hAnsi="Times New Roman"/>
          <w:b w:val="false"/>
          <w:i w:val="false"/>
          <w:color w:val="000000"/>
          <w:sz w:val="22"/>
        </w:rPr>
        <w:t>If the collection services center receives a payment for which a corresponding obligee cannot be identified, the collection services center shall contact the person or entity that directed the payment to obtain additional information. Payments inappropriately directed to the collection services center shall be returned to the person or entity sending the payment.</w:t>
      </w:r>
    </w:p>
    <w:p>
      <w:pPr>
        <w:spacing w:before="0" w:after="0"/>
        <w:ind w:left="120"/>
        <w:jc w:val="both"/>
      </w:pPr>
      <w:r>
        <w:rPr>
          <w:rFonts w:ascii="Times New Roman" w:hAnsi="Times New Roman"/>
          <w:b/>
          <w:i w:val="false"/>
          <w:color w:val="000000"/>
          <w:sz w:val="22"/>
        </w:rPr>
        <w:t>441—97.8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2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31">
        <w:r>
          <w:rPr>
            <w:rStyle w:val="Hyperlink"/>
            <w:rFonts w:ascii="Times New Roman" w:hAnsi="Times New Roman"/>
            <w:b w:val="false"/>
            <w:i w:val="false"/>
            <w:color w:val="000000"/>
            <w:sz w:val="22"/>
          </w:rPr>
          <w:t>252B.13A through 252B.17</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3/26/87 after Notice 2/11/87—published 4/22/87, effective 4/1/87]</w:t>
      </w:r>
    </w:p>
    <w:p>
      <w:pPr>
        <w:spacing w:before="0" w:after="0"/>
        <w:ind w:left="120"/>
        <w:jc w:val="center"/>
      </w:pPr>
      <w:r>
        <w:rPr>
          <w:rFonts w:ascii="Times New Roman" w:hAnsi="Times New Roman"/>
          <w:b w:val="false"/>
          <w:i w:val="false"/>
          <w:color w:val="000000"/>
          <w:sz w:val="21"/>
        </w:rPr>
        <w:t>[Filed 7/14/99, Notice 5/19/99—published 8/11/99, effective 10/1/99]</w:t>
      </w:r>
    </w:p>
    <w:p>
      <w:pPr>
        <w:spacing w:before="0" w:after="0"/>
        <w:ind w:left="120"/>
        <w:jc w:val="center"/>
      </w:pPr>
      <w:r>
        <w:rPr>
          <w:rFonts w:ascii="Times New Roman" w:hAnsi="Times New Roman"/>
          <w:b w:val="false"/>
          <w:i w:val="false"/>
          <w:color w:val="000000"/>
          <w:sz w:val="21"/>
        </w:rPr>
        <w:t>[Filed without Notice 8/15/02—published 9/4/02, effective 11/1/02]</w:t>
      </w:r>
    </w:p>
    <w:p>
      <w:pPr>
        <w:spacing w:before="0" w:after="0"/>
        <w:ind w:left="120"/>
        <w:jc w:val="center"/>
      </w:pPr>
      <w:r>
        <w:rPr>
          <w:rFonts w:ascii="Times New Roman" w:hAnsi="Times New Roman"/>
          <w:b w:val="false"/>
          <w:i w:val="false"/>
          <w:color w:val="000000"/>
          <w:sz w:val="21"/>
        </w:rPr>
        <w:t>[Filed emergency 2/13/03 after Notice 9/4/02—published 3/5/03, effective 3/1/03]</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9351B</w:t>
      </w:r>
      <w:r>
        <w:rPr>
          <w:rFonts w:ascii="Times New Roman" w:hAnsi="Times New Roman"/>
          <w:b w:val="false"/>
          <w:i w:val="false"/>
          <w:color w:val="000000"/>
          <w:sz w:val="21"/>
        </w:rPr>
        <w:t xml:space="preserve"> (Notice ARC 9215B, IAB 11/3/10)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1262C</w:t>
      </w:r>
      <w:r>
        <w:rPr>
          <w:rFonts w:ascii="Times New Roman" w:hAnsi="Times New Roman"/>
          <w:b w:val="false"/>
          <w:i w:val="false"/>
          <w:color w:val="000000"/>
          <w:sz w:val="21"/>
        </w:rPr>
        <w:t xml:space="preserve"> (Notice ARC 1045C, IAB 10/2/13)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6780C</w:t>
      </w:r>
      <w:r>
        <w:rPr>
          <w:rFonts w:ascii="Times New Roman" w:hAnsi="Times New Roman"/>
          <w:b w:val="false"/>
          <w:i w:val="false"/>
          <w:color w:val="000000"/>
          <w:sz w:val="21"/>
        </w:rPr>
        <w:t xml:space="preserve"> (Notice ARC 6622C, IAB 11/2/22)</w:t>
      </w:r>
      <w:r>
        <w:rPr>
          <w:rFonts w:ascii="Times New Roman" w:hAnsi="Times New Roman"/>
          <w:b w:val="false"/>
          <w:i w:val="false"/>
          <w:color w:val="000000"/>
          <w:sz w:val="21"/>
        </w:rPr>
        <w:t>, IAB 12/28/22,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5.1.pdf" Type="http://schemas.openxmlformats.org/officeDocument/2006/relationships/hyperlink" Id="rId5"/>
    <Relationship TargetMode="External" Target="https://www.legis.iowa.gov/docs/ico/chapter/598.1.pdf" Type="http://schemas.openxmlformats.org/officeDocument/2006/relationships/hyperlink" Id="rId6"/>
    <Relationship TargetMode="External" Target="https://www.legis.iowa.gov/docs/ico/chapter/252B.15.pdf" Type="http://schemas.openxmlformats.org/officeDocument/2006/relationships/hyperlink" Id="rId7"/>
    <Relationship TargetMode="External" Target="https://www.legis.iowa.gov/docs/ico/chapter/252D.16.pdf" Type="http://schemas.openxmlformats.org/officeDocument/2006/relationships/hyperlink" Id="rId8"/>
    <Relationship TargetMode="External" Target="https://www.legis.iowa.gov/docs/ico/chapter/252B.13A.pdf" Type="http://schemas.openxmlformats.org/officeDocument/2006/relationships/hyperlink" Id="rId9"/>
    <Relationship TargetMode="External" Target="https://www.legis.iowa.gov/docs/ico/chapter/252B.14.pdf" Type="http://schemas.openxmlformats.org/officeDocument/2006/relationships/hyperlink" Id="rId10"/>
    <Relationship TargetMode="External" Target="https://www.legis.iowa.gov/docs/ico/chapter/252G.1.pdf" Type="http://schemas.openxmlformats.org/officeDocument/2006/relationships/hyperlink" Id="rId11"/>
    <Relationship TargetMode="External" Target="https://www.legis.iowa.gov/docs/iac/rule/441.95.2.pdf" Type="http://schemas.openxmlformats.org/officeDocument/2006/relationships/hyperlink" Id="rId12"/>
    <Relationship TargetMode="External" Target="https://www.legis.iowa.gov/docs/iac/rule/441.95.2.pdf" Type="http://schemas.openxmlformats.org/officeDocument/2006/relationships/hyperlink" Id="rId13"/>
    <Relationship TargetMode="External" Target="https://www.legis.iowa.gov/docs/iac/rule/441.95.2.pdf" Type="http://schemas.openxmlformats.org/officeDocument/2006/relationships/hyperlink" Id="rId14"/>
    <Relationship TargetMode="External" Target="https://www.legis.iowa.gov/docs/ico/chapter/252D.16.pdf" Type="http://schemas.openxmlformats.org/officeDocument/2006/relationships/hyperlink" Id="rId15"/>
    <Relationship TargetMode="External" Target="https://www.legis.iowa.gov/docs/ico/chapter/252D.16.pdf" Type="http://schemas.openxmlformats.org/officeDocument/2006/relationships/hyperlink" Id="rId16"/>
    <Relationship TargetMode="External" Target="https://www.legis.iowa.gov/docs/ico/chapter/252B.2.pdf" Type="http://schemas.openxmlformats.org/officeDocument/2006/relationships/hyperlink" Id="rId17"/>
    <Relationship TargetMode="External" Target="https://www.legis.iowa.gov/docs/iac/rule/441.97.2.pdf" Type="http://schemas.openxmlformats.org/officeDocument/2006/relationships/hyperlink" Id="rId18"/>
    <Relationship TargetMode="External" Target="https://www.legis.iowa.gov/docs/iac/rule/441.97.2.pdf" Type="http://schemas.openxmlformats.org/officeDocument/2006/relationships/hyperlink" Id="rId19"/>
    <Relationship TargetMode="External" Target="https://www.legis.iowa.gov/docs/iac/rule/441.97.2.pdf" Type="http://schemas.openxmlformats.org/officeDocument/2006/relationships/hyperlink" Id="rId20"/>
    <Relationship TargetMode="External" Target="https://www.legis.iowa.gov/docs/iac/rule/441.97.3.pdf" Type="http://schemas.openxmlformats.org/officeDocument/2006/relationships/hyperlink" Id="rId21"/>
    <Relationship TargetMode="External" Target="https://www.legis.iowa.gov/docs/ico/chapter/252B.9.pdf" Type="http://schemas.openxmlformats.org/officeDocument/2006/relationships/hyperlink" Id="rId22"/>
    <Relationship TargetMode="External" Target="https://www.legis.iowa.gov/docs/iac/rule/441.97.5.pdf" Type="http://schemas.openxmlformats.org/officeDocument/2006/relationships/hyperlink" Id="rId23"/>
    <Relationship TargetMode="External" Target="https://www.legis.iowa.gov/docs/iac/rule/441.97.4.pdf" Type="http://schemas.openxmlformats.org/officeDocument/2006/relationships/hyperlink" Id="rId24"/>
    <Relationship TargetMode="External" Target="https://www.legis.iowa.gov/docs/iac/rule/441.97.5.pdf" Type="http://schemas.openxmlformats.org/officeDocument/2006/relationships/hyperlink" Id="rId25"/>
    <Relationship TargetMode="External" Target="https://www.legis.iowa.gov/docs/iac/rule/441.97.4.pdf" Type="http://schemas.openxmlformats.org/officeDocument/2006/relationships/hyperlink" Id="rId26"/>
    <Relationship TargetMode="External" Target="https://www.legis.iowa.gov/docs/iac/rule/441.97.6.pdf" Type="http://schemas.openxmlformats.org/officeDocument/2006/relationships/hyperlink" Id="rId27"/>
    <Relationship TargetMode="External" Target="https://www.legis.iowa.gov/docs/iac/rule/441.97.6.pdf" Type="http://schemas.openxmlformats.org/officeDocument/2006/relationships/hyperlink" Id="rId28"/>
    <Relationship TargetMode="External" Target="https://www.legis.iowa.gov/docs/iac/chapter/441.7.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52B.13A-17.pdf" Type="http://schemas.openxmlformats.org/officeDocument/2006/relationships/hyperlink" Id="rId31"/>
    <Relationship TargetMode="External" Target="https://www.legis.iowa.gov/docs/ico/chapter/252D.17.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