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X</w:t>
      </w:r>
    </w:p>
    <w:p>
      <w:pPr>
        <w:pBdr>
          <w:bottom w:space="3"/>
        </w:pBdr>
        <w:spacing w:before="0" w:after="0"/>
        <w:ind w:left="120"/>
        <w:jc w:val="center"/>
      </w:pPr>
      <w:r>
        <w:rPr>
          <w:rFonts w:ascii="Times New Roman" w:hAnsi="Times New Roman"/>
          <w:b w:val="false"/>
          <w:i/>
          <w:color w:val="000000"/>
          <w:sz w:val="16"/>
        </w:rPr>
        <w:t>SUPPORT RECOVERY</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95</w:t>
      </w:r>
    </w:p>
    <w:p>
      <w:pPr>
        <w:spacing w:before="0" w:after="0"/>
        <w:ind w:left="120"/>
        <w:jc w:val="center"/>
      </w:pPr>
      <w:r>
        <w:rPr>
          <w:rFonts w:ascii="Times New Roman" w:hAnsi="Times New Roman"/>
          <w:b w:val="false"/>
          <w:i w:val="false"/>
          <w:color w:val="000000"/>
          <w:sz w:val="21"/>
        </w:rPr>
        <w:t>COLLECTIONS</w:t>
      </w:r>
    </w:p>
    <w:p>
      <w:pPr>
        <w:spacing w:before="0" w:after="0"/>
        <w:ind w:left="120"/>
        <w:jc w:val="center"/>
      </w:pPr>
      <w:r>
        <w:rPr>
          <w:rFonts w:ascii="Times New Roman" w:hAnsi="Times New Roman"/>
          <w:b w:val="false"/>
          <w:i w:val="false"/>
          <w:color w:val="000000"/>
          <w:sz w:val="14"/>
        </w:rPr>
        <w:t>[Prior to 7/1/83, Social Services[770] Ch 95]</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441—95.1</w:t>
      </w:r>
      <w:r>
        <w:rPr>
          <w:rFonts w:ascii="Times New Roman" w:hAnsi="Times New Roman"/>
          <w:b/>
          <w:i w:val="false"/>
          <w:color w:val="000000"/>
          <w:sz w:val="22"/>
        </w:rPr>
        <w:t xml:space="preserve">(252B)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“Bureau chief” </w:t>
      </w:r>
      <w:r>
        <w:rPr>
          <w:rFonts w:ascii="Times New Roman" w:hAnsi="Times New Roman"/>
          <w:b w:val="false"/>
          <w:i w:val="false"/>
          <w:color w:val="000000"/>
          <w:sz w:val="22"/>
        </w:rPr>
        <w:t>shall mean the chief of the bureau of collections of the department of human services or the bureau chief’s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“Caretaker” </w:t>
      </w:r>
      <w:r>
        <w:rPr>
          <w:rFonts w:ascii="Times New Roman" w:hAnsi="Times New Roman"/>
          <w:b w:val="false"/>
          <w:i w:val="false"/>
          <w:color w:val="000000"/>
          <w:sz w:val="22"/>
        </w:rPr>
        <w:t xml:space="preserve">shall mean a custodial parent, relative or guardian whose needs are included in an assistance grant paid according to Iowa Code chapter </w:t>
      </w:r>
      <w:hyperlink r:id="rId5">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or who is receiving this assistance on behalf of a dependent child, or who is a recipient of nonassistance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support recovery unit” </w:t>
      </w:r>
      <w:r>
        <w:rPr>
          <w:rFonts w:ascii="Times New Roman" w:hAnsi="Times New Roman"/>
          <w:b w:val="false"/>
          <w:i w:val="false"/>
          <w:color w:val="000000"/>
          <w:sz w:val="22"/>
        </w:rPr>
        <w:t>shall mean any person, unit, or other agency which is charged with the responsibility for providing or assisting in the provision of child support enforcement services pursuant to Title IV-D of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 support” </w:t>
      </w:r>
      <w:r>
        <w:rPr>
          <w:rFonts w:ascii="Times New Roman" w:hAnsi="Times New Roman"/>
          <w:b w:val="false"/>
          <w:i w:val="false"/>
          <w:color w:val="000000"/>
          <w:sz w:val="22"/>
        </w:rPr>
        <w:t xml:space="preserve">shall mean those payments received in the amount, manner and frequency as specified by an order for support and which are paid to the clerk of the district court, the public agency designated as the distributor of support payments as in interstate cases, or another designated agency. Payments to persons other than the clerk of the district court or other designated agency do not satisfy the definition of support pursuant to Iowa Code section </w:t>
      </w:r>
      <w:hyperlink r:id="rId6">
        <w:r>
          <w:rPr>
            <w:rStyle w:val="Hyperlink"/>
            <w:rFonts w:ascii="Times New Roman" w:hAnsi="Times New Roman"/>
            <w:b w:val="false"/>
            <w:i w:val="false"/>
            <w:color w:val="000000"/>
            <w:sz w:val="22"/>
          </w:rPr>
          <w:t>598.22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“Date of collection” </w:t>
      </w:r>
      <w:r>
        <w:rPr>
          <w:rFonts w:ascii="Times New Roman" w:hAnsi="Times New Roman"/>
          <w:b w:val="false"/>
          <w:i w:val="false"/>
          <w:color w:val="000000"/>
          <w:sz w:val="22"/>
        </w:rPr>
        <w:t>shall mean the date that a support payment is received by the department or the legal entity of any state or political subdivision actually making the collection, or the date that a support payment is withheld from the income of a responsible person by an employer or other income provider,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shall mean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“Dependent child” </w:t>
      </w:r>
      <w:r>
        <w:rPr>
          <w:rFonts w:ascii="Times New Roman" w:hAnsi="Times New Roman"/>
          <w:b w:val="false"/>
          <w:i w:val="false"/>
          <w:color w:val="000000"/>
          <w:sz w:val="22"/>
        </w:rPr>
        <w:t xml:space="preserve">shall mean a person who meets the eligibility criteria established in Iowa Code chapter </w:t>
      </w:r>
      <w:hyperlink r:id="rId7">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and whose support is required by Iowa Code chapter </w:t>
      </w:r>
      <w:hyperlink r:id="rId9">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600B</w:t>
        </w:r>
      </w:hyperlink>
      <w:r>
        <w:rPr>
          <w:rFonts w:ascii="Times New Roman" w:hAnsi="Times New Roman"/>
          <w:b w:val="false"/>
          <w:i w:val="false"/>
          <w:color w:val="000000"/>
          <w:sz w:val="22"/>
        </w:rPr>
        <w:t>, and any other comparable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“Obligee” </w:t>
      </w:r>
      <w:r>
        <w:rPr>
          <w:rFonts w:ascii="Times New Roman" w:hAnsi="Times New Roman"/>
          <w:b w:val="false"/>
          <w:i w:val="false"/>
          <w:color w:val="000000"/>
          <w:sz w:val="22"/>
        </w:rPr>
        <w:t>shall mean any person or entity entitled to child support or medical support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“Obligor” </w:t>
      </w:r>
      <w:r>
        <w:rPr>
          <w:rFonts w:ascii="Times New Roman" w:hAnsi="Times New Roman"/>
          <w:b w:val="false"/>
          <w:i w:val="false"/>
          <w:color w:val="000000"/>
          <w:sz w:val="22"/>
        </w:rPr>
        <w:t>shall mean a parent, relative or guardian, or any other designated person who is legally liable for the support of a child or a child’s caretaker.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“Prepayment” </w:t>
      </w:r>
      <w:r>
        <w:rPr>
          <w:rFonts w:ascii="Times New Roman" w:hAnsi="Times New Roman"/>
          <w:b w:val="false"/>
          <w:i w:val="false"/>
          <w:color w:val="000000"/>
          <w:sz w:val="22"/>
        </w:rPr>
        <w:t>shall mean payment toward an ongoing support obligation when the payment exceeds the current support obligation and amounts due for past months are fully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assistance” </w:t>
      </w:r>
      <w:r>
        <w:rPr>
          <w:rFonts w:ascii="Times New Roman" w:hAnsi="Times New Roman"/>
          <w:b w:val="false"/>
          <w:i w:val="false"/>
          <w:color w:val="000000"/>
          <w:sz w:val="22"/>
        </w:rPr>
        <w:t xml:space="preserve">shall mean assistance provided according to Iowa Code chapter </w:t>
      </w:r>
      <w:hyperlink r:id="rId18">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the cost of foster care provided by the department according to chapter </w:t>
      </w:r>
      <w:hyperlink r:id="rId20">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or assistance provided under comparable laws of other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person” </w:t>
      </w:r>
      <w:r>
        <w:rPr>
          <w:rFonts w:ascii="Times New Roman" w:hAnsi="Times New Roman"/>
          <w:b w:val="false"/>
          <w:i w:val="false"/>
          <w:color w:val="000000"/>
          <w:sz w:val="22"/>
        </w:rPr>
        <w:t xml:space="preserve">shall mean a parent, relative or guardian, or any other designated person who is or may be declared to be legally liable for the support of a child or a child’s caretaker. For the purposes of calculating a support obligation pursuant to the mandatory child support guidelines prescribed by the Iowa Supreme Court in accordance with Iowa Code section </w:t>
      </w:r>
      <w:hyperlink r:id="rId21">
        <w:r>
          <w:rPr>
            <w:rStyle w:val="Hyperlink"/>
            <w:rFonts w:ascii="Times New Roman" w:hAnsi="Times New Roman"/>
            <w:b w:val="false"/>
            <w:i w:val="false"/>
            <w:color w:val="000000"/>
            <w:sz w:val="22"/>
          </w:rPr>
          <w:t>598.21B</w:t>
        </w:r>
      </w:hyperlink>
      <w:r>
        <w:rPr>
          <w:rFonts w:ascii="Times New Roman" w:hAnsi="Times New Roman"/>
          <w:b w:val="false"/>
          <w:i w:val="false"/>
          <w:color w:val="000000"/>
          <w:sz w:val="22"/>
        </w:rPr>
        <w:t>, this shall mean the person from whom support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w:t>
      </w:r>
      <w:r>
        <w:rPr>
          <w:rFonts w:ascii="Times New Roman" w:hAnsi="Times New Roman"/>
          <w:b w:val="false"/>
          <w:i w:val="false"/>
          <w:color w:val="000000"/>
          <w:sz w:val="22"/>
        </w:rPr>
        <w:t>shall mean child support or medical support or both for purposes of establishing, modifying or enforcing orders, and spousal support for purposes of enforcing an order.</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2">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1357C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 xml:space="preserve">; </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441—95.2</w:t>
      </w:r>
      <w:r>
        <w:rPr>
          <w:rFonts w:ascii="Times New Roman" w:hAnsi="Times New Roman"/>
          <w:b/>
          <w:i w:val="false"/>
          <w:color w:val="000000"/>
          <w:sz w:val="22"/>
        </w:rPr>
        <w:t xml:space="preserve">(252B) </w:t>
      </w:r>
      <w:r>
        <w:rPr>
          <w:rFonts w:ascii="Times New Roman" w:hAnsi="Times New Roman"/>
          <w:b/>
          <w:i w:val="false"/>
          <w:color w:val="000000"/>
          <w:sz w:val="22"/>
        </w:rPr>
        <w:t xml:space="preserve">Child support recovery eligibility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95.2(1)</w:t>
      </w:r>
      <w:r>
        <w:rPr>
          <w:rFonts w:ascii="Times New Roman" w:hAnsi="Times New Roman"/>
          <w:b w:val="false"/>
          <w:i w:val="false"/>
          <w:color w:val="000000"/>
          <w:sz w:val="22"/>
        </w:rPr>
        <w:t> </w:t>
      </w:r>
      <w:r>
        <w:rPr>
          <w:rFonts w:ascii="Times New Roman" w:hAnsi="Times New Roman"/>
          <w:b w:val="false"/>
          <w:i/>
          <w:color w:val="000000"/>
          <w:sz w:val="22"/>
        </w:rPr>
        <w:t xml:space="preserve">Public assistance cases. </w:t>
      </w:r>
      <w:r>
        <w:rPr>
          <w:rFonts w:ascii="Times New Roman" w:hAnsi="Times New Roman"/>
          <w:b w:val="false"/>
          <w:i w:val="false"/>
          <w:color w:val="000000"/>
          <w:sz w:val="22"/>
        </w:rPr>
        <w:t>The child support recovery unit shall provide paternity establishment and support establishment, modification and enforcement services, as appropriate, under federal and state laws and rules for children and families referred to the unit who have applied for or are receiving public assistance. Referrals under this subrule may be made by the family investment program, the Medicaid program, the foster care program or agencies of other states providing child support services under Title IV-D of the Social Security Act for recipients of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95.2(2)</w:t>
      </w:r>
      <w:r>
        <w:rPr>
          <w:rFonts w:ascii="Times New Roman" w:hAnsi="Times New Roman"/>
          <w:b w:val="false"/>
          <w:i w:val="false"/>
          <w:color w:val="000000"/>
          <w:sz w:val="22"/>
        </w:rPr>
        <w:t> </w:t>
      </w:r>
      <w:r>
        <w:rPr>
          <w:rFonts w:ascii="Times New Roman" w:hAnsi="Times New Roman"/>
          <w:b w:val="false"/>
          <w:i/>
          <w:color w:val="000000"/>
          <w:sz w:val="22"/>
        </w:rPr>
        <w:t xml:space="preserve">Nonpublic assistance cases. </w:t>
      </w:r>
      <w:r>
        <w:rPr>
          <w:rFonts w:ascii="Times New Roman" w:hAnsi="Times New Roman"/>
          <w:b w:val="false"/>
          <w:i w:val="false"/>
          <w:color w:val="000000"/>
          <w:sz w:val="22"/>
        </w:rPr>
        <w:t>The same services provided by the child support recovery unit for public assistance cases shall also be made available to any person not otherwise eligible for public assistance. The services shall be made available to persons upon the completion and filing of an application with the child support recovery unit except that an application shall not be required to provide services to the following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not receiving public assistance for whom an agency of another state providing Title IV-D child support recovery services has requested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for whom a foreign reciprocating country or a foreign country with which this state has an arrangement as provided in </w:t>
      </w:r>
      <w:r>
        <w:rPr>
          <w:rFonts w:ascii="Times New Roman" w:hAnsi="Times New Roman"/>
          <w:b w:val="false"/>
          <w:i w:val="false"/>
          <w:color w:val="000000"/>
          <w:sz w:val="22"/>
        </w:rPr>
        <w:t>42 U.S.C. §659</w:t>
      </w:r>
      <w:r>
        <w:rPr>
          <w:rFonts w:ascii="Times New Roman" w:hAnsi="Times New Roman"/>
          <w:b w:val="false"/>
          <w:i w:val="false"/>
          <w:color w:val="000000"/>
          <w:sz w:val="22"/>
        </w:rPr>
        <w:t xml:space="preserve"> has requested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who are eligible for continued services upon termination of assistance under the family investment program or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95.2(3)</w:t>
      </w:r>
      <w:r>
        <w:rPr>
          <w:rFonts w:ascii="Times New Roman" w:hAnsi="Times New Roman"/>
          <w:b w:val="false"/>
          <w:i w:val="false"/>
          <w:color w:val="000000"/>
          <w:sz w:val="22"/>
        </w:rPr>
        <w:t> </w:t>
      </w:r>
      <w:r>
        <w:rPr>
          <w:rFonts w:ascii="Times New Roman" w:hAnsi="Times New Roman"/>
          <w:b w:val="false"/>
          <w:i/>
          <w:color w:val="000000"/>
          <w:sz w:val="22"/>
        </w:rPr>
        <w:t xml:space="preserve">Services available. </w:t>
      </w:r>
      <w:r>
        <w:rPr>
          <w:rFonts w:ascii="Times New Roman" w:hAnsi="Times New Roman"/>
          <w:b w:val="false"/>
          <w:i w:val="false"/>
          <w:color w:val="000000"/>
          <w:sz w:val="22"/>
        </w:rPr>
        <w:t>Except as provided by separate rule, the child support recovery unit shall provide the same services as the unit provides for public assistance recipients to persons not otherwise eligible for services as public assistance recipients. The child support recovery unit shall determine the appropriate enforcement procedure to be used. The services are limited to the establishment of paternity, the establishment and enforcement of child support obligations and medical support obligations, and the enforcement of spousal support orders if the spouse is the custodial parent of a child for whom the department is enforcing a child support or medical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95.2(4)</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services. </w:t>
      </w:r>
      <w:r>
        <w:rPr>
          <w:rFonts w:ascii="Times New Roman" w:hAnsi="Times New Roman"/>
          <w:b w:val="false"/>
          <w:i w:val="false"/>
          <w:color w:val="000000"/>
          <w:sz w:val="22"/>
        </w:rPr>
        <w:t xml:space="preserve">A person who is not on public assistance requesting services under this chapter, except for those persons eligible to receive support services under paragraphs </w:t>
      </w:r>
      <w:r>
        <w:rPr>
          <w:rFonts w:ascii="Times New Roman" w:hAnsi="Times New Roman"/>
          <w:b w:val="false"/>
          <w:i w:val="false"/>
          <w:color w:val="000000"/>
          <w:sz w:val="22"/>
        </w:rPr>
        <w:t>95.2(2)</w:t>
      </w:r>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shall complete and submit to the child support recovery unit Form 470-0188, or an electronic version of such application, for each parent from whom the person is seeking support. The person requesting services has the option to seek support from one or both of the child’s parents.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4901C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441—95.3</w:t>
      </w:r>
      <w:r>
        <w:rPr>
          <w:rFonts w:ascii="Times New Roman" w:hAnsi="Times New Roman"/>
          <w:b/>
          <w:i w:val="false"/>
          <w:color w:val="000000"/>
          <w:sz w:val="22"/>
        </w:rPr>
        <w:t xml:space="preserve">(252B) </w:t>
      </w:r>
      <w:r>
        <w:rPr>
          <w:rFonts w:ascii="Times New Roman" w:hAnsi="Times New Roman"/>
          <w:b/>
          <w:i w:val="false"/>
          <w:color w:val="000000"/>
          <w:sz w:val="22"/>
        </w:rPr>
        <w:t xml:space="preserve">Crediting of current and delinquent support. </w:t>
      </w:r>
      <w:r>
        <w:rPr>
          <w:rFonts w:ascii="Times New Roman" w:hAnsi="Times New Roman"/>
          <w:b w:val="false"/>
          <w:i w:val="false"/>
          <w:color w:val="000000"/>
          <w:sz w:val="22"/>
        </w:rPr>
        <w:t xml:space="preserve">The amounts received as support from the obligor shall be credited as the required support obligation for the month in which they are collected. Any excess shall be credited as delinquent payments and shall be applied to the immediately preceding month, and then to the next immediately preceding month until all excess has been applied. Funds received as a result of federal tax offsets shall be credited according to rule </w:t>
      </w:r>
      <w:hyperlink r:id="rId27">
        <w:r>
          <w:rPr>
            <w:rStyle w:val="Hyperlink"/>
            <w:rFonts w:ascii="Times New Roman" w:hAnsi="Times New Roman"/>
            <w:b w:val="false"/>
            <w:i w:val="false"/>
            <w:color w:val="000000"/>
            <w:sz w:val="22"/>
          </w:rPr>
          <w:t>441—98.84</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The date of collection shall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95.3(1)</w:t>
      </w:r>
      <w:r>
        <w:rPr>
          <w:rFonts w:ascii="Times New Roman" w:hAnsi="Times New Roman"/>
          <w:b w:val="false"/>
          <w:i w:val="false"/>
          <w:color w:val="000000"/>
          <w:sz w:val="22"/>
        </w:rPr>
        <w:t> </w:t>
      </w:r>
      <w:r>
        <w:rPr>
          <w:rFonts w:ascii="Times New Roman" w:hAnsi="Times New Roman"/>
          <w:b w:val="false"/>
          <w:i/>
          <w:color w:val="000000"/>
          <w:sz w:val="22"/>
        </w:rPr>
        <w:t xml:space="preserve">Payments from income withholding. </w:t>
      </w:r>
      <w:r>
        <w:rPr>
          <w:rFonts w:ascii="Times New Roman" w:hAnsi="Times New Roman"/>
          <w:b w:val="false"/>
          <w:i w:val="false"/>
          <w:color w:val="000000"/>
          <w:sz w:val="22"/>
        </w:rPr>
        <w:t>Payments collected as the result of income withholding are considered collected in the month in which the income was withheld by the income provider. The date of collection shall be the date on which the income was withheld.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 of reporting the date the income was withheld, the department shall notify income providers of the requirement to report the date income was withheld and shall provide Form 470-3221 to those income providers who manually remit payments. When reported on this form or through other electronic means or multiple account listings, the date of collection shall be used to determine support distributions. When the date of collection is not reported, support distributions shall initially be issued based on the date of the check. If proof of the date of collection is subsequently provided, any additional payments due the recipient shall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collection services center (CSC) is notified or otherwise becomes aware that a payment received from an income provider pursuant to </w:t>
      </w:r>
      <w:hyperlink r:id="rId28">
        <w:r>
          <w:rPr>
            <w:rStyle w:val="Hyperlink"/>
            <w:rFonts w:ascii="Times New Roman" w:hAnsi="Times New Roman"/>
            <w:b w:val="false"/>
            <w:i w:val="false"/>
            <w:color w:val="000000"/>
            <w:sz w:val="22"/>
          </w:rPr>
          <w:t>441—Chapter 98</w:t>
        </w:r>
      </w:hyperlink>
      <w:r>
        <w:rPr>
          <w:rFonts w:ascii="Times New Roman" w:hAnsi="Times New Roman"/>
          <w:b w:val="false"/>
          <w:i w:val="false"/>
          <w:color w:val="000000"/>
          <w:sz w:val="22"/>
        </w:rPr>
        <w:t>, Division II, includes payment amounts such as vacation pay or severance pay, these amounts are considered irrevocably withheld in the months documented by the income provider. When the income provider does not document the months for which the sums are withheld, the amounts shall initially be distributed based on the date of the check. If documentation is subsequently provided, any additional payments due the recipient shall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95.3(2)</w:t>
      </w:r>
      <w:r>
        <w:rPr>
          <w:rFonts w:ascii="Times New Roman" w:hAnsi="Times New Roman"/>
          <w:b w:val="false"/>
          <w:i w:val="false"/>
          <w:color w:val="000000"/>
          <w:sz w:val="22"/>
        </w:rPr>
        <w:t> </w:t>
      </w:r>
      <w:r>
        <w:rPr>
          <w:rFonts w:ascii="Times New Roman" w:hAnsi="Times New Roman"/>
          <w:b w:val="false"/>
          <w:i/>
          <w:color w:val="000000"/>
          <w:sz w:val="22"/>
        </w:rPr>
        <w:t xml:space="preserve">Payments from state or political subdivisions. </w:t>
      </w:r>
      <w:r>
        <w:rPr>
          <w:rFonts w:ascii="Times New Roman" w:hAnsi="Times New Roman"/>
          <w:b w:val="false"/>
          <w:i w:val="false"/>
          <w:color w:val="000000"/>
          <w:sz w:val="22"/>
        </w:rPr>
        <w:t>Payments collected from any state or political subdivision are considered collected in the same month the payments were actually received by that legal entity or the month withheld by an income provider, whichever is earlier. Any state or political subdivision transmitting payments to the department shall be responsible for reporting the date the payments were collected. When the date of collection is not reported, support distributions shall be initially issued based on the date of the state’s or political subdivision’s check. If proof of the date of collection is subsequently provided, any additional payments due the recipient shall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95.3(3)</w:t>
      </w:r>
      <w:r>
        <w:rPr>
          <w:rFonts w:ascii="Times New Roman" w:hAnsi="Times New Roman"/>
          <w:b w:val="false"/>
          <w:i w:val="false"/>
          <w:color w:val="000000"/>
          <w:sz w:val="22"/>
        </w:rPr>
        <w:t> </w:t>
      </w:r>
      <w:r>
        <w:rPr>
          <w:rFonts w:ascii="Times New Roman" w:hAnsi="Times New Roman"/>
          <w:b w:val="false"/>
          <w:i/>
          <w:color w:val="000000"/>
          <w:sz w:val="22"/>
        </w:rPr>
        <w:t xml:space="preserve">Additional payments. </w:t>
      </w:r>
      <w:r>
        <w:rPr>
          <w:rFonts w:ascii="Times New Roman" w:hAnsi="Times New Roman"/>
          <w:b w:val="false"/>
          <w:i w:val="false"/>
          <w:color w:val="000000"/>
          <w:sz w:val="22"/>
        </w:rPr>
        <w:t>An additional payment in the month which is received within five calendar days prior to the end of the month shall be considered collected in the next month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CSC is notified or otherwise becomes aware that the payment is for the next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Support for the current month is fully paid.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252B.15</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252D.17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 xml:space="preserve">; </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441—95.4</w:t>
      </w:r>
      <w:r>
        <w:rPr>
          <w:rFonts w:ascii="Times New Roman" w:hAnsi="Times New Roman"/>
          <w:b/>
          <w:i w:val="false"/>
          <w:color w:val="000000"/>
          <w:sz w:val="22"/>
        </w:rPr>
        <w:t xml:space="preserve">(252B) </w:t>
      </w:r>
      <w:r>
        <w:rPr>
          <w:rFonts w:ascii="Times New Roman" w:hAnsi="Times New Roman"/>
          <w:b/>
          <w:i w:val="false"/>
          <w:color w:val="000000"/>
          <w:sz w:val="22"/>
        </w:rPr>
        <w:t xml:space="preserve">Prepayment of support. </w:t>
      </w:r>
      <w:r>
        <w:rPr>
          <w:rFonts w:ascii="Times New Roman" w:hAnsi="Times New Roman"/>
          <w:b w:val="false"/>
          <w:i w:val="false"/>
          <w:color w:val="000000"/>
          <w:sz w:val="22"/>
        </w:rPr>
        <w:t>Prepayment which is due to the child support obligee shall be sent to the obligee upon receipt by the department, and shall be credited as payment of future months’ support. Prepayment which is due the state shall be distributed as if it were received in the month when due. Support is prepaid when amounts have been collected which fully satisfy the ongoing support obligation for the current month and all past months.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252B.14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441—95.5</w:t>
      </w:r>
      <w:r>
        <w:rPr>
          <w:rFonts w:ascii="Times New Roman" w:hAnsi="Times New Roman"/>
          <w:b/>
          <w:i w:val="false"/>
          <w:color w:val="000000"/>
          <w:sz w:val="22"/>
        </w:rPr>
        <w:t xml:space="preserve">(252B) </w:t>
      </w:r>
      <w:r>
        <w:rPr>
          <w:rFonts w:ascii="Times New Roman" w:hAnsi="Times New Roman"/>
          <w:b/>
          <w:i w:val="false"/>
          <w:color w:val="000000"/>
          <w:sz w:val="22"/>
        </w:rPr>
        <w:t xml:space="preserve">Lump sum settlement.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95.5(1)</w:t>
      </w:r>
      <w:r>
        <w:rPr>
          <w:rFonts w:ascii="Times New Roman" w:hAnsi="Times New Roman"/>
          <w:b w:val="false"/>
          <w:i w:val="false"/>
          <w:color w:val="000000"/>
          <w:sz w:val="22"/>
        </w:rPr>
        <w:t> </w:t>
      </w:r>
      <w:r>
        <w:rPr>
          <w:rFonts w:ascii="Times New Roman" w:hAnsi="Times New Roman"/>
          <w:b w:val="false"/>
          <w:i w:val="false"/>
          <w:color w:val="000000"/>
          <w:sz w:val="22"/>
        </w:rPr>
        <w:t xml:space="preserve">Any lump sum settlement of child support involving an assignment of child support payments shall be negotiated in conjunction with the child support recovery unit. The child support recovery unit shall be responsible for the determination of the amount due the department, including any accrued interest on the support debt computed in accordance with Iowa Code section </w:t>
      </w:r>
      <w:hyperlink r:id="rId32">
        <w:r>
          <w:rPr>
            <w:rStyle w:val="Hyperlink"/>
            <w:rFonts w:ascii="Times New Roman" w:hAnsi="Times New Roman"/>
            <w:b w:val="false"/>
            <w:i w:val="false"/>
            <w:color w:val="000000"/>
            <w:sz w:val="22"/>
          </w:rPr>
          <w:t>535.3</w:t>
        </w:r>
      </w:hyperlink>
      <w:r>
        <w:rPr>
          <w:rFonts w:ascii="Times New Roman" w:hAnsi="Times New Roman"/>
          <w:b w:val="false"/>
          <w:i w:val="false"/>
          <w:color w:val="000000"/>
          <w:sz w:val="22"/>
        </w:rPr>
        <w:t xml:space="preserve"> for court judgments. This determination of the amount due shall be made in accordance with Section 302.51, Code of Federal Regulations, Title 45 as amended to September 1, 2022. The bureau chief may waive collection of the accrued interest when negotiating a lump sum settlement of a support debt, if the waiver will facilitate the collection of the support debt.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95.5(2)</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be responsible for the determination of the department’s entitlement to all or any of the lump sum payment in a paternity action.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3">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441—95.6</w:t>
      </w:r>
      <w:r>
        <w:rPr>
          <w:rFonts w:ascii="Times New Roman" w:hAnsi="Times New Roman"/>
          <w:b/>
          <w:i w:val="false"/>
          <w:color w:val="000000"/>
          <w:sz w:val="22"/>
        </w:rPr>
        <w:t xml:space="preserve">(252B) </w:t>
      </w:r>
      <w:r>
        <w:rPr>
          <w:rFonts w:ascii="Times New Roman" w:hAnsi="Times New Roman"/>
          <w:b/>
          <w:i w:val="false"/>
          <w:color w:val="000000"/>
          <w:sz w:val="22"/>
        </w:rPr>
        <w:t xml:space="preserve">Offset against state income tax refund or rebate. </w:t>
      </w:r>
      <w:r>
        <w:rPr>
          <w:rFonts w:ascii="Times New Roman" w:hAnsi="Times New Roman"/>
          <w:b w:val="false"/>
          <w:i w:val="false"/>
          <w:color w:val="000000"/>
          <w:sz w:val="22"/>
        </w:rPr>
        <w:t xml:space="preserve">Rescinded </w:t>
      </w:r>
      <w:r>
        <w:rPr>
          <w:rFonts w:ascii="Times New Roman" w:hAnsi="Times New Roman"/>
          <w:b/>
          <w:i w:val="false"/>
          <w:color w:val="000000"/>
          <w:sz w:val="22"/>
        </w:rPr>
        <w:t>ARC 5417C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2/10/21</w:t>
      </w:r>
      <w:r>
        <w:rPr>
          <w:rFonts w:ascii="Times New Roman" w:hAnsi="Times New Roman"/>
          <w:b w:val="false"/>
          <w:i w:val="false"/>
          <w:color w:val="000000"/>
          <w:sz w:val="22"/>
        </w:rPr>
        <w:t xml:space="preserve">, effective 4/1/21. </w:t>
      </w:r>
    </w:p>
    <w:p>
      <w:pPr>
        <w:spacing w:before="210" w:after="0"/>
        <w:ind w:left="120"/>
        <w:jc w:val="both"/>
      </w:pPr>
      <w:r>
        <w:rPr>
          <w:rFonts w:ascii="Times New Roman" w:hAnsi="Times New Roman"/>
          <w:b/>
          <w:i w:val="false"/>
          <w:color w:val="000000"/>
          <w:sz w:val="22"/>
        </w:rPr>
        <w:t>441—95.7</w:t>
      </w:r>
      <w:r>
        <w:rPr>
          <w:rFonts w:ascii="Times New Roman" w:hAnsi="Times New Roman"/>
          <w:b/>
          <w:i w:val="false"/>
          <w:color w:val="000000"/>
          <w:sz w:val="22"/>
        </w:rPr>
        <w:t xml:space="preserve">(252B) </w:t>
      </w:r>
      <w:r>
        <w:rPr>
          <w:rFonts w:ascii="Times New Roman" w:hAnsi="Times New Roman"/>
          <w:b/>
          <w:i w:val="false"/>
          <w:color w:val="000000"/>
          <w:sz w:val="22"/>
        </w:rPr>
        <w:t xml:space="preserve">Offset against federal income tax refund and federal nontax payment. </w:t>
      </w:r>
      <w:r>
        <w:rPr>
          <w:rFonts w:ascii="Times New Roman" w:hAnsi="Times New Roman"/>
          <w:b w:val="false"/>
          <w:i w:val="false"/>
          <w:color w:val="000000"/>
          <w:sz w:val="22"/>
        </w:rPr>
        <w:t xml:space="preserve">Rescinded </w:t>
      </w:r>
      <w:r>
        <w:rPr>
          <w:rFonts w:ascii="Times New Roman" w:hAnsi="Times New Roman"/>
          <w:b/>
          <w:i w:val="false"/>
          <w:color w:val="000000"/>
          <w:sz w:val="22"/>
        </w:rPr>
        <w:t>ARC 5417C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2/10/21</w:t>
      </w:r>
      <w:r>
        <w:rPr>
          <w:rFonts w:ascii="Times New Roman" w:hAnsi="Times New Roman"/>
          <w:b w:val="false"/>
          <w:i w:val="false"/>
          <w:color w:val="000000"/>
          <w:sz w:val="22"/>
        </w:rPr>
        <w:t xml:space="preserve">, effective 4/1/21. </w:t>
      </w:r>
    </w:p>
    <w:p>
      <w:pPr>
        <w:spacing w:before="210" w:after="0"/>
        <w:ind w:left="120"/>
        <w:jc w:val="both"/>
      </w:pPr>
      <w:r>
        <w:rPr>
          <w:rFonts w:ascii="Times New Roman" w:hAnsi="Times New Roman"/>
          <w:b/>
          <w:i w:val="false"/>
          <w:color w:val="000000"/>
          <w:sz w:val="22"/>
        </w:rPr>
        <w:t>441—95.8</w:t>
      </w:r>
      <w:r>
        <w:rPr>
          <w:rFonts w:ascii="Times New Roman" w:hAnsi="Times New Roman"/>
          <w:b/>
          <w:i w:val="false"/>
          <w:color w:val="000000"/>
          <w:sz w:val="22"/>
        </w:rPr>
        <w:t xml:space="preserve">(96) </w:t>
      </w:r>
      <w:r>
        <w:rPr>
          <w:rFonts w:ascii="Times New Roman" w:hAnsi="Times New Roman"/>
          <w:b/>
          <w:i w:val="false"/>
          <w:color w:val="000000"/>
          <w:sz w:val="22"/>
        </w:rPr>
        <w:t xml:space="preserve">Child support offset of unemployment insurance benefits.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5417C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2/10/21</w:t>
      </w:r>
      <w:r>
        <w:rPr>
          <w:rFonts w:ascii="Times New Roman" w:hAnsi="Times New Roman"/>
          <w:b w:val="false"/>
          <w:i w:val="false"/>
          <w:color w:val="000000"/>
          <w:sz w:val="22"/>
        </w:rPr>
        <w:t xml:space="preserve">, effective 4/1/21. </w:t>
      </w:r>
    </w:p>
    <w:p>
      <w:pPr>
        <w:spacing w:before="210" w:after="0"/>
        <w:ind w:left="120"/>
        <w:jc w:val="both"/>
      </w:pPr>
      <w:r>
        <w:rPr>
          <w:rFonts w:ascii="Times New Roman" w:hAnsi="Times New Roman"/>
          <w:b/>
          <w:i w:val="false"/>
          <w:color w:val="000000"/>
          <w:sz w:val="22"/>
        </w:rPr>
        <w:t>441—95.9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441—95.10</w:t>
      </w:r>
      <w:r>
        <w:rPr>
          <w:rFonts w:ascii="Times New Roman" w:hAnsi="Times New Roman"/>
          <w:b/>
          <w:i w:val="false"/>
          <w:color w:val="000000"/>
          <w:sz w:val="22"/>
        </w:rPr>
        <w:t xml:space="preserve">(252C) </w:t>
      </w:r>
      <w:r>
        <w:rPr>
          <w:rFonts w:ascii="Times New Roman" w:hAnsi="Times New Roman"/>
          <w:b/>
          <w:i w:val="false"/>
          <w:color w:val="000000"/>
          <w:sz w:val="22"/>
        </w:rPr>
        <w:t xml:space="preserve">Mandatory assignment of wages.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9/5/90</w:t>
      </w:r>
      <w:r>
        <w:rPr>
          <w:rFonts w:ascii="Times New Roman" w:hAnsi="Times New Roman"/>
          <w:b w:val="false"/>
          <w:i w:val="false"/>
          <w:color w:val="000000"/>
          <w:sz w:val="22"/>
        </w:rPr>
        <w:t>, effective 11/1/90.</w:t>
      </w:r>
    </w:p>
    <w:p>
      <w:pPr>
        <w:spacing w:before="210" w:after="0"/>
        <w:ind w:left="120"/>
        <w:jc w:val="both"/>
      </w:pPr>
      <w:r>
        <w:rPr>
          <w:rFonts w:ascii="Times New Roman" w:hAnsi="Times New Roman"/>
          <w:b/>
          <w:i w:val="false"/>
          <w:color w:val="000000"/>
          <w:sz w:val="22"/>
        </w:rPr>
        <w:t>441—95.11</w:t>
      </w:r>
      <w:r>
        <w:rPr>
          <w:rFonts w:ascii="Times New Roman" w:hAnsi="Times New Roman"/>
          <w:b/>
          <w:i w:val="false"/>
          <w:color w:val="000000"/>
          <w:sz w:val="22"/>
        </w:rPr>
        <w:t xml:space="preserve">(252C) </w:t>
      </w:r>
      <w:r>
        <w:rPr>
          <w:rFonts w:ascii="Times New Roman" w:hAnsi="Times New Roman"/>
          <w:b/>
          <w:i w:val="false"/>
          <w:color w:val="000000"/>
          <w:sz w:val="22"/>
        </w:rPr>
        <w:t xml:space="preserve">Establishment of an administrative order.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9/1/93</w:t>
      </w:r>
      <w:r>
        <w:rPr>
          <w:rFonts w:ascii="Times New Roman" w:hAnsi="Times New Roman"/>
          <w:b w:val="false"/>
          <w:i w:val="false"/>
          <w:color w:val="000000"/>
          <w:sz w:val="22"/>
        </w:rPr>
        <w:t xml:space="preserve">, effective 11/1/93. See </w:t>
      </w:r>
      <w:hyperlink r:id="rId34">
        <w:r>
          <w:rPr>
            <w:rStyle w:val="Hyperlink"/>
            <w:rFonts w:ascii="Times New Roman" w:hAnsi="Times New Roman"/>
            <w:b w:val="false"/>
            <w:i w:val="false"/>
            <w:color w:val="000000"/>
            <w:sz w:val="22"/>
          </w:rPr>
          <w:t>441—99.41</w:t>
        </w:r>
      </w:hyperlink>
      <w:r>
        <w:rPr>
          <w:rFonts w:ascii="Times New Roman" w:hAnsi="Times New Roman"/>
          <w:b w:val="false"/>
          <w:i w:val="false"/>
          <w:color w:val="000000"/>
          <w:sz w:val="22"/>
        </w:rPr>
        <w:t>(252C).</w:t>
      </w:r>
    </w:p>
    <w:p>
      <w:pPr>
        <w:spacing w:before="210" w:after="0"/>
        <w:ind w:left="120"/>
        <w:jc w:val="both"/>
      </w:pPr>
      <w:r>
        <w:rPr>
          <w:rFonts w:ascii="Times New Roman" w:hAnsi="Times New Roman"/>
          <w:b/>
          <w:i w:val="false"/>
          <w:color w:val="000000"/>
          <w:sz w:val="22"/>
        </w:rPr>
        <w:t>441—95.12</w:t>
      </w:r>
      <w:r>
        <w:rPr>
          <w:rFonts w:ascii="Times New Roman" w:hAnsi="Times New Roman"/>
          <w:b/>
          <w:i w:val="false"/>
          <w:color w:val="000000"/>
          <w:sz w:val="22"/>
        </w:rPr>
        <w:t xml:space="preserve">(252B) </w:t>
      </w:r>
      <w:r>
        <w:rPr>
          <w:rFonts w:ascii="Times New Roman" w:hAnsi="Times New Roman"/>
          <w:b/>
          <w:i w:val="false"/>
          <w:color w:val="000000"/>
          <w:sz w:val="22"/>
        </w:rPr>
        <w:t xml:space="preserve">Procedures for providing information to consumer reporting agencies.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5417C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2/10/21</w:t>
      </w:r>
      <w:r>
        <w:rPr>
          <w:rFonts w:ascii="Times New Roman" w:hAnsi="Times New Roman"/>
          <w:b w:val="false"/>
          <w:i w:val="false"/>
          <w:color w:val="000000"/>
          <w:sz w:val="22"/>
        </w:rPr>
        <w:t xml:space="preserve">, effective 4/1/21. </w:t>
      </w:r>
    </w:p>
    <w:p>
      <w:pPr>
        <w:spacing w:before="0" w:after="0"/>
        <w:ind w:left="120"/>
        <w:jc w:val="both"/>
      </w:pPr>
      <w:r>
        <w:rPr>
          <w:rFonts w:ascii="Times New Roman" w:hAnsi="Times New Roman"/>
          <w:b/>
          <w:i w:val="false"/>
          <w:color w:val="000000"/>
          <w:sz w:val="22"/>
        </w:rPr>
        <w:t>441—95.13</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Nonreceipt of support collected by the department that is to be paid to the obligee may be appealed pursuant to the procedures provided in this rule if the obligee claims that the payment was credited to the incorrect month in accordance with subrules </w:t>
      </w:r>
      <w:hyperlink r:id="rId35">
        <w:r>
          <w:rPr>
            <w:rStyle w:val="Hyperlink"/>
            <w:rFonts w:ascii="Times New Roman" w:hAnsi="Times New Roman"/>
            <w:b w:val="false"/>
            <w:i w:val="false"/>
            <w:color w:val="000000"/>
            <w:sz w:val="22"/>
          </w:rPr>
          <w:t>95.3(1)</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95.3(2)</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95.3(3)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95.13(1)</w:t>
      </w:r>
      <w:r>
        <w:rPr>
          <w:rFonts w:ascii="Times New Roman" w:hAnsi="Times New Roman"/>
          <w:b w:val="false"/>
          <w:i w:val="false"/>
          <w:color w:val="000000"/>
          <w:sz w:val="22"/>
        </w:rPr>
        <w:t> </w:t>
      </w:r>
      <w:r>
        <w:rPr>
          <w:rFonts w:ascii="Times New Roman" w:hAnsi="Times New Roman"/>
          <w:b w:val="false"/>
          <w:i/>
          <w:color w:val="000000"/>
          <w:sz w:val="22"/>
        </w:rPr>
        <w:t xml:space="preserve">Contact with department. </w:t>
      </w:r>
      <w:r>
        <w:rPr>
          <w:rFonts w:ascii="Times New Roman" w:hAnsi="Times New Roman"/>
          <w:b w:val="false"/>
          <w:i w:val="false"/>
          <w:color w:val="000000"/>
          <w:sz w:val="22"/>
        </w:rPr>
        <w:t xml:space="preserve">Obligees who believe they have not received all or part of a support payment to which they are entitled in accordance with subrules </w:t>
      </w:r>
      <w:hyperlink r:id="rId38">
        <w:r>
          <w:rPr>
            <w:rStyle w:val="Hyperlink"/>
            <w:rFonts w:ascii="Times New Roman" w:hAnsi="Times New Roman"/>
            <w:b w:val="false"/>
            <w:i w:val="false"/>
            <w:color w:val="000000"/>
            <w:sz w:val="22"/>
          </w:rPr>
          <w:t>95.3(1)</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95.3(2)</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95.3(3)</w:t>
        </w:r>
      </w:hyperlink>
      <w:r>
        <w:rPr>
          <w:rFonts w:ascii="Times New Roman" w:hAnsi="Times New Roman"/>
          <w:b w:val="false"/>
          <w:i w:val="false"/>
          <w:color w:val="000000"/>
          <w:sz w:val="22"/>
        </w:rPr>
        <w:t xml:space="preserve"> must first contact a customer service representative and indicate that they have not received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obligee may contact a customer service representative by telephone or by writing to the Collection Services Center, P.O. Box 9243, 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acknowledge this contact in writing, indicating the months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95.13(2)</w:t>
      </w:r>
      <w:r>
        <w:rPr>
          <w:rFonts w:ascii="Times New Roman" w:hAnsi="Times New Roman"/>
          <w:b w:val="false"/>
          <w:i w:val="false"/>
          <w:color w:val="000000"/>
          <w:sz w:val="22"/>
        </w:rPr>
        <w:t> </w:t>
      </w:r>
      <w:r>
        <w:rPr>
          <w:rFonts w:ascii="Times New Roman" w:hAnsi="Times New Roman"/>
          <w:b w:val="false"/>
          <w:i/>
          <w:color w:val="000000"/>
          <w:sz w:val="22"/>
        </w:rPr>
        <w:t xml:space="preserve">Written decision. </w:t>
      </w:r>
      <w:r>
        <w:rPr>
          <w:rFonts w:ascii="Times New Roman" w:hAnsi="Times New Roman"/>
          <w:b w:val="false"/>
          <w:i w:val="false"/>
          <w:color w:val="000000"/>
          <w:sz w:val="22"/>
        </w:rPr>
        <w:t>Within 30 days of the contact, the department shall issue a written decision on all contested support distributions based on the date of collection.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95.13(3)</w:t>
      </w:r>
      <w:r>
        <w:rPr>
          <w:rFonts w:ascii="Times New Roman" w:hAnsi="Times New Roman"/>
          <w:b w:val="false"/>
          <w:i w:val="false"/>
          <w:color w:val="000000"/>
          <w:sz w:val="22"/>
        </w:rPr>
        <w:t> </w:t>
      </w:r>
      <w:r>
        <w:rPr>
          <w:rFonts w:ascii="Times New Roman" w:hAnsi="Times New Roman"/>
          <w:b w:val="false"/>
          <w:i/>
          <w:color w:val="000000"/>
          <w:sz w:val="22"/>
        </w:rPr>
        <w:t xml:space="preserve">Initiation of appeal. </w:t>
      </w:r>
      <w:r>
        <w:rPr>
          <w:rFonts w:ascii="Times New Roman" w:hAnsi="Times New Roman"/>
          <w:b w:val="false"/>
          <w:i w:val="false"/>
          <w:color w:val="000000"/>
          <w:sz w:val="22"/>
        </w:rPr>
        <w:t>If the department denies some or all support payments that are claimed based on the date of collection, the obligee may initiate an administrative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initiate an administrative appeal, the obligee shall make a written request to the child support recovery unit indicating an intent to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 limit for initiating an administrative appeal shall be governed by </w:t>
      </w:r>
      <w:hyperlink r:id="rId41">
        <w:r>
          <w:rPr>
            <w:rStyle w:val="Hyperlink"/>
            <w:rFonts w:ascii="Times New Roman" w:hAnsi="Times New Roman"/>
            <w:b w:val="false"/>
            <w:i w:val="false"/>
            <w:color w:val="000000"/>
            <w:sz w:val="22"/>
          </w:rPr>
          <w:t>441—subrule 7.4(3)</w:t>
        </w:r>
      </w:hyperlink>
      <w:r>
        <w:rPr>
          <w:rFonts w:ascii="Times New Roman" w:hAnsi="Times New Roman"/>
          <w:b w:val="false"/>
          <w:i w:val="false"/>
          <w:color w:val="000000"/>
          <w:sz w:val="22"/>
        </w:rPr>
        <w:t xml:space="preserve">. The time limit provided in </w:t>
      </w:r>
      <w:hyperlink r:id="rId42">
        <w:r>
          <w:rPr>
            <w:rStyle w:val="Hyperlink"/>
            <w:rFonts w:ascii="Times New Roman" w:hAnsi="Times New Roman"/>
            <w:b w:val="false"/>
            <w:i w:val="false"/>
            <w:color w:val="000000"/>
            <w:sz w:val="22"/>
          </w:rPr>
          <w:t>441—subrule 7.4(3)</w:t>
        </w:r>
      </w:hyperlink>
      <w:r>
        <w:rPr>
          <w:rFonts w:ascii="Times New Roman" w:hAnsi="Times New Roman"/>
          <w:b w:val="false"/>
          <w:i w:val="false"/>
          <w:color w:val="000000"/>
          <w:sz w:val="22"/>
        </w:rPr>
        <w:t xml:space="preserve"> shall start with the date that a written decision as required by subrule </w:t>
      </w:r>
      <w:hyperlink r:id="rId43">
        <w:r>
          <w:rPr>
            <w:rStyle w:val="Hyperlink"/>
            <w:rFonts w:ascii="Times New Roman" w:hAnsi="Times New Roman"/>
            <w:b w:val="false"/>
            <w:i w:val="false"/>
            <w:color w:val="000000"/>
            <w:sz w:val="22"/>
          </w:rPr>
          <w:t>95.13(2)</w:t>
        </w:r>
      </w:hyperlink>
      <w:r>
        <w:rPr>
          <w:rFonts w:ascii="Times New Roman" w:hAnsi="Times New Roman"/>
          <w:b w:val="false"/>
          <w:i w:val="false"/>
          <w:color w:val="000000"/>
          <w:sz w:val="22"/>
        </w:rPr>
        <w:t xml:space="preserv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no written decision has been issued after 30 days, the obligee may appeal the failure to issue a written decision. The appeal may be initiated at any time after 30 days and before a written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95.13(4)</w:t>
      </w:r>
      <w:r>
        <w:rPr>
          <w:rFonts w:ascii="Times New Roman" w:hAnsi="Times New Roman"/>
          <w:b w:val="false"/>
          <w:i w:val="false"/>
          <w:color w:val="000000"/>
          <w:sz w:val="22"/>
        </w:rPr>
        <w:t> </w:t>
      </w:r>
      <w:r>
        <w:rPr>
          <w:rFonts w:ascii="Times New Roman" w:hAnsi="Times New Roman"/>
          <w:b w:val="false"/>
          <w:i/>
          <w:color w:val="000000"/>
          <w:sz w:val="22"/>
        </w:rPr>
        <w:t xml:space="preserve">Limitation of appeals. </w:t>
      </w:r>
      <w:r>
        <w:rPr>
          <w:rFonts w:ascii="Times New Roman" w:hAnsi="Times New Roman"/>
          <w:b w:val="false"/>
          <w:i w:val="false"/>
          <w:color w:val="000000"/>
          <w:sz w:val="22"/>
        </w:rPr>
        <w:t>Appeals will be limited to claims based on child support received by the department during the nine-month period before the month in which the appeal is initiated.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95.13(5)</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r>
        <w:rPr>
          <w:rFonts w:ascii="Times New Roman" w:hAnsi="Times New Roman"/>
          <w:b w:val="false"/>
          <w:i w:val="false"/>
          <w:color w:val="000000"/>
          <w:sz w:val="22"/>
        </w:rPr>
        <w:t xml:space="preserve">Except as specifically provided in this rule, administrative appeals shall be governed by </w:t>
      </w:r>
      <w:hyperlink r:id="rId4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95.13(6)</w:t>
      </w:r>
      <w:r>
        <w:rPr>
          <w:rFonts w:ascii="Times New Roman" w:hAnsi="Times New Roman"/>
          <w:b w:val="false"/>
          <w:i w:val="false"/>
          <w:color w:val="000000"/>
          <w:sz w:val="22"/>
        </w:rPr>
        <w:t> </w:t>
      </w:r>
      <w:r>
        <w:rPr>
          <w:rFonts w:ascii="Times New Roman" w:hAnsi="Times New Roman"/>
          <w:b w:val="false"/>
          <w:i/>
          <w:color w:val="000000"/>
          <w:sz w:val="22"/>
        </w:rPr>
        <w:t xml:space="preserve">Appeal issue. </w:t>
      </w:r>
      <w:r>
        <w:rPr>
          <w:rFonts w:ascii="Times New Roman" w:hAnsi="Times New Roman"/>
          <w:b w:val="false"/>
          <w:i w:val="false"/>
          <w:color w:val="000000"/>
          <w:sz w:val="22"/>
        </w:rPr>
        <w:t>The issue in appeals held pursuant to these procedures shall be limited to the obligee’s entitlement to a support payment that has been collected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5">
        <w:r>
          <w:rPr>
            <w:rStyle w:val="Hyperlink"/>
            <w:rFonts w:ascii="Times New Roman" w:hAnsi="Times New Roman"/>
            <w:b w:val="false"/>
            <w:i w:val="false"/>
            <w:color w:val="000000"/>
            <w:sz w:val="22"/>
          </w:rPr>
          <w:t>17A.12 to 17A.20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 xml:space="preserve">; </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441—95.14</w:t>
      </w:r>
      <w:r>
        <w:rPr>
          <w:rFonts w:ascii="Times New Roman" w:hAnsi="Times New Roman"/>
          <w:b/>
          <w:i w:val="false"/>
          <w:color w:val="000000"/>
          <w:sz w:val="22"/>
        </w:rPr>
        <w:t xml:space="preserve">(252B) </w:t>
      </w:r>
      <w:r>
        <w:rPr>
          <w:rFonts w:ascii="Times New Roman" w:hAnsi="Times New Roman"/>
          <w:b/>
          <w:i w:val="false"/>
          <w:color w:val="000000"/>
          <w:sz w:val="22"/>
        </w:rPr>
        <w:t xml:space="preserve">Termination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95.14(1)</w:t>
      </w:r>
      <w:r>
        <w:rPr>
          <w:rFonts w:ascii="Times New Roman" w:hAnsi="Times New Roman"/>
          <w:b w:val="false"/>
          <w:i w:val="false"/>
          <w:color w:val="000000"/>
          <w:sz w:val="22"/>
        </w:rPr>
        <w:t> </w:t>
      </w:r>
      <w:r>
        <w:rPr>
          <w:rFonts w:ascii="Times New Roman" w:hAnsi="Times New Roman"/>
          <w:b w:val="false"/>
          <w:i/>
          <w:color w:val="000000"/>
          <w:sz w:val="22"/>
        </w:rPr>
        <w:t xml:space="preserve">Case closure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may terminate services when the case meets at least one of the following case closure criteria and the child support recovery unit maintains supporting documentation for the case closure decision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no ongoing support obligation, and arrearages are under $500 or unenforceable under state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noncustodial parent or alleged father is deceased, and no further action, including a levy against the estate, can be taken.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noncustodial parent is living with the minor child as the primary caregiver, the custodial parent is deceased, and there is no assignment to the state of support or of arrearages that accrued under the support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cannot establish paternity because: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is at least 18 years old and the statute of limitations bars an action to establish paternity;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genetic test or a court or administrative process has excluded the alleged father and no other alleged father can be identified;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has determined that it would not be in the best interest of the child to establish paternity in a case that involves incest or rape or a case in which legal proceedings for adoption are pending;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identity of the biological father is unknown and cannot be identified after diligent efforts, including at least one interview by the child support recovery unit with the recipient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parent’s location is unknown and the child support recovery unit has made diligent efforts to locate the noncustodial parent using multiple sources, in accordance with regulations in 45 CFR 303.3 as amended to September 1, 2022, all of which have been unsuccessful, within the applicable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 a three-year period when there is sufficient information to initiate an automated locate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 a one-year period when there is not sufficient information to initiate an automated locate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support recovery unit has determined that, throughout the duration of the child’s minority (or after the child has reached the age of majority), the noncustodial parent cannot pay support and shows no evidence of support potential because the parent has been institutionalized in a psychiatric facility, is incarcerated, or has a medically verified total and permanent disability. The child support recovery unit must also determine that the noncustodial parent has no income or assets available above the subsistence level that could be levied or attached for support.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noncustodial parent’s sole income is from supplemental security income (SSI)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noncustodial parent is a citizen of and lives in a foreign country, does not work for the federal government or a company with headquarters or offices in the United States, and has no reachable domestic income or assets, and there is no federal or state treaty or reciprocity with the country.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case involving child support services to a person who is not a recipient of public assistance, the child support recovery unit has provided location-only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has received a written or verbal request from the recipient of services to close the case, and there is no assignment to the state of support or of arrearages that accrued under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case involving child support services to a recipient of public assistance, there has been a finding of good cause or other exception in a public assistance case as specified in </w:t>
      </w:r>
      <w:hyperlink r:id="rId46">
        <w:r>
          <w:rPr>
            <w:rStyle w:val="Hyperlink"/>
            <w:rFonts w:ascii="Times New Roman" w:hAnsi="Times New Roman"/>
            <w:b w:val="false"/>
            <w:i w:val="false"/>
            <w:color w:val="000000"/>
            <w:sz w:val="22"/>
          </w:rPr>
          <w:t>441—subrules 41.22(8) through 41.22(12)</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441—subrule 75.14(3)</w:t>
        </w:r>
      </w:hyperlink>
      <w:r>
        <w:rPr>
          <w:rFonts w:ascii="Times New Roman" w:hAnsi="Times New Roman"/>
          <w:b w:val="false"/>
          <w:i w:val="false"/>
          <w:color w:val="000000"/>
          <w:sz w:val="22"/>
        </w:rPr>
        <w:t>, including a determination that support enforcement may not proceed without risk or harm to the child or caretaker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case involving child support services to a person who is not a recipient of public assistance or who is a recipient of public assistance receiving Medicaid only, the child support recovery unit has received information that the address in the unit’s record is no longer current and the unit is unable to contact or otherwise locate the recipient within 60 days following receipt of this information, despite a good-faith effort to contact the recipient through at least two different methods.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case involving child support services to a person who is not a recipient of public assistance or who is a recipient of public assistance receiving Medicaid only, the recipient of services has failed to cooperate with the child support recovery unit, which documented the circumstances of the noncooperation, and an action by the recipient of services is essential for the next step in providing services. (See rule </w:t>
      </w:r>
      <w:hyperlink r:id="rId48">
        <w:r>
          <w:rPr>
            <w:rStyle w:val="Hyperlink"/>
            <w:rFonts w:ascii="Times New Roman" w:hAnsi="Times New Roman"/>
            <w:b w:val="false"/>
            <w:i w:val="false"/>
            <w:color w:val="000000"/>
            <w:sz w:val="22"/>
          </w:rPr>
          <w:t>441—95.19</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support recovery unit documents failure by the initiating agency, as defined under 45 CFR 301.1 as amended to September 1, 2022, to take an action that is essential for the next step in providing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initiating agency, as defined under 45 CFR 301.1 as amended to September 1, 2022, has notified the child support recovery unit that the initiating agency has closed its case.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initiating agency, as defined under 45 CFR 301.1 as amended to September 1, 2022, has notified the child support recovery unit that its intergovernmental services are no longer needed.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Another assistance program, including IV-A, IV-E, SNAP, and Medicaid, has referred to the child support recovery unit a case for which it is inappropriate to establish, enforce, or continue to enforce a child support order and the custodial or noncustodial parent has not applied for child support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case meets any other basis for case closure based upon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may terminate services when no support or arrearages that accrued under the support order are assigned to the state and the recipient of services requested the child support recovery unit to close the case to allow the tribal IV-D agency to start providing services under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must close a case and maintain supporting documentation for the case closure decision when the following criteria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is notified that the child is eligible for health care services from the Indian Health Service (IHS);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IV-D case was opened because of a Medicaid referral based solely upon health care services, including the Purchased/Referred Care Program, provided through an Indian health program (as defined at </w:t>
      </w:r>
      <w:r>
        <w:rPr>
          <w:rFonts w:ascii="Times New Roman" w:hAnsi="Times New Roman"/>
          <w:b w:val="false"/>
          <w:i w:val="false"/>
          <w:color w:val="000000"/>
          <w:sz w:val="22"/>
        </w:rPr>
        <w:t>25 U.S.C. 1603(12)</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recipient of services requested the child support recovery unit to close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receives instructions for case closure from an initiating agency, as defined under 45 CFR 301.1 as amended to September 1, 2022. Within ten working days, the child support recovery unit must stop the income withholding order or notice and close the intergovernmental IV-D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95.14(2)</w:t>
      </w:r>
      <w:r>
        <w:rPr>
          <w:rFonts w:ascii="Times New Roman" w:hAnsi="Times New Roman"/>
          <w:b w:val="false"/>
          <w:i w:val="false"/>
          <w:color w:val="000000"/>
          <w:sz w:val="22"/>
        </w:rPr>
        <w:t> </w:t>
      </w:r>
      <w:r>
        <w:rPr>
          <w:rFonts w:ascii="Times New Roman" w:hAnsi="Times New Roman"/>
          <w:b w:val="false"/>
          <w:i/>
          <w:color w:val="000000"/>
          <w:sz w:val="22"/>
        </w:rPr>
        <w:t xml:space="preserve">Case closure notifications. </w:t>
      </w:r>
      <w:r>
        <w:rPr>
          <w:rFonts w:ascii="Times New Roman" w:hAnsi="Times New Roman"/>
          <w:b w:val="false"/>
          <w:i w:val="false"/>
          <w:color w:val="000000"/>
          <w:sz w:val="22"/>
        </w:rPr>
        <w:t xml:space="preserve">In cases meeting one of the criteria of subrule </w:t>
      </w:r>
      <w:hyperlink r:id="rId49">
        <w:r>
          <w:rPr>
            <w:rStyle w:val="Hyperlink"/>
            <w:rFonts w:ascii="Times New Roman" w:hAnsi="Times New Roman"/>
            <w:b w:val="false"/>
            <w:i w:val="false"/>
            <w:color w:val="000000"/>
            <w:sz w:val="22"/>
          </w:rPr>
          <w:t>95.14(1)</w:t>
        </w:r>
      </w:hyperlink>
      <w:r>
        <w:rPr>
          <w:rFonts w:ascii="Times New Roman" w:hAnsi="Times New Roman"/>
          <w:b w:val="false"/>
          <w:i w:val="false"/>
          <w:color w:val="000000"/>
          <w:sz w:val="22"/>
        </w:rPr>
        <w:t xml:space="preserve">, except subparagraph </w:t>
      </w:r>
      <w:hyperlink r:id="rId50">
        <w:r>
          <w:rPr>
            <w:rStyle w:val="Hyperlink"/>
            <w:rFonts w:ascii="Times New Roman" w:hAnsi="Times New Roman"/>
            <w:b w:val="false"/>
            <w:i w:val="false"/>
            <w:color w:val="000000"/>
            <w:sz w:val="22"/>
          </w:rPr>
          <w:t>95.14(1)</w:t>
        </w:r>
      </w:hyperlink>
      <w:r>
        <w:rPr>
          <w:rFonts w:ascii="Times New Roman" w:hAnsi="Times New Roman"/>
          <w:b w:val="false"/>
          <w:i/>
          <w:color w:val="000000"/>
          <w:sz w:val="22"/>
        </w:rPr>
        <w:t>“a”</w:t>
      </w:r>
      <w:r>
        <w:rPr>
          <w:rFonts w:ascii="Times New Roman" w:hAnsi="Times New Roman"/>
          <w:b w:val="false"/>
          <w:i w:val="false"/>
          <w:color w:val="000000"/>
          <w:sz w:val="22"/>
        </w:rPr>
        <w:t xml:space="preserve">(9), (10), or (11), the child support recovery unit shall send notification of its intent to close the case to the recipient of services or the initiating agency, as defined under 45 CFR 301.1 as amended to September 1, 2022, in writing 60 calendar days before case closure. The notice shall be sent to the recipient of services or the state requesting services at the last-known address stating the reason for denying or terminating services, the effective date, and an explanation of the right to request a hearing according to </w:t>
      </w:r>
      <w:hyperlink r:id="rId5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Closure of the case following notification is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in response to the notice, the recipient of services or the initiating agency, as defined under 45 CFR 301.1 as amended to September 1, 2022, supplies information which could lead to the establishment of paternity or a support order or enforcement of an order, the case shall be kept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case is to be closed because the child support recovery unit was unable to contact the recipient of services as provided in </w:t>
      </w:r>
      <w:hyperlink r:id="rId52">
        <w:r>
          <w:rPr>
            <w:rStyle w:val="Hyperlink"/>
            <w:rFonts w:ascii="Times New Roman" w:hAnsi="Times New Roman"/>
            <w:b w:val="false"/>
            <w:i w:val="false"/>
            <w:color w:val="000000"/>
            <w:sz w:val="22"/>
          </w:rPr>
          <w:t>subparagraph 95.14(1)</w:t>
        </w:r>
      </w:hyperlink>
      <w:r>
        <w:rPr>
          <w:rFonts w:ascii="Times New Roman" w:hAnsi="Times New Roman"/>
          <w:b w:val="false"/>
          <w:i/>
          <w:color w:val="000000"/>
          <w:sz w:val="22"/>
        </w:rPr>
        <w:t>“a”</w:t>
      </w:r>
      <w:r>
        <w:rPr>
          <w:rFonts w:ascii="Times New Roman" w:hAnsi="Times New Roman"/>
          <w:b w:val="false"/>
          <w:i w:val="false"/>
          <w:color w:val="000000"/>
          <w:sz w:val="22"/>
        </w:rPr>
        <w:t>(12), the case shall be kept open if contact is reestablished with the recipient of services before the effective date of the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recipient of services may request to have the child support recovery unit reopen the case at a later date if there is a change in circumstances which could lead to the establishment of paternity or a support order or enforcement of an order by completing a new application and paying any applicable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notices under this subrule, if the recipient of services specifically authorizes consent for electronic notifications, the child support recovery unit may elect to notify the recipient of services electronically of the child support recovery unit’s intent to close the case. The child support recovery unit must maintain documentation of the recipient’s consent in the case record.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3">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252B.6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3719C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441—95.15</w:t>
      </w:r>
      <w:r>
        <w:rPr>
          <w:rFonts w:ascii="Times New Roman" w:hAnsi="Times New Roman"/>
          <w:b/>
          <w:i w:val="false"/>
          <w:color w:val="000000"/>
          <w:sz w:val="22"/>
        </w:rPr>
        <w:t xml:space="preserve">(252B) </w:t>
      </w:r>
      <w:r>
        <w:rPr>
          <w:rFonts w:ascii="Times New Roman" w:hAnsi="Times New Roman"/>
          <w:b/>
          <w:i w:val="false"/>
          <w:color w:val="000000"/>
          <w:sz w:val="22"/>
        </w:rPr>
        <w:t xml:space="preserve">Child support recovery unit attorney.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95.15(1)</w:t>
      </w:r>
      <w:r>
        <w:rPr>
          <w:rFonts w:ascii="Times New Roman" w:hAnsi="Times New Roman"/>
          <w:b w:val="false"/>
          <w:i w:val="false"/>
          <w:color w:val="000000"/>
          <w:sz w:val="22"/>
        </w:rPr>
        <w:t> </w:t>
      </w:r>
      <w:r>
        <w:rPr>
          <w:rFonts w:ascii="Times New Roman" w:hAnsi="Times New Roman"/>
          <w:b w:val="false"/>
          <w:i/>
          <w:color w:val="000000"/>
          <w:sz w:val="22"/>
        </w:rPr>
        <w:t xml:space="preserve">State’s representative. </w:t>
      </w:r>
      <w:r>
        <w:rPr>
          <w:rFonts w:ascii="Times New Roman" w:hAnsi="Times New Roman"/>
          <w:b w:val="false"/>
          <w:i w:val="false"/>
          <w:color w:val="000000"/>
          <w:sz w:val="22"/>
        </w:rPr>
        <w:t xml:space="preserve">An assistant attorney general, assistant county attorney, or independent contract attorney employed by or under contract with the child support recovery unit represents only the state of Iowa. The sole attorney-client relationship for the child support recovery unit attorney is between the attorney and the state of Iowa. A private attorney acting under Iowa Code section </w:t>
      </w:r>
      <w:hyperlink r:id="rId56">
        <w:r>
          <w:rPr>
            <w:rStyle w:val="Hyperlink"/>
            <w:rFonts w:ascii="Times New Roman" w:hAnsi="Times New Roman"/>
            <w:b w:val="false"/>
            <w:i w:val="false"/>
            <w:color w:val="000000"/>
            <w:sz w:val="22"/>
          </w:rPr>
          <w:t>252B.6A</w:t>
        </w:r>
      </w:hyperlink>
      <w:r>
        <w:rPr>
          <w:rFonts w:ascii="Times New Roman" w:hAnsi="Times New Roman"/>
          <w:b w:val="false"/>
          <w:i w:val="false"/>
          <w:color w:val="000000"/>
          <w:sz w:val="22"/>
        </w:rPr>
        <w:t xml:space="preserve"> is not a child support recovery unit attorney, and is not a party to the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95.15(2)</w:t>
      </w:r>
      <w:r>
        <w:rPr>
          <w:rFonts w:ascii="Times New Roman" w:hAnsi="Times New Roman"/>
          <w:b w:val="false"/>
          <w:i w:val="false"/>
          <w:color w:val="000000"/>
          <w:sz w:val="22"/>
        </w:rPr>
        <w:t> </w:t>
      </w:r>
      <w:r>
        <w:rPr>
          <w:rFonts w:ascii="Times New Roman" w:hAnsi="Times New Roman"/>
          <w:b w:val="false"/>
          <w:i/>
          <w:color w:val="000000"/>
          <w:sz w:val="22"/>
        </w:rPr>
        <w:t xml:space="preserve">Provision of services. </w:t>
      </w:r>
      <w:r>
        <w:rPr>
          <w:rFonts w:ascii="Times New Roman" w:hAnsi="Times New Roman"/>
          <w:b w:val="false"/>
          <w:i w:val="false"/>
          <w:color w:val="000000"/>
          <w:sz w:val="22"/>
        </w:rPr>
        <w:t>The special role of the child support recovery unit attorney is limited by the attorney-client relationship between the attorney and the state of Iowa. The provision of legal services by the child support recovery unit attorney is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attorney shall not represent any person or entity other than the state of Iowa in the course of the attorney’s employment by or contractual relationship with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issue written disclosure of the attorney-client relationship between the attorney and the state of Iowa to recipients of child support enforcement services and to all parties in a review and adjustment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95.15(3)</w:t>
      </w:r>
      <w:r>
        <w:rPr>
          <w:rFonts w:ascii="Times New Roman" w:hAnsi="Times New Roman"/>
          <w:b w:val="false"/>
          <w:i w:val="false"/>
          <w:color w:val="000000"/>
          <w:sz w:val="22"/>
        </w:rPr>
        <w:t> </w:t>
      </w:r>
      <w:r>
        <w:rPr>
          <w:rFonts w:ascii="Times New Roman" w:hAnsi="Times New Roman"/>
          <w:b w:val="false"/>
          <w:i/>
          <w:color w:val="000000"/>
          <w:sz w:val="22"/>
        </w:rPr>
        <w:t xml:space="preserve">Communication concerning case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provide case status information upon written request by any recipient of child support enforcement services or any party under the review and adjustment procedure, unless otherwise prohibited by state or federal statute or rules pertaining to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communications with other parties will be directed to those parties personally, unless a licensed attorney has entered an appearance or notified the child support recovery unit in writing that the attorney is representing a party. If any party is represented by counsel, all communications shall be directed to counsel for that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party is receiving public assistance, the unit shall refer any suspected fraud or questionable family investment program expenditures to the appropriate governmental agencies.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7">
        <w:r>
          <w:rPr>
            <w:rStyle w:val="Hyperlink"/>
            <w:rFonts w:ascii="Times New Roman" w:hAnsi="Times New Roman"/>
            <w:b w:val="false"/>
            <w:i w:val="false"/>
            <w:color w:val="000000"/>
            <w:sz w:val="22"/>
          </w:rPr>
          <w:t>252B.5 to 252B.7</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598.21C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441—95.16</w:t>
      </w:r>
      <w:r>
        <w:rPr>
          <w:rFonts w:ascii="Times New Roman" w:hAnsi="Times New Roman"/>
          <w:b/>
          <w:i w:val="false"/>
          <w:color w:val="000000"/>
          <w:sz w:val="22"/>
        </w:rPr>
        <w:t xml:space="preserve">(252B) </w:t>
      </w:r>
      <w:r>
        <w:rPr>
          <w:rFonts w:ascii="Times New Roman" w:hAnsi="Times New Roman"/>
          <w:b/>
          <w:i w:val="false"/>
          <w:color w:val="000000"/>
          <w:sz w:val="22"/>
        </w:rPr>
        <w:t xml:space="preserve">Handling and use of federal 1099 information.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6778C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12/28/22</w:t>
      </w:r>
      <w:r>
        <w:rPr>
          <w:rFonts w:ascii="Times New Roman" w:hAnsi="Times New Roman"/>
          <w:b w:val="false"/>
          <w:i w:val="false"/>
          <w:color w:val="000000"/>
          <w:sz w:val="22"/>
        </w:rPr>
        <w:t xml:space="preserve">, effective 2/1/23. </w:t>
      </w:r>
    </w:p>
    <w:p>
      <w:pPr>
        <w:spacing w:before="0" w:after="0"/>
        <w:ind w:left="120"/>
        <w:jc w:val="both"/>
      </w:pPr>
      <w:r>
        <w:rPr>
          <w:rFonts w:ascii="Times New Roman" w:hAnsi="Times New Roman"/>
          <w:b/>
          <w:i w:val="false"/>
          <w:color w:val="000000"/>
          <w:sz w:val="22"/>
        </w:rPr>
        <w:t>441—95.17</w:t>
      </w:r>
      <w:r>
        <w:rPr>
          <w:rFonts w:ascii="Times New Roman" w:hAnsi="Times New Roman"/>
          <w:b/>
          <w:i w:val="false"/>
          <w:color w:val="000000"/>
          <w:sz w:val="22"/>
        </w:rPr>
        <w:t xml:space="preserve">(252B) </w:t>
      </w:r>
      <w:r>
        <w:rPr>
          <w:rFonts w:ascii="Times New Roman" w:hAnsi="Times New Roman"/>
          <w:b/>
          <w:i w:val="false"/>
          <w:color w:val="000000"/>
          <w:sz w:val="22"/>
        </w:rPr>
        <w:t xml:space="preserve">Effective date of support. </w:t>
      </w:r>
      <w:r>
        <w:rPr>
          <w:rFonts w:ascii="Times New Roman" w:hAnsi="Times New Roman"/>
          <w:b w:val="false"/>
          <w:i w:val="false"/>
          <w:color w:val="000000"/>
          <w:sz w:val="22"/>
        </w:rPr>
        <w:t>For all original orders established by the child support recovery unit, the effective date of the support obligation under the orders shall be the twentieth day following the date the order is prepared by the unit, unless otherwise specified.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252B.14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441—95.18</w:t>
      </w:r>
      <w:r>
        <w:rPr>
          <w:rFonts w:ascii="Times New Roman" w:hAnsi="Times New Roman"/>
          <w:b/>
          <w:i w:val="false"/>
          <w:color w:val="000000"/>
          <w:sz w:val="22"/>
        </w:rPr>
        <w:t xml:space="preserve">(252B) </w:t>
      </w:r>
      <w:r>
        <w:rPr>
          <w:rFonts w:ascii="Times New Roman" w:hAnsi="Times New Roman"/>
          <w:b/>
          <w:i w:val="false"/>
          <w:color w:val="000000"/>
          <w:sz w:val="22"/>
        </w:rPr>
        <w:t xml:space="preserve">Continued services available to canceled family investment program (FIP) or Medicaid recipients. </w:t>
      </w:r>
      <w:r>
        <w:rPr>
          <w:rFonts w:ascii="Times New Roman" w:hAnsi="Times New Roman"/>
          <w:b w:val="false"/>
          <w:i w:val="false"/>
          <w:color w:val="000000"/>
          <w:sz w:val="22"/>
        </w:rPr>
        <w:t xml:space="preserve">Support services shall automatically be provided to persons who were eligible to receive support services as recipients of FIP or Medicaid and who were canceled from FIP or Medicaid. Continued support services shall not be provided to a person who has been canceled from FIP or Medicaid when a claim of good cause, as defined at </w:t>
      </w:r>
      <w:hyperlink r:id="rId60">
        <w:r>
          <w:rPr>
            <w:rStyle w:val="Hyperlink"/>
            <w:rFonts w:ascii="Times New Roman" w:hAnsi="Times New Roman"/>
            <w:b w:val="false"/>
            <w:i w:val="false"/>
            <w:color w:val="000000"/>
            <w:sz w:val="22"/>
          </w:rPr>
          <w:t>441—Chapter 41</w:t>
        </w:r>
      </w:hyperlink>
      <w:r>
        <w:rPr>
          <w:rFonts w:ascii="Times New Roman" w:hAnsi="Times New Roman"/>
          <w:b w:val="false"/>
          <w:i w:val="false"/>
          <w:color w:val="000000"/>
          <w:sz w:val="22"/>
        </w:rPr>
        <w:t xml:space="preserve"> or </w:t>
      </w:r>
      <w:hyperlink r:id="rId61">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as appropriate, was valid at the time assistance was canceled or when one of the reasons for termination of services, listed at rule </w:t>
      </w:r>
      <w:hyperlink r:id="rId62">
        <w:r>
          <w:rPr>
            <w:rStyle w:val="Hyperlink"/>
            <w:rFonts w:ascii="Times New Roman" w:hAnsi="Times New Roman"/>
            <w:b w:val="false"/>
            <w:i w:val="false"/>
            <w:color w:val="000000"/>
            <w:sz w:val="22"/>
          </w:rPr>
          <w:t>441—95.14</w:t>
        </w:r>
      </w:hyperlink>
      <w:r>
        <w:rPr>
          <w:rFonts w:ascii="Times New Roman" w:hAnsi="Times New Roman"/>
          <w:b w:val="false"/>
          <w:i w:val="false"/>
          <w:color w:val="000000"/>
          <w:sz w:val="22"/>
        </w:rPr>
        <w:t>(252B), applies to the case.</w:t>
      </w:r>
    </w:p>
    <w:p>
      <w:pPr>
        <w:spacing w:before="0" w:after="0"/>
        <w:ind w:left="120"/>
        <w:jc w:val="both"/>
      </w:pPr>
      <w:r>
        <w:rPr>
          <w:rFonts w:ascii="Times New Roman" w:hAnsi="Times New Roman"/>
          <w:b w:val="false"/>
          <w:i w:val="false"/>
          <w:color w:val="000000"/>
          <w:sz w:val="22"/>
        </w:rPr>
        <w:t>Support services shall be provided to eligible persons without application or application fee, but subject to applicable enforcement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95.18(1)</w:t>
      </w:r>
      <w:r>
        <w:rPr>
          <w:rFonts w:ascii="Times New Roman" w:hAnsi="Times New Roman"/>
          <w:b w:val="false"/>
          <w:i w:val="false"/>
          <w:color w:val="000000"/>
          <w:sz w:val="22"/>
        </w:rPr>
        <w:t> </w:t>
      </w:r>
      <w:r>
        <w:rPr>
          <w:rFonts w:ascii="Times New Roman" w:hAnsi="Times New Roman"/>
          <w:b w:val="false"/>
          <w:i/>
          <w:color w:val="000000"/>
          <w:sz w:val="22"/>
        </w:rPr>
        <w:t xml:space="preserve">Notice of services. </w:t>
      </w:r>
      <w:r>
        <w:rPr>
          <w:rFonts w:ascii="Times New Roman" w:hAnsi="Times New Roman"/>
          <w:b w:val="false"/>
          <w:i w:val="false"/>
          <w:color w:val="000000"/>
          <w:sz w:val="22"/>
        </w:rPr>
        <w:t>When a family is no longer eligible for public assistance, the department shall forward Form 470-1981 to the family’s last-known address within five working days of the notification of ineligibility, to inform the family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unless the family notifies the department to the contrary, services will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 the effect of continuing to receive support services, including the available services and the state’s policies on fees, cost recovery, and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95.18(2)</w:t>
      </w:r>
      <w:r>
        <w:rPr>
          <w:rFonts w:ascii="Times New Roman" w:hAnsi="Times New Roman"/>
          <w:b w:val="false"/>
          <w:i w:val="false"/>
          <w:color w:val="000000"/>
          <w:sz w:val="22"/>
        </w:rPr>
        <w:t> </w:t>
      </w:r>
      <w:r>
        <w:rPr>
          <w:rFonts w:ascii="Times New Roman" w:hAnsi="Times New Roman"/>
          <w:b w:val="false"/>
          <w:i/>
          <w:color w:val="000000"/>
          <w:sz w:val="22"/>
        </w:rPr>
        <w:t xml:space="preserve">Termination of services. </w:t>
      </w:r>
      <w:r>
        <w:rPr>
          <w:rFonts w:ascii="Times New Roman" w:hAnsi="Times New Roman"/>
          <w:b w:val="false"/>
          <w:i w:val="false"/>
          <w:color w:val="000000"/>
          <w:sz w:val="22"/>
        </w:rPr>
        <w:t>A person may request the department to terminate support services at any time by the completion and return of the appropriate portion of Form 470-1981, or in any other form of written communication, to the child support recovery unit.</w:t>
      </w:r>
    </w:p>
    <w:p>
      <w:pPr>
        <w:spacing w:before="0" w:after="0"/>
        <w:ind w:left="120"/>
        <w:jc w:val="both"/>
      </w:pPr>
      <w:r>
        <w:rPr>
          <w:rFonts w:ascii="Times New Roman" w:hAnsi="Times New Roman"/>
          <w:b w:val="false"/>
          <w:i w:val="false"/>
          <w:color w:val="000000"/>
          <w:sz w:val="22"/>
        </w:rPr>
        <w:t xml:space="preserve">Continued support services may be terminated at any time for any of the reasons listed in rule </w:t>
      </w:r>
      <w:hyperlink r:id="rId63">
        <w:r>
          <w:rPr>
            <w:rStyle w:val="Hyperlink"/>
            <w:rFonts w:ascii="Times New Roman" w:hAnsi="Times New Roman"/>
            <w:b w:val="false"/>
            <w:i w:val="false"/>
            <w:color w:val="000000"/>
            <w:sz w:val="22"/>
          </w:rPr>
          <w:t>441—95.14</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95.18(3)</w:t>
      </w:r>
      <w:r>
        <w:rPr>
          <w:rFonts w:ascii="Times New Roman" w:hAnsi="Times New Roman"/>
          <w:b w:val="false"/>
          <w:i w:val="false"/>
          <w:color w:val="000000"/>
          <w:sz w:val="22"/>
        </w:rPr>
        <w:t> </w:t>
      </w:r>
      <w:r>
        <w:rPr>
          <w:rFonts w:ascii="Times New Roman" w:hAnsi="Times New Roman"/>
          <w:b w:val="false"/>
          <w:i/>
          <w:color w:val="000000"/>
          <w:sz w:val="22"/>
        </w:rPr>
        <w:t xml:space="preserve">Reapplication for services. </w:t>
      </w:r>
      <w:r>
        <w:rPr>
          <w:rFonts w:ascii="Times New Roman" w:hAnsi="Times New Roman"/>
          <w:b w:val="false"/>
          <w:i w:val="false"/>
          <w:color w:val="000000"/>
          <w:sz w:val="22"/>
        </w:rPr>
        <w:t xml:space="preserve">A person whose services were denied or terminated may reapply for services under this chapter by completing the application process described in subrule </w:t>
      </w:r>
      <w:hyperlink r:id="rId64">
        <w:r>
          <w:rPr>
            <w:rStyle w:val="Hyperlink"/>
            <w:rFonts w:ascii="Times New Roman" w:hAnsi="Times New Roman"/>
            <w:b w:val="false"/>
            <w:i w:val="false"/>
            <w:color w:val="000000"/>
            <w:sz w:val="22"/>
          </w:rPr>
          <w:t>95.2(4)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5">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4901C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441—95.19</w:t>
      </w:r>
      <w:r>
        <w:rPr>
          <w:rFonts w:ascii="Times New Roman" w:hAnsi="Times New Roman"/>
          <w:b/>
          <w:i w:val="false"/>
          <w:color w:val="000000"/>
          <w:sz w:val="22"/>
        </w:rPr>
        <w:t xml:space="preserve">(252B) </w:t>
      </w:r>
      <w:r>
        <w:rPr>
          <w:rFonts w:ascii="Times New Roman" w:hAnsi="Times New Roman"/>
          <w:b/>
          <w:i w:val="false"/>
          <w:color w:val="000000"/>
          <w:sz w:val="22"/>
        </w:rPr>
        <w:t xml:space="preserve">Cooperation of public assistance recipients in establishing and obtaining support. </w:t>
      </w:r>
      <w:r>
        <w:rPr>
          <w:rFonts w:ascii="Times New Roman" w:hAnsi="Times New Roman"/>
          <w:b w:val="false"/>
          <w:i w:val="false"/>
          <w:color w:val="000000"/>
          <w:sz w:val="22"/>
        </w:rPr>
        <w:t>If a person who is a recipient of FIP or Medicaid is required to cooperate with the child support recovery unit in establishing paternity; in establishing, modifying, or enforcing child or medical support; or in enforcing spousal support,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95.19(1)</w:t>
      </w:r>
      <w:r>
        <w:rPr>
          <w:rFonts w:ascii="Times New Roman" w:hAnsi="Times New Roman"/>
          <w:b w:val="false"/>
          <w:i w:val="false"/>
          <w:color w:val="000000"/>
          <w:sz w:val="22"/>
        </w:rPr>
        <w:t> </w:t>
      </w:r>
      <w:r>
        <w:rPr>
          <w:rFonts w:ascii="Times New Roman" w:hAnsi="Times New Roman"/>
          <w:b w:val="false"/>
          <w:i/>
          <w:color w:val="000000"/>
          <w:sz w:val="22"/>
        </w:rPr>
        <w:t xml:space="preserve">Cooperation defined. </w:t>
      </w:r>
      <w:r>
        <w:rPr>
          <w:rFonts w:ascii="Times New Roman" w:hAnsi="Times New Roman"/>
          <w:b w:val="false"/>
          <w:i w:val="false"/>
          <w:color w:val="000000"/>
          <w:sz w:val="22"/>
        </w:rPr>
        <w:t xml:space="preserve">The person shall cooperate in good faith in obtaining support for persons whose needs are included in the assistance grant or Medicaid household, except when good cause or other exception as defined in </w:t>
      </w:r>
      <w:hyperlink r:id="rId66">
        <w:r>
          <w:rPr>
            <w:rStyle w:val="Hyperlink"/>
            <w:rFonts w:ascii="Times New Roman" w:hAnsi="Times New Roman"/>
            <w:b w:val="false"/>
            <w:i w:val="false"/>
            <w:color w:val="000000"/>
            <w:sz w:val="22"/>
          </w:rPr>
          <w:t>441—Chapter 41</w:t>
        </w:r>
      </w:hyperlink>
      <w:r>
        <w:rPr>
          <w:rFonts w:ascii="Times New Roman" w:hAnsi="Times New Roman"/>
          <w:b w:val="false"/>
          <w:i w:val="false"/>
          <w:color w:val="000000"/>
          <w:sz w:val="22"/>
        </w:rPr>
        <w:t xml:space="preserve"> or </w:t>
      </w:r>
      <w:hyperlink r:id="rId67">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for refusal to cooperate,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shall cooperate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and locating the parent of the child for whom assistance or Medicaid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Establishing the paternity of a child born out of wedlock for whom assistance or Medicaid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support payments for the person and the child for whom assistance is claimed, and obtaining medical support for the person and child for whom Medicaid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Cooperation is defined as including the following actions by the person if the action is requested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the name of the noncustodial parent and additional necessary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Appearing at the child support recovery unit to provide verbal or written information or documentary evidence known to, possessed by, or reasonably obtained by the person that is relevant to achieving the objectives of the child support recovery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Appearing at judicial or other hearings, proceedings or interviews.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Providing information or attesting to the lack of information, under penalty of perjury.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paternity of the child has not been legally established, submitting to blood or genetic tests pursuant to a judicial or administrative order. The person may be requested to sign a voluntary affidavit of paternity after being given notice of the rights and consequences of signing such an affidavit as required by the statute in Iowa Code section </w:t>
      </w:r>
      <w:hyperlink r:id="rId68">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 However, the person shall not be required to sign an affidavit or otherwise relinquish the right to blood or genetic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shall cooperate with the child support recovery unit to the extent of supplying all known information and documents pertaining to the location of the noncustodial parent and taking action as may be necessary to secure or enforce a support obligation or establish paternity or to secure medical support. This includes completing and signing Form 470-3877, if requested, as well as documents determined to be necessary by the state’s attorney for any relevant judicial or administrative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95.19(2)</w:t>
      </w:r>
      <w:r>
        <w:rPr>
          <w:rFonts w:ascii="Times New Roman" w:hAnsi="Times New Roman"/>
          <w:b w:val="false"/>
          <w:i w:val="false"/>
          <w:color w:val="000000"/>
          <w:sz w:val="22"/>
        </w:rPr>
        <w:t> </w:t>
      </w:r>
      <w:r>
        <w:rPr>
          <w:rFonts w:ascii="Times New Roman" w:hAnsi="Times New Roman"/>
          <w:b w:val="false"/>
          <w:i/>
          <w:color w:val="000000"/>
          <w:sz w:val="22"/>
        </w:rPr>
        <w:t xml:space="preserve">Failure to cooperate. </w:t>
      </w:r>
      <w:r>
        <w:rPr>
          <w:rFonts w:ascii="Times New Roman" w:hAnsi="Times New Roman"/>
          <w:b w:val="false"/>
          <w:i w:val="false"/>
          <w:color w:val="000000"/>
          <w:sz w:val="22"/>
        </w:rPr>
        <w:t>The local child support recovery unit shall make the determination of whether or not a person has cooperated with the unit. The child support recovery unit shall promptly send notice of a determination of noncooperation to the person on Form 470-3400 and notify the FIP and Medicaid programs, as appropriate, of the noncooperation determination and the reason for the determination. The FIP and Medicaid programs shall take appropriate sanctioning actions as provided in statute and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95.19(3)</w:t>
      </w:r>
      <w:r>
        <w:rPr>
          <w:rFonts w:ascii="Times New Roman" w:hAnsi="Times New Roman"/>
          <w:b w:val="false"/>
          <w:i w:val="false"/>
          <w:color w:val="000000"/>
          <w:sz w:val="22"/>
        </w:rPr>
        <w:t> </w:t>
      </w:r>
      <w:r>
        <w:rPr>
          <w:rFonts w:ascii="Times New Roman" w:hAnsi="Times New Roman"/>
          <w:b w:val="false"/>
          <w:i/>
          <w:color w:val="000000"/>
          <w:sz w:val="22"/>
        </w:rPr>
        <w:t xml:space="preserve">Good cause or other exception.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a recipient of FIP assistance may claim a good cause or other exception for not cooperating, taking into consideration the best interests of the child as provided in </w:t>
      </w:r>
      <w:hyperlink r:id="rId69">
        <w:r>
          <w:rPr>
            <w:rStyle w:val="Hyperlink"/>
            <w:rFonts w:ascii="Times New Roman" w:hAnsi="Times New Roman"/>
            <w:b w:val="false"/>
            <w:i w:val="false"/>
            <w:color w:val="000000"/>
            <w:sz w:val="22"/>
          </w:rPr>
          <w:t>441—Chapter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a recipient of Medicaid may claim a good cause or other exception for not cooperating, taking into consideration the best interests of the child as provided in </w:t>
      </w:r>
      <w:hyperlink r:id="rId70">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1">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441—95.20</w:t>
      </w:r>
      <w:r>
        <w:rPr>
          <w:rFonts w:ascii="Times New Roman" w:hAnsi="Times New Roman"/>
          <w:b/>
          <w:i w:val="false"/>
          <w:color w:val="000000"/>
          <w:sz w:val="22"/>
        </w:rPr>
        <w:t xml:space="preserve">(252B) </w:t>
      </w:r>
      <w:r>
        <w:rPr>
          <w:rFonts w:ascii="Times New Roman" w:hAnsi="Times New Roman"/>
          <w:b/>
          <w:i w:val="false"/>
          <w:color w:val="000000"/>
          <w:sz w:val="22"/>
        </w:rPr>
        <w:t xml:space="preserve">Cooperation of public assistance applicants in establishing and obtaining support. </w:t>
      </w:r>
      <w:r>
        <w:rPr>
          <w:rFonts w:ascii="Times New Roman" w:hAnsi="Times New Roman"/>
          <w:b w:val="false"/>
          <w:i w:val="false"/>
          <w:color w:val="000000"/>
          <w:sz w:val="22"/>
        </w:rPr>
        <w:t xml:space="preserve">If a person who is an applicant of FIP or Medicaid is required to cooperate in establishing paternity; in establishing, modifying, or enforcing child or medical support; or in enforcing spousal support, the requirements in </w:t>
      </w:r>
      <w:hyperlink r:id="rId72">
        <w:r>
          <w:rPr>
            <w:rStyle w:val="Hyperlink"/>
            <w:rFonts w:ascii="Times New Roman" w:hAnsi="Times New Roman"/>
            <w:b w:val="false"/>
            <w:i w:val="false"/>
            <w:color w:val="000000"/>
            <w:sz w:val="22"/>
          </w:rPr>
          <w:t>441—Chapter 41</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shall apply. The appropriate staff in the FIP and Medicaid programs are designees of the child support recovery unit to determine noncooperation and issue notices of that determination until the referral to the unit is completed.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4">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441—95.21</w:t>
      </w:r>
      <w:r>
        <w:rPr>
          <w:rFonts w:ascii="Times New Roman" w:hAnsi="Times New Roman"/>
          <w:b/>
          <w:i w:val="false"/>
          <w:color w:val="000000"/>
          <w:sz w:val="22"/>
        </w:rPr>
        <w:t xml:space="preserve">(252B) </w:t>
      </w:r>
      <w:r>
        <w:rPr>
          <w:rFonts w:ascii="Times New Roman" w:hAnsi="Times New Roman"/>
          <w:b/>
          <w:i w:val="false"/>
          <w:color w:val="000000"/>
          <w:sz w:val="22"/>
        </w:rPr>
        <w:t xml:space="preserve">Cooperation in establishing and obtaining support in nonpublic assistance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95.21(1)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The individual receiving nonpublic assistance support services shall cooperate with the child support recovery unit by meeting all the requirements of rule </w:t>
      </w:r>
      <w:hyperlink r:id="rId75">
        <w:r>
          <w:rPr>
            <w:rStyle w:val="Hyperlink"/>
            <w:rFonts w:ascii="Times New Roman" w:hAnsi="Times New Roman"/>
            <w:b w:val="false"/>
            <w:i w:val="false"/>
            <w:color w:val="000000"/>
            <w:sz w:val="22"/>
          </w:rPr>
          <w:t>441—95.19</w:t>
        </w:r>
      </w:hyperlink>
      <w:r>
        <w:rPr>
          <w:rFonts w:ascii="Times New Roman" w:hAnsi="Times New Roman"/>
          <w:b w:val="false"/>
          <w:i w:val="false"/>
          <w:color w:val="000000"/>
          <w:sz w:val="22"/>
        </w:rPr>
        <w:t>(252B), except that the individual may not claim good cause or other exception for not cooperating.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95.21(2)</w:t>
      </w:r>
      <w:r>
        <w:rPr>
          <w:rFonts w:ascii="Times New Roman" w:hAnsi="Times New Roman"/>
          <w:b w:val="false"/>
          <w:i w:val="false"/>
          <w:color w:val="000000"/>
          <w:sz w:val="22"/>
        </w:rPr>
        <w:t> </w:t>
      </w:r>
      <w:r>
        <w:rPr>
          <w:rFonts w:ascii="Times New Roman" w:hAnsi="Times New Roman"/>
          <w:b w:val="false"/>
          <w:i/>
          <w:color w:val="000000"/>
          <w:sz w:val="22"/>
        </w:rPr>
        <w:t xml:space="preserve">Failure to cooperate. </w:t>
      </w:r>
      <w:r>
        <w:rPr>
          <w:rFonts w:ascii="Times New Roman" w:hAnsi="Times New Roman"/>
          <w:b w:val="false"/>
          <w:i w:val="false"/>
          <w:color w:val="000000"/>
          <w:sz w:val="22"/>
        </w:rPr>
        <w:t xml:space="preserve">The child support recovery unit shall make the determination of whether or not the nonpublic assistance applicant or recipient of services has cooperated. Noncooperation shall result in termination of support services. An applicant or recipient may also request termination of services under subparagraph </w:t>
      </w:r>
      <w:hyperlink r:id="rId76">
        <w:r>
          <w:rPr>
            <w:rStyle w:val="Hyperlink"/>
            <w:rFonts w:ascii="Times New Roman" w:hAnsi="Times New Roman"/>
            <w:b w:val="false"/>
            <w:i w:val="false"/>
            <w:color w:val="000000"/>
            <w:sz w:val="22"/>
          </w:rPr>
          <w:t>95.14(1)</w:t>
        </w:r>
      </w:hyperlink>
      <w:r>
        <w:rPr>
          <w:rFonts w:ascii="Times New Roman" w:hAnsi="Times New Roman"/>
          <w:b w:val="false"/>
          <w:i/>
          <w:color w:val="000000"/>
          <w:sz w:val="22"/>
        </w:rPr>
        <w:t>“a”</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7">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441—95.22</w:t>
      </w:r>
      <w:r>
        <w:rPr>
          <w:rFonts w:ascii="Times New Roman" w:hAnsi="Times New Roman"/>
          <w:b/>
          <w:i w:val="false"/>
          <w:color w:val="000000"/>
          <w:sz w:val="22"/>
        </w:rPr>
        <w:t xml:space="preserve">(252B) </w:t>
      </w:r>
      <w:r>
        <w:rPr>
          <w:rFonts w:ascii="Times New Roman" w:hAnsi="Times New Roman"/>
          <w:b/>
          <w:i w:val="false"/>
          <w:color w:val="000000"/>
          <w:sz w:val="22"/>
        </w:rPr>
        <w:t xml:space="preserve">Charging pass-through fees. </w:t>
      </w:r>
      <w:r>
        <w:rPr>
          <w:rFonts w:ascii="Times New Roman" w:hAnsi="Times New Roman"/>
          <w:b w:val="false"/>
          <w:i w:val="false"/>
          <w:color w:val="000000"/>
          <w:sz w:val="22"/>
        </w:rPr>
        <w:t xml:space="preserve">Pass-through fees are fees or costs incurred by the department for service of process, genetic testing and court costs if the entity providing the service charges a fee for the services. The child support recovery unit may charge pass-through fees to persons who receive continued services according to rule </w:t>
      </w:r>
      <w:hyperlink r:id="rId78">
        <w:r>
          <w:rPr>
            <w:rStyle w:val="Hyperlink"/>
            <w:rFonts w:ascii="Times New Roman" w:hAnsi="Times New Roman"/>
            <w:b w:val="false"/>
            <w:i w:val="false"/>
            <w:color w:val="000000"/>
            <w:sz w:val="22"/>
          </w:rPr>
          <w:t>441—95.18</w:t>
        </w:r>
      </w:hyperlink>
      <w:r>
        <w:rPr>
          <w:rFonts w:ascii="Times New Roman" w:hAnsi="Times New Roman"/>
          <w:b w:val="false"/>
          <w:i w:val="false"/>
          <w:color w:val="000000"/>
          <w:sz w:val="22"/>
        </w:rPr>
        <w:t xml:space="preserve">(252B) and to other persons receiving nonassistance services, except no fees may be charged an obligee residing in a foreign country or the foreign country if the unit is providing services under paragraph </w:t>
      </w:r>
      <w:hyperlink r:id="rId79">
        <w:r>
          <w:rPr>
            <w:rStyle w:val="Hyperlink"/>
            <w:rFonts w:ascii="Times New Roman" w:hAnsi="Times New Roman"/>
            <w:b w:val="false"/>
            <w:i w:val="false"/>
            <w:color w:val="000000"/>
            <w:sz w:val="22"/>
          </w:rPr>
          <w:t>95.2(2)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0">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441—95.23</w:t>
      </w:r>
      <w:r>
        <w:rPr>
          <w:rFonts w:ascii="Times New Roman" w:hAnsi="Times New Roman"/>
          <w:b/>
          <w:i w:val="false"/>
          <w:color w:val="000000"/>
          <w:sz w:val="22"/>
        </w:rPr>
        <w:t xml:space="preserve">(252B) </w:t>
      </w:r>
      <w:r>
        <w:rPr>
          <w:rFonts w:ascii="Times New Roman" w:hAnsi="Times New Roman"/>
          <w:b/>
          <w:i w:val="false"/>
          <w:color w:val="000000"/>
          <w:sz w:val="22"/>
        </w:rPr>
        <w:t xml:space="preserve">Reimbursing assistance with collections of assigned support. </w:t>
      </w:r>
      <w:r>
        <w:rPr>
          <w:rFonts w:ascii="Times New Roman" w:hAnsi="Times New Roman"/>
          <w:b w:val="false"/>
          <w:i w:val="false"/>
          <w:color w:val="000000"/>
          <w:sz w:val="22"/>
        </w:rPr>
        <w:t xml:space="preserve">For an obligee and child who currently receive assistance under the family investment program, the full amount of any assigned support collection that the department receives shall be distributed according to rule </w:t>
      </w:r>
      <w:hyperlink r:id="rId81">
        <w:r>
          <w:rPr>
            <w:rStyle w:val="Hyperlink"/>
            <w:rFonts w:ascii="Times New Roman" w:hAnsi="Times New Roman"/>
            <w:b w:val="false"/>
            <w:i w:val="false"/>
            <w:color w:val="000000"/>
            <w:sz w:val="22"/>
          </w:rPr>
          <w:t>441—95.3</w:t>
        </w:r>
      </w:hyperlink>
      <w:r>
        <w:rPr>
          <w:rFonts w:ascii="Times New Roman" w:hAnsi="Times New Roman"/>
          <w:b w:val="false"/>
          <w:i w:val="false"/>
          <w:color w:val="000000"/>
          <w:sz w:val="22"/>
        </w:rPr>
        <w:t>(252B) and retained by the department to reimburse the family investment program assistance.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2">
        <w:r>
          <w:rPr>
            <w:rStyle w:val="Hyperlink"/>
            <w:rFonts w:ascii="Times New Roman" w:hAnsi="Times New Roman"/>
            <w:b w:val="false"/>
            <w:i w:val="false"/>
            <w:color w:val="000000"/>
            <w:sz w:val="22"/>
          </w:rPr>
          <w:t>252B.15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441—95.24</w:t>
      </w:r>
      <w:r>
        <w:rPr>
          <w:rFonts w:ascii="Times New Roman" w:hAnsi="Times New Roman"/>
          <w:b/>
          <w:i w:val="false"/>
          <w:color w:val="000000"/>
          <w:sz w:val="22"/>
        </w:rPr>
        <w:t xml:space="preserve">(252B) </w:t>
      </w:r>
      <w:r>
        <w:rPr>
          <w:rFonts w:ascii="Times New Roman" w:hAnsi="Times New Roman"/>
          <w:b/>
          <w:i w:val="false"/>
          <w:color w:val="000000"/>
          <w:sz w:val="22"/>
        </w:rPr>
        <w:t xml:space="preserve">Child support account. </w:t>
      </w:r>
      <w:r>
        <w:rPr>
          <w:rFonts w:ascii="Times New Roman" w:hAnsi="Times New Roman"/>
          <w:b w:val="false"/>
          <w:i w:val="false"/>
          <w:color w:val="000000"/>
          <w:sz w:val="22"/>
        </w:rPr>
        <w:t>The child support recovery unit shall maintain a child support account for each client. The account, representing money due the department, shall cover all periods of time public assistance has been paid, commencing with the date of the assignment. The child support recovery unit will not maintain an interest-bearing account.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3">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441—95.25</w:t>
      </w:r>
      <w:r>
        <w:rPr>
          <w:rFonts w:ascii="Times New Roman" w:hAnsi="Times New Roman"/>
          <w:b/>
          <w:i w:val="false"/>
          <w:color w:val="000000"/>
          <w:sz w:val="22"/>
        </w:rPr>
        <w:t xml:space="preserve">(252B) </w:t>
      </w:r>
      <w:r>
        <w:rPr>
          <w:rFonts w:ascii="Times New Roman" w:hAnsi="Times New Roman"/>
          <w:b/>
          <w:i w:val="false"/>
          <w:color w:val="000000"/>
          <w:sz w:val="22"/>
        </w:rPr>
        <w:t xml:space="preserve">Emancipation verification. </w:t>
      </w:r>
      <w:r>
        <w:rPr>
          <w:rFonts w:ascii="Times New Roman" w:hAnsi="Times New Roman"/>
          <w:b w:val="false"/>
          <w:i w:val="false"/>
          <w:color w:val="000000"/>
          <w:sz w:val="22"/>
        </w:rPr>
        <w:t>The child support recovery unit (CSRU) may verify whether a child will emancipate according to the provisions established in the court order prior to the child’s eighteenth birthday.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95.25(1)</w:t>
      </w:r>
      <w:r>
        <w:rPr>
          <w:rFonts w:ascii="Times New Roman" w:hAnsi="Times New Roman"/>
          <w:b w:val="false"/>
          <w:i w:val="false"/>
          <w:color w:val="000000"/>
          <w:sz w:val="22"/>
        </w:rPr>
        <w:t> </w:t>
      </w:r>
      <w:r>
        <w:rPr>
          <w:rFonts w:ascii="Times New Roman" w:hAnsi="Times New Roman"/>
          <w:b w:val="false"/>
          <w:i/>
          <w:color w:val="000000"/>
          <w:sz w:val="22"/>
        </w:rPr>
        <w:t xml:space="preserve">Verification process. </w:t>
      </w:r>
      <w:r>
        <w:rPr>
          <w:rFonts w:ascii="Times New Roman" w:hAnsi="Times New Roman"/>
          <w:b w:val="false"/>
          <w:i w:val="false"/>
          <w:color w:val="000000"/>
          <w:sz w:val="22"/>
        </w:rPr>
        <w:t>CSRU shall send Form 470-2562 to the obligor and obligee on a case if CSRU has an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95.25(2)</w:t>
      </w:r>
      <w:r>
        <w:rPr>
          <w:rFonts w:ascii="Times New Roman" w:hAnsi="Times New Roman"/>
          <w:b w:val="false"/>
          <w:i w:val="false"/>
          <w:color w:val="000000"/>
          <w:sz w:val="22"/>
        </w:rPr>
        <w:t> </w:t>
      </w:r>
      <w:r>
        <w:rPr>
          <w:rFonts w:ascii="Times New Roman" w:hAnsi="Times New Roman"/>
          <w:b w:val="false"/>
          <w:i/>
          <w:color w:val="000000"/>
          <w:sz w:val="22"/>
        </w:rPr>
        <w:t xml:space="preserve">Return information. </w:t>
      </w:r>
      <w:r>
        <w:rPr>
          <w:rFonts w:ascii="Times New Roman" w:hAnsi="Times New Roman"/>
          <w:b w:val="false"/>
          <w:i w:val="false"/>
          <w:color w:val="000000"/>
          <w:sz w:val="22"/>
        </w:rPr>
        <w:t>The obligor and obligee shall be asked to complete and return the form to the unit. CSRU shall use the information provided by the obligor or obligee to determine if the status of the child indicates that any previously ordered adjustments related to the obligation and a child’s emancipation are necessary on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95.25(3)</w:t>
      </w:r>
      <w:r>
        <w:rPr>
          <w:rFonts w:ascii="Times New Roman" w:hAnsi="Times New Roman"/>
          <w:b w:val="false"/>
          <w:i w:val="false"/>
          <w:color w:val="000000"/>
          <w:sz w:val="22"/>
        </w:rPr>
        <w:t> </w:t>
      </w:r>
      <w:r>
        <w:rPr>
          <w:rFonts w:ascii="Times New Roman" w:hAnsi="Times New Roman"/>
          <w:b w:val="false"/>
          <w:i/>
          <w:color w:val="000000"/>
          <w:sz w:val="22"/>
        </w:rPr>
        <w:t xml:space="preserve">Failure to return information. </w:t>
      </w:r>
      <w:r>
        <w:rPr>
          <w:rFonts w:ascii="Times New Roman" w:hAnsi="Times New Roman"/>
          <w:b w:val="false"/>
          <w:i w:val="false"/>
          <w:color w:val="000000"/>
          <w:sz w:val="22"/>
        </w:rPr>
        <w:t>If the obligor and obligee fail to return the questionnaire, CSRU shall apply the earliest emancipation date established in the support order to the case and implement changes in support amounts required in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95.25(4)</w:t>
      </w:r>
      <w:r>
        <w:rPr>
          <w:rFonts w:ascii="Times New Roman" w:hAnsi="Times New Roman"/>
          <w:b w:val="false"/>
          <w:i w:val="false"/>
          <w:color w:val="000000"/>
          <w:sz w:val="22"/>
        </w:rPr>
        <w:t> </w:t>
      </w:r>
      <w:r>
        <w:rPr>
          <w:rFonts w:ascii="Times New Roman" w:hAnsi="Times New Roman"/>
          <w:b w:val="false"/>
          <w:i/>
          <w:color w:val="000000"/>
          <w:sz w:val="22"/>
        </w:rPr>
        <w:t xml:space="preserve">Conflicting information returned. </w:t>
      </w:r>
      <w:r>
        <w:rPr>
          <w:rFonts w:ascii="Times New Roman" w:hAnsi="Times New Roman"/>
          <w:b w:val="false"/>
          <w:i w:val="false"/>
          <w:color w:val="000000"/>
          <w:sz w:val="22"/>
        </w:rPr>
        <w:t>If conflicting information is returned or made known to CSRU, CSRU shall have the right to verify the child’s status through sources other than the obligor and obligee.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4">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441—95.26</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95.26(1)</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this chapter, an administrative appeal pursuant to </w:t>
      </w:r>
      <w:hyperlink r:id="rId86">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shall be limited to the following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not entitled to a support payment in full or in part because of the date of collection, as provided under rule </w:t>
      </w:r>
      <w:hyperlink r:id="rId87">
        <w:r>
          <w:rPr>
            <w:rStyle w:val="Hyperlink"/>
            <w:rFonts w:ascii="Times New Roman" w:hAnsi="Times New Roman"/>
            <w:b w:val="false"/>
            <w:i w:val="false"/>
            <w:color w:val="000000"/>
            <w:sz w:val="22"/>
          </w:rPr>
          <w:t>441—95.13</w:t>
        </w:r>
      </w:hyperlink>
      <w:r>
        <w:rPr>
          <w:rFonts w:ascii="Times New Roman" w:hAnsi="Times New Roman"/>
          <w:b w:val="false"/>
          <w:i w:val="false"/>
          <w:color w:val="000000"/>
          <w:sz w:val="22"/>
        </w:rPr>
        <w:t>(17A), or a dispute based on the date of collection has not been acted on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termination in services has occurred as provided in rule </w:t>
      </w:r>
      <w:hyperlink r:id="rId88">
        <w:r>
          <w:rPr>
            <w:rStyle w:val="Hyperlink"/>
            <w:rFonts w:ascii="Times New Roman" w:hAnsi="Times New Roman"/>
            <w:b w:val="false"/>
            <w:i w:val="false"/>
            <w:color w:val="000000"/>
            <w:sz w:val="22"/>
          </w:rPr>
          <w:t>441—95.14</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95.26(2)</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shall not be granted under </w:t>
      </w:r>
      <w:hyperlink r:id="rId8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when the appellant has a complaint about child support recovery unit collections actions other than those described in this rule. This includes the collection of an annual fee for child support services as specified in Iowa Code chapter </w:t>
      </w:r>
      <w:hyperlink r:id="rId90">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1">
        <w:r>
          <w:rPr>
            <w:rStyle w:val="Hyperlink"/>
            <w:rFonts w:ascii="Times New Roman" w:hAnsi="Times New Roman"/>
            <w:b w:val="false"/>
            <w:i w:val="false"/>
            <w:color w:val="000000"/>
            <w:sz w:val="22"/>
          </w:rPr>
          <w:t>17A.12 to 17A.20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441—95.27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 record. </w:t>
      </w:r>
      <w:r>
        <w:rPr>
          <w:rFonts w:ascii="Times New Roman" w:hAnsi="Times New Roman"/>
          <w:b w:val="false"/>
          <w:i w:val="false"/>
          <w:color w:val="000000"/>
          <w:sz w:val="22"/>
        </w:rPr>
        <w:t xml:space="preserve">The record in an administrative appeal under this rule shall include, in addition to those materials specified in Iowa Code section </w:t>
      </w:r>
      <w:hyperlink r:id="rId92">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 the notice of appeal, all evidence received or considered and all other submissions, including the verbatim record of the hearing.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3">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emergency 11/21/80 after Notice 10/1/80—published 12/10/80, effective 11/21/80]</w:t>
      </w:r>
    </w:p>
    <w:p>
      <w:pPr>
        <w:spacing w:before="0" w:after="0"/>
        <w:ind w:left="120"/>
        <w:jc w:val="center"/>
      </w:pPr>
      <w:r>
        <w:rPr>
          <w:rFonts w:ascii="Times New Roman" w:hAnsi="Times New Roman"/>
          <w:b w:val="false"/>
          <w:i w:val="false"/>
          <w:color w:val="000000"/>
          <w:sz w:val="21"/>
        </w:rPr>
        <w:t>[Filed 10/23/81, Notice 9/2/81—published 11/11/81, effective 12/16/81]</w:t>
      </w:r>
    </w:p>
    <w:p>
      <w:pPr>
        <w:spacing w:before="0" w:after="0"/>
        <w:ind w:left="120"/>
        <w:jc w:val="center"/>
      </w:pPr>
      <w:r>
        <w:rPr>
          <w:rFonts w:ascii="Times New Roman" w:hAnsi="Times New Roman"/>
          <w:b w:val="false"/>
          <w:i w:val="false"/>
          <w:color w:val="000000"/>
          <w:sz w:val="21"/>
        </w:rPr>
        <w:t>[Filed 11/19/82, Notice 9/29/82—published 12/8/82, effective 1/12/83]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11/18/83, Notice 9/28/83—published 12/7/83, effective 2/1/84]</w:t>
      </w:r>
    </w:p>
    <w:p>
      <w:pPr>
        <w:spacing w:before="0" w:after="0"/>
        <w:ind w:left="120"/>
        <w:jc w:val="center"/>
      </w:pPr>
      <w:r>
        <w:rPr>
          <w:rFonts w:ascii="Times New Roman" w:hAnsi="Times New Roman"/>
          <w:b w:val="false"/>
          <w:i w:val="false"/>
          <w:color w:val="000000"/>
          <w:sz w:val="21"/>
        </w:rPr>
        <w:t>[Filed 8/31/84, Notice 7/18/84—published 9/26/84, effective 11/1/84]</w:t>
      </w:r>
    </w:p>
    <w:p>
      <w:pPr>
        <w:spacing w:before="0" w:after="0"/>
        <w:ind w:left="120"/>
        <w:jc w:val="center"/>
      </w:pPr>
      <w:r>
        <w:rPr>
          <w:rFonts w:ascii="Times New Roman" w:hAnsi="Times New Roman"/>
          <w:b w:val="false"/>
          <w:i w:val="false"/>
          <w:color w:val="000000"/>
          <w:sz w:val="21"/>
        </w:rPr>
        <w:t>[Filed emergency 9/28/84—published 10/24/84, effective 10/1/84]</w:t>
      </w:r>
    </w:p>
    <w:p>
      <w:pPr>
        <w:spacing w:before="0" w:after="0"/>
        <w:ind w:left="120"/>
        <w:jc w:val="center"/>
      </w:pPr>
      <w:r>
        <w:rPr>
          <w:rFonts w:ascii="Times New Roman" w:hAnsi="Times New Roman"/>
          <w:b w:val="false"/>
          <w:i w:val="false"/>
          <w:color w:val="000000"/>
          <w:sz w:val="21"/>
        </w:rPr>
        <w:t>[Filed 4/29/85, Notice 10/24/84—published 5/22/85, effective 7/1/85]</w:t>
      </w:r>
    </w:p>
    <w:p>
      <w:pPr>
        <w:spacing w:before="0" w:after="0"/>
        <w:ind w:left="120"/>
        <w:jc w:val="center"/>
      </w:pPr>
      <w:r>
        <w:rPr>
          <w:rFonts w:ascii="Times New Roman" w:hAnsi="Times New Roman"/>
          <w:b w:val="false"/>
          <w:i w:val="false"/>
          <w:color w:val="000000"/>
          <w:sz w:val="21"/>
        </w:rPr>
        <w:t>[Filed 7/26/85, Notice 5/22/85—published 8/14/85, effective 10/1/85]</w:t>
      </w:r>
    </w:p>
    <w:p>
      <w:pPr>
        <w:spacing w:before="0" w:after="0"/>
        <w:ind w:left="120"/>
        <w:jc w:val="center"/>
      </w:pPr>
      <w:r>
        <w:rPr>
          <w:rFonts w:ascii="Times New Roman" w:hAnsi="Times New Roman"/>
          <w:b w:val="false"/>
          <w:i w:val="false"/>
          <w:color w:val="000000"/>
          <w:sz w:val="21"/>
        </w:rPr>
        <w:t>[Filed 5/28/86, Notice 3/26/86—published 6/18/86, effective 8/1/86]</w:t>
      </w:r>
    </w:p>
    <w:p>
      <w:pPr>
        <w:spacing w:before="0" w:after="0"/>
        <w:ind w:left="120"/>
        <w:jc w:val="center"/>
      </w:pPr>
      <w:r>
        <w:rPr>
          <w:rFonts w:ascii="Times New Roman" w:hAnsi="Times New Roman"/>
          <w:b w:val="false"/>
          <w:i w:val="false"/>
          <w:color w:val="000000"/>
          <w:sz w:val="21"/>
        </w:rPr>
        <w:t>[Filed 12/22/86, Notice 11/5/86—published 1/14/87, effective 3/1/87]</w:t>
      </w:r>
    </w:p>
    <w:p>
      <w:pPr>
        <w:spacing w:before="0" w:after="0"/>
        <w:ind w:left="120"/>
        <w:jc w:val="center"/>
      </w:pPr>
      <w:r>
        <w:rPr>
          <w:rFonts w:ascii="Times New Roman" w:hAnsi="Times New Roman"/>
          <w:b w:val="false"/>
          <w:i w:val="false"/>
          <w:color w:val="000000"/>
          <w:sz w:val="21"/>
        </w:rPr>
        <w:t>[Filed 12/11/86, Notice 11/5/86—published 1/14/87, effective 3/1/87]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7/14/89 after Notice 5/31/89—published 8/9/89, effective 8/1/89]</w:t>
      </w:r>
    </w:p>
    <w:p>
      <w:pPr>
        <w:spacing w:before="0" w:after="0"/>
        <w:ind w:left="120"/>
        <w:jc w:val="center"/>
      </w:pPr>
      <w:r>
        <w:rPr>
          <w:rFonts w:ascii="Times New Roman" w:hAnsi="Times New Roman"/>
          <w:b w:val="false"/>
          <w:i w:val="false"/>
          <w:color w:val="000000"/>
          <w:sz w:val="21"/>
        </w:rPr>
        <w:t>[Filed 12/15/89, Notice 11/1/89—published 1/10/90, effective 3/1/90]</w:t>
      </w:r>
    </w:p>
    <w:p>
      <w:pPr>
        <w:spacing w:before="0" w:after="0"/>
        <w:ind w:left="120"/>
        <w:jc w:val="center"/>
      </w:pPr>
      <w:r>
        <w:rPr>
          <w:rFonts w:ascii="Times New Roman" w:hAnsi="Times New Roman"/>
          <w:b w:val="false"/>
          <w:i w:val="false"/>
          <w:color w:val="000000"/>
          <w:sz w:val="21"/>
        </w:rPr>
        <w:t>[Filed 8/16/90, Notice 6/27/90—published 9/5/90, effective 11/1/90]</w:t>
      </w:r>
    </w:p>
    <w:p>
      <w:pPr>
        <w:spacing w:before="0" w:after="0"/>
        <w:ind w:left="120"/>
        <w:jc w:val="center"/>
      </w:pPr>
      <w:r>
        <w:rPr>
          <w:rFonts w:ascii="Times New Roman" w:hAnsi="Times New Roman"/>
          <w:b w:val="false"/>
          <w:i w:val="false"/>
          <w:color w:val="000000"/>
          <w:sz w:val="21"/>
        </w:rPr>
        <w:t>[Filed 9/28/90, Notice 8/8/90—published 10/17/90, effective 12/1/90]</w:t>
      </w:r>
    </w:p>
    <w:p>
      <w:pPr>
        <w:spacing w:before="0" w:after="0"/>
        <w:ind w:left="120"/>
        <w:jc w:val="center"/>
      </w:pPr>
      <w:r>
        <w:rPr>
          <w:rFonts w:ascii="Times New Roman" w:hAnsi="Times New Roman"/>
          <w:b w:val="false"/>
          <w:i w:val="false"/>
          <w:color w:val="000000"/>
          <w:sz w:val="21"/>
        </w:rPr>
        <w:t>[Filed emergency 10/12/90 after Notice 8/22/90—published 10/31/90, effective 10/13/90]</w:t>
      </w:r>
    </w:p>
    <w:p>
      <w:pPr>
        <w:spacing w:before="0" w:after="0"/>
        <w:ind w:left="120"/>
        <w:jc w:val="center"/>
      </w:pPr>
      <w:r>
        <w:rPr>
          <w:rFonts w:ascii="Times New Roman" w:hAnsi="Times New Roman"/>
          <w:b w:val="false"/>
          <w:i w:val="false"/>
          <w:color w:val="000000"/>
          <w:sz w:val="21"/>
        </w:rPr>
        <w:t>[Filed 10/12/90, Notice 8/22/90—published 10/31/90, effective 1/1/91]</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8/12/93, Notice 6/23/93—published 9/1/93, effective 11/1/93]</w:t>
      </w:r>
    </w:p>
    <w:p>
      <w:pPr>
        <w:spacing w:before="0" w:after="0"/>
        <w:ind w:left="120"/>
        <w:jc w:val="center"/>
      </w:pPr>
      <w:r>
        <w:rPr>
          <w:rFonts w:ascii="Times New Roman" w:hAnsi="Times New Roman"/>
          <w:b w:val="false"/>
          <w:i w:val="false"/>
          <w:color w:val="000000"/>
          <w:sz w:val="21"/>
        </w:rPr>
        <w:t>[Filed 6/7/95, Notice 4/26/95—published 7/5/95, effective 9/1/95]</w:t>
      </w:r>
    </w:p>
    <w:p>
      <w:pPr>
        <w:spacing w:before="0" w:after="0"/>
        <w:ind w:left="120"/>
        <w:jc w:val="center"/>
      </w:pPr>
      <w:r>
        <w:rPr>
          <w:rFonts w:ascii="Times New Roman" w:hAnsi="Times New Roman"/>
          <w:b w:val="false"/>
          <w:i w:val="false"/>
          <w:color w:val="000000"/>
          <w:sz w:val="21"/>
        </w:rPr>
        <w:t>[Filed 2/14/96, Notice 12/20/95—published 3/13/96, effective 5/1/96]</w:t>
      </w:r>
    </w:p>
    <w:p>
      <w:pPr>
        <w:spacing w:before="0" w:after="0"/>
        <w:ind w:left="120"/>
        <w:jc w:val="center"/>
      </w:pPr>
      <w:r>
        <w:rPr>
          <w:rFonts w:ascii="Times New Roman" w:hAnsi="Times New Roman"/>
          <w:b w:val="false"/>
          <w:i w:val="false"/>
          <w:color w:val="000000"/>
          <w:sz w:val="21"/>
        </w:rPr>
        <w:t>[Filed 10/9/96, Notice 8/14/96—published 11/6/96, effective 1/1/97]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5/14/99, Notice 3/24/99—published 6/2/99, effective 8/1/99]</w:t>
      </w:r>
    </w:p>
    <w:p>
      <w:pPr>
        <w:spacing w:before="0" w:after="0"/>
        <w:ind w:left="120"/>
        <w:jc w:val="center"/>
      </w:pPr>
      <w:r>
        <w:rPr>
          <w:rFonts w:ascii="Times New Roman" w:hAnsi="Times New Roman"/>
          <w:b w:val="false"/>
          <w:i w:val="false"/>
          <w:color w:val="000000"/>
          <w:sz w:val="21"/>
        </w:rPr>
        <w:t>[Filed 7/14/99, Notice 5/19/99—published 8/11/99, effective 10/1/99]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12/8/99, Notice 10/20/99—published 12/29/99, effective 3/1/00]</w:t>
      </w:r>
    </w:p>
    <w:p>
      <w:pPr>
        <w:spacing w:before="0" w:after="0"/>
        <w:ind w:left="120"/>
        <w:jc w:val="center"/>
      </w:pPr>
      <w:r>
        <w:rPr>
          <w:rFonts w:ascii="Times New Roman" w:hAnsi="Times New Roman"/>
          <w:b w:val="false"/>
          <w:i w:val="false"/>
          <w:color w:val="000000"/>
          <w:sz w:val="21"/>
        </w:rPr>
        <w:t>[Filed emergency 6/8/00—published 6/28/00, effective 6/8/00]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4/10/03, Notice 2/19/03—published 4/30/03, effective 7/1/03]</w:t>
      </w:r>
    </w:p>
    <w:p>
      <w:pPr>
        <w:spacing w:before="0" w:after="0"/>
        <w:ind w:left="120"/>
        <w:jc w:val="center"/>
      </w:pPr>
      <w:r>
        <w:rPr>
          <w:rFonts w:ascii="Times New Roman" w:hAnsi="Times New Roman"/>
          <w:b w:val="false"/>
          <w:i w:val="false"/>
          <w:color w:val="000000"/>
          <w:sz w:val="21"/>
        </w:rPr>
        <w:t>[Filed 10/14/04, Notices 8/4/04, 8/18/04—published 11/10/04, effective 1/1/05]</w:t>
      </w:r>
    </w:p>
    <w:p>
      <w:pPr>
        <w:spacing w:before="0" w:after="0"/>
        <w:ind w:left="120"/>
        <w:jc w:val="center"/>
      </w:pPr>
      <w:r>
        <w:rPr>
          <w:rFonts w:ascii="Times New Roman" w:hAnsi="Times New Roman"/>
          <w:b w:val="false"/>
          <w:i w:val="false"/>
          <w:color w:val="000000"/>
          <w:sz w:val="21"/>
        </w:rPr>
        <w:t>[Filed emergency 1/19/07—published 2/14/07, effective 1/20/07]</w:t>
      </w:r>
    </w:p>
    <w:p>
      <w:pPr>
        <w:spacing w:before="0" w:after="0"/>
        <w:ind w:left="120"/>
        <w:jc w:val="center"/>
      </w:pPr>
      <w:r>
        <w:rPr>
          <w:rFonts w:ascii="Times New Roman" w:hAnsi="Times New Roman"/>
          <w:b w:val="false"/>
          <w:i w:val="false"/>
          <w:color w:val="000000"/>
          <w:sz w:val="21"/>
        </w:rPr>
        <w:t>[Filed ARC 9177B</w:t>
      </w:r>
      <w:r>
        <w:rPr>
          <w:rFonts w:ascii="Times New Roman" w:hAnsi="Times New Roman"/>
          <w:b w:val="false"/>
          <w:i w:val="false"/>
          <w:color w:val="000000"/>
          <w:sz w:val="21"/>
        </w:rPr>
        <w:t xml:space="preserve"> (Notice ARC 9026B, IAB 8/25/10)</w:t>
      </w:r>
      <w:r>
        <w:rPr>
          <w:rFonts w:ascii="Times New Roman" w:hAnsi="Times New Roman"/>
          <w:b w:val="false"/>
          <w:i w:val="false"/>
          <w:color w:val="000000"/>
          <w:sz w:val="21"/>
        </w:rPr>
        <w:t>, IAB 11/3/10, effective 1/1/11]</w:t>
      </w:r>
    </w:p>
    <w:p>
      <w:pPr>
        <w:spacing w:before="0" w:after="0"/>
        <w:ind w:left="120"/>
        <w:jc w:val="center"/>
      </w:pPr>
      <w:r>
        <w:rPr>
          <w:rFonts w:ascii="Times New Roman" w:hAnsi="Times New Roman"/>
          <w:b w:val="false"/>
          <w:i w:val="false"/>
          <w:color w:val="000000"/>
          <w:sz w:val="21"/>
        </w:rPr>
        <w:t>[Filed ARC 1357C</w:t>
      </w:r>
      <w:r>
        <w:rPr>
          <w:rFonts w:ascii="Times New Roman" w:hAnsi="Times New Roman"/>
          <w:b w:val="false"/>
          <w:i w:val="false"/>
          <w:color w:val="000000"/>
          <w:sz w:val="21"/>
        </w:rPr>
        <w:t xml:space="preserve"> (Notice ARC 1228C, IAB 12/11/13)</w:t>
      </w:r>
      <w:r>
        <w:rPr>
          <w:rFonts w:ascii="Times New Roman" w:hAnsi="Times New Roman"/>
          <w:b w:val="false"/>
          <w:i w:val="false"/>
          <w:color w:val="000000"/>
          <w:sz w:val="21"/>
        </w:rPr>
        <w:t>, IAB 3/5/14, effective 5/1/14]</w:t>
      </w:r>
    </w:p>
    <w:p>
      <w:pPr>
        <w:spacing w:before="0" w:after="0"/>
        <w:ind w:left="120"/>
        <w:jc w:val="center"/>
      </w:pPr>
      <w:r>
        <w:rPr>
          <w:rFonts w:ascii="Times New Roman" w:hAnsi="Times New Roman"/>
          <w:b w:val="false"/>
          <w:i w:val="false"/>
          <w:color w:val="000000"/>
          <w:sz w:val="21"/>
        </w:rPr>
        <w:t>[Filed ARC 3719C</w:t>
      </w:r>
      <w:r>
        <w:rPr>
          <w:rFonts w:ascii="Times New Roman" w:hAnsi="Times New Roman"/>
          <w:b w:val="false"/>
          <w:i w:val="false"/>
          <w:color w:val="000000"/>
          <w:sz w:val="21"/>
        </w:rPr>
        <w:t xml:space="preserve"> (Notice ARC 3595C, IAB 1/31/18)</w:t>
      </w:r>
      <w:r>
        <w:rPr>
          <w:rFonts w:ascii="Times New Roman" w:hAnsi="Times New Roman"/>
          <w:b w:val="false"/>
          <w:i w:val="false"/>
          <w:color w:val="000000"/>
          <w:sz w:val="21"/>
        </w:rPr>
        <w:t>, IAB 3/28/18, effective 7/1/18]</w:t>
      </w:r>
    </w:p>
    <w:p>
      <w:pPr>
        <w:spacing w:before="0" w:after="0"/>
        <w:ind w:left="120"/>
        <w:jc w:val="center"/>
      </w:pPr>
      <w:r>
        <w:rPr>
          <w:rFonts w:ascii="Times New Roman" w:hAnsi="Times New Roman"/>
          <w:b w:val="false"/>
          <w:i w:val="false"/>
          <w:color w:val="000000"/>
          <w:sz w:val="21"/>
        </w:rPr>
        <w:t>[Filed ARC 4901C</w:t>
      </w:r>
      <w:r>
        <w:rPr>
          <w:rFonts w:ascii="Times New Roman" w:hAnsi="Times New Roman"/>
          <w:b w:val="false"/>
          <w:i w:val="false"/>
          <w:color w:val="000000"/>
          <w:sz w:val="21"/>
        </w:rPr>
        <w:t xml:space="preserve"> (Notice ARC 4764C, IAB 11/20/19)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6778C</w:t>
      </w:r>
      <w:r>
        <w:rPr>
          <w:rFonts w:ascii="Times New Roman" w:hAnsi="Times New Roman"/>
          <w:b w:val="false"/>
          <w:i w:val="false"/>
          <w:color w:val="000000"/>
          <w:sz w:val="21"/>
        </w:rPr>
        <w:t xml:space="preserve"> (Notice ARC 6621C, IAB 11/2/22)</w:t>
      </w:r>
      <w:r>
        <w:rPr>
          <w:rFonts w:ascii="Times New Roman" w:hAnsi="Times New Roman"/>
          <w:b w:val="false"/>
          <w:i w:val="false"/>
          <w:color w:val="000000"/>
          <w:sz w:val="21"/>
        </w:rPr>
        <w:t>, IAB 12/28/22, effective 2/1/23]</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94">
        <w:r>
          <w:rPr>
            <w:rStyle w:val="Hyperlink"/>
            <w:rFonts w:ascii="Times New Roman" w:hAnsi="Times New Roman"/>
            <w:b w:val="false"/>
            <w:i w:val="false"/>
            <w:color w:val="000000"/>
            <w:sz w:val="22"/>
          </w:rPr>
          <w:t>95.1</w:t>
        </w:r>
      </w:hyperlink>
      <w:r>
        <w:rPr>
          <w:rFonts w:ascii="Times New Roman" w:hAnsi="Times New Roman"/>
          <w:b w:val="false"/>
          <w:i w:val="false"/>
          <w:color w:val="000000"/>
          <w:sz w:val="22"/>
        </w:rPr>
        <w:t xml:space="preserve">, definition of “Date of collection,” and </w:t>
      </w:r>
      <w:hyperlink r:id="rId95">
        <w:r>
          <w:rPr>
            <w:rStyle w:val="Hyperlink"/>
            <w:rFonts w:ascii="Times New Roman" w:hAnsi="Times New Roman"/>
            <w:b w:val="false"/>
            <w:i w:val="false"/>
            <w:color w:val="000000"/>
            <w:sz w:val="22"/>
          </w:rPr>
          <w:t>95.3</w:t>
        </w:r>
      </w:hyperlink>
      <w:r>
        <w:rPr>
          <w:rFonts w:ascii="Times New Roman" w:hAnsi="Times New Roman"/>
          <w:b w:val="false"/>
          <w:i w:val="false"/>
          <w:color w:val="000000"/>
          <w:sz w:val="22"/>
        </w:rPr>
        <w:t xml:space="preserve"> delayed 70 days by the Administrative Rules Review Committee at its meeting held September 15, 1999; delayed until the end of the 2000 Session of the General Assembly at its meeting held October 11, 1999.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9B.pdf" Type="http://schemas.openxmlformats.org/officeDocument/2006/relationships/hyperlink" Id="rId5"/>
    <Relationship TargetMode="External" Target="https://www.legis.iowa.gov/docs/ico/chapter/598.22.pdf" Type="http://schemas.openxmlformats.org/officeDocument/2006/relationships/hyperlink" Id="rId6"/>
    <Relationship TargetMode="External" Target="https://www.legis.iowa.gov/docs/ico/chapter/234.pdf" Type="http://schemas.openxmlformats.org/officeDocument/2006/relationships/hyperlink" Id="rId7"/>
    <Relationship TargetMode="External" Target="https://www.legis.iowa.gov/docs/ico/chapter/239B.pdf" Type="http://schemas.openxmlformats.org/officeDocument/2006/relationships/hyperlink" Id="rId8"/>
    <Relationship TargetMode="External" Target="https://www.legis.iowa.gov/docs/ico/chapter/234.pdf" Type="http://schemas.openxmlformats.org/officeDocument/2006/relationships/hyperlink" Id="rId9"/>
    <Relationship TargetMode="External" Target="https://www.legis.iowa.gov/docs/ico/chapter/239B.pdf" Type="http://schemas.openxmlformats.org/officeDocument/2006/relationships/hyperlink" Id="rId10"/>
    <Relationship TargetMode="External" Target="https://www.legis.iowa.gov/docs/ico/chapter/252A.pdf" Type="http://schemas.openxmlformats.org/officeDocument/2006/relationships/hyperlink" Id="rId11"/>
    <Relationship TargetMode="External" Target="https://www.legis.iowa.gov/docs/ico/chapter/252C.pdf" Type="http://schemas.openxmlformats.org/officeDocument/2006/relationships/hyperlink" Id="rId12"/>
    <Relationship TargetMode="External" Target="https://www.legis.iowa.gov/docs/ico/chapter/252F.pdf" Type="http://schemas.openxmlformats.org/officeDocument/2006/relationships/hyperlink" Id="rId13"/>
    <Relationship TargetMode="External" Target="https://www.legis.iowa.gov/docs/ico/chapter/252H.pdf" Type="http://schemas.openxmlformats.org/officeDocument/2006/relationships/hyperlink" Id="rId14"/>
    <Relationship TargetMode="External" Target="https://www.legis.iowa.gov/docs/ico/chapter/252K.pdf" Type="http://schemas.openxmlformats.org/officeDocument/2006/relationships/hyperlink" Id="rId15"/>
    <Relationship TargetMode="External" Target="https://www.legis.iowa.gov/docs/ico/chapter/598.pdf" Type="http://schemas.openxmlformats.org/officeDocument/2006/relationships/hyperlink" Id="rId16"/>
    <Relationship TargetMode="External" Target="https://www.legis.iowa.gov/docs/ico/chapter/600B.pdf" Type="http://schemas.openxmlformats.org/officeDocument/2006/relationships/hyperlink" Id="rId17"/>
    <Relationship TargetMode="External" Target="https://www.legis.iowa.gov/docs/ico/chapter/239B.pdf" Type="http://schemas.openxmlformats.org/officeDocument/2006/relationships/hyperlink" Id="rId18"/>
    <Relationship TargetMode="External" Target="https://www.legis.iowa.gov/docs/ico/chapter/249A.pdf" Type="http://schemas.openxmlformats.org/officeDocument/2006/relationships/hyperlink" Id="rId19"/>
    <Relationship TargetMode="External" Target="https://www.legis.iowa.gov/docs/ico/chapter/234.pdf" Type="http://schemas.openxmlformats.org/officeDocument/2006/relationships/hyperlink" Id="rId20"/>
    <Relationship TargetMode="External" Target="https://www.legis.iowa.gov/docs/ico/chapter/598.21B.pdf" Type="http://schemas.openxmlformats.org/officeDocument/2006/relationships/hyperlink" Id="rId21"/>
    <Relationship TargetMode="External" Target="https://www.legis.iowa.gov/docs/ico/chapter/252B.pdf" Type="http://schemas.openxmlformats.org/officeDocument/2006/relationships/hyperlink" Id="rId22"/>
    <Relationship TargetMode="External" Target="https://www.legis.iowa.gov/docs/ico/chapter/252C.pdf" Type="http://schemas.openxmlformats.org/officeDocument/2006/relationships/hyperlink" Id="rId23"/>
    <Relationship TargetMode="External" Target="https://www.legis.iowa.gov/docs/ico/chapter/252D.pdf" Type="http://schemas.openxmlformats.org/officeDocument/2006/relationships/hyperlink" Id="rId24"/>
    <Relationship TargetMode="External" Target="https://www.legis.iowa.gov/docs/ico/chapter/252B.3.pdf" Type="http://schemas.openxmlformats.org/officeDocument/2006/relationships/hyperlink" Id="rId25"/>
    <Relationship TargetMode="External" Target="https://www.legis.iowa.gov/docs/ico/chapter/252B.4.pdf" Type="http://schemas.openxmlformats.org/officeDocument/2006/relationships/hyperlink" Id="rId26"/>
    <Relationship TargetMode="External" Target="https://www.legis.iowa.gov/docs/iac/rule/441.98.84.pdf" Type="http://schemas.openxmlformats.org/officeDocument/2006/relationships/hyperlink" Id="rId27"/>
    <Relationship TargetMode="External" Target="https://www.legis.iowa.gov/docs/iac/chapter/441.98.pdf" Type="http://schemas.openxmlformats.org/officeDocument/2006/relationships/hyperlink" Id="rId28"/>
    <Relationship TargetMode="External" Target="https://www.legis.iowa.gov/docs/ico/chapter/252B.15.pdf" Type="http://schemas.openxmlformats.org/officeDocument/2006/relationships/hyperlink" Id="rId29"/>
    <Relationship TargetMode="External" Target="https://www.legis.iowa.gov/docs/ico/chapter/252D.17.pdf" Type="http://schemas.openxmlformats.org/officeDocument/2006/relationships/hyperlink" Id="rId30"/>
    <Relationship TargetMode="External" Target="https://www.legis.iowa.gov/docs/ico/chapter/252B.14.pdf" Type="http://schemas.openxmlformats.org/officeDocument/2006/relationships/hyperlink" Id="rId31"/>
    <Relationship TargetMode="External" Target="https://www.legis.iowa.gov/docs/ico/chapter/535.3.pdf" Type="http://schemas.openxmlformats.org/officeDocument/2006/relationships/hyperlink" Id="rId32"/>
    <Relationship TargetMode="External" Target="https://www.legis.iowa.gov/docs/ico/chapter/252C.pdf" Type="http://schemas.openxmlformats.org/officeDocument/2006/relationships/hyperlink" Id="rId33"/>
    <Relationship TargetMode="External" Target="https://www.legis.iowa.gov/docs/iac/rule/441.99.41.pdf" Type="http://schemas.openxmlformats.org/officeDocument/2006/relationships/hyperlink" Id="rId34"/>
    <Relationship TargetMode="External" Target="https://www.legis.iowa.gov/docs/iac/rule/441.95.3.pdf" Type="http://schemas.openxmlformats.org/officeDocument/2006/relationships/hyperlink" Id="rId35"/>
    <Relationship TargetMode="External" Target="https://www.legis.iowa.gov/docs/iac/rule/441.95.3.pdf" Type="http://schemas.openxmlformats.org/officeDocument/2006/relationships/hyperlink" Id="rId36"/>
    <Relationship TargetMode="External" Target="https://www.legis.iowa.gov/docs/iac/rule/441.95.3.pdf" Type="http://schemas.openxmlformats.org/officeDocument/2006/relationships/hyperlink" Id="rId37"/>
    <Relationship TargetMode="External" Target="https://www.legis.iowa.gov/docs/iac/rule/441.95.3.pdf" Type="http://schemas.openxmlformats.org/officeDocument/2006/relationships/hyperlink" Id="rId38"/>
    <Relationship TargetMode="External" Target="https://www.legis.iowa.gov/docs/iac/rule/441.95.3.pdf" Type="http://schemas.openxmlformats.org/officeDocument/2006/relationships/hyperlink" Id="rId39"/>
    <Relationship TargetMode="External" Target="https://www.legis.iowa.gov/docs/iac/rule/441.95.3.pdf" Type="http://schemas.openxmlformats.org/officeDocument/2006/relationships/hyperlink" Id="rId40"/>
    <Relationship TargetMode="External" Target="https://www.legis.iowa.gov/docs/iac/rule/441.7.5.pdf" Type="http://schemas.openxmlformats.org/officeDocument/2006/relationships/hyperlink" Id="rId41"/>
    <Relationship TargetMode="External" Target="https://www.legis.iowa.gov/docs/iac/rule/441.7.5.pdf" Type="http://schemas.openxmlformats.org/officeDocument/2006/relationships/hyperlink" Id="rId42"/>
    <Relationship TargetMode="External" Target="https://www.legis.iowa.gov/docs/iac/rule/441.95.13.pdf" Type="http://schemas.openxmlformats.org/officeDocument/2006/relationships/hyperlink" Id="rId43"/>
    <Relationship TargetMode="External" Target="https://www.legis.iowa.gov/docs/iac/chapter/441.7.pdf" Type="http://schemas.openxmlformats.org/officeDocument/2006/relationships/hyperlink" Id="rId44"/>
    <Relationship TargetMode="External" Target="https://www.legis.iowa.gov/docs/ico/chapter/17A.12-20.pdf" Type="http://schemas.openxmlformats.org/officeDocument/2006/relationships/hyperlink" Id="rId45"/>
    <Relationship TargetMode="External" Target="https://www.legis.iowa.gov/docs/iac/rule/441.41.22.pdf" Type="http://schemas.openxmlformats.org/officeDocument/2006/relationships/hyperlink" Id="rId46"/>
    <Relationship TargetMode="External" Target="https://www.legis.iowa.gov/docs/iac/rule/441.75.14.pdf" Type="http://schemas.openxmlformats.org/officeDocument/2006/relationships/hyperlink" Id="rId47"/>
    <Relationship TargetMode="External" Target="https://www.legis.iowa.gov/docs/iac/rule/441.95.19.pdf" Type="http://schemas.openxmlformats.org/officeDocument/2006/relationships/hyperlink" Id="rId48"/>
    <Relationship TargetMode="External" Target="https://www.legis.iowa.gov/docs/iac/rule/441.95.14.pdf" Type="http://schemas.openxmlformats.org/officeDocument/2006/relationships/hyperlink" Id="rId49"/>
    <Relationship TargetMode="External" Target="https://www.legis.iowa.gov/docs/iac/rule/441.95.14.pdf" Type="http://schemas.openxmlformats.org/officeDocument/2006/relationships/hyperlink" Id="rId50"/>
    <Relationship TargetMode="External" Target="https://www.legis.iowa.gov/docs/iac/chapter/441.7.pdf" Type="http://schemas.openxmlformats.org/officeDocument/2006/relationships/hyperlink" Id="rId51"/>
    <Relationship TargetMode="External" Target="https://www.legis.iowa.gov/docs/iac/rule/441.95.14.pdf" Type="http://schemas.openxmlformats.org/officeDocument/2006/relationships/hyperlink" Id="rId52"/>
    <Relationship TargetMode="External" Target="https://www.legis.iowa.gov/docs/ico/chapter/252B.4.pdf" Type="http://schemas.openxmlformats.org/officeDocument/2006/relationships/hyperlink" Id="rId53"/>
    <Relationship TargetMode="External" Target="https://www.legis.iowa.gov/docs/ico/chapter/252B.5.pdf" Type="http://schemas.openxmlformats.org/officeDocument/2006/relationships/hyperlink" Id="rId54"/>
    <Relationship TargetMode="External" Target="https://www.legis.iowa.gov/docs/ico/chapter/252B.6.pdf" Type="http://schemas.openxmlformats.org/officeDocument/2006/relationships/hyperlink" Id="rId55"/>
    <Relationship TargetMode="External" Target="https://www.legis.iowa.gov/docs/ico/chapter/252B.6A.pdf" Type="http://schemas.openxmlformats.org/officeDocument/2006/relationships/hyperlink" Id="rId56"/>
    <Relationship TargetMode="External" Target="https://www.legis.iowa.gov/docs/ico/chapter/252B.5-7.pdf" Type="http://schemas.openxmlformats.org/officeDocument/2006/relationships/hyperlink" Id="rId57"/>
    <Relationship TargetMode="External" Target="https://www.legis.iowa.gov/docs/ico/chapter/598.21C.pdf" Type="http://schemas.openxmlformats.org/officeDocument/2006/relationships/hyperlink" Id="rId58"/>
    <Relationship TargetMode="External" Target="https://www.legis.iowa.gov/docs/ico/chapter/252B.14.pdf" Type="http://schemas.openxmlformats.org/officeDocument/2006/relationships/hyperlink" Id="rId59"/>
    <Relationship TargetMode="External" Target="https://www.legis.iowa.gov/docs/iac/chapter/441.41.pdf" Type="http://schemas.openxmlformats.org/officeDocument/2006/relationships/hyperlink" Id="rId60"/>
    <Relationship TargetMode="External" Target="https://www.legis.iowa.gov/docs/iac/chapter/441.75.pdf" Type="http://schemas.openxmlformats.org/officeDocument/2006/relationships/hyperlink" Id="rId61"/>
    <Relationship TargetMode="External" Target="https://www.legis.iowa.gov/docs/iac/rule/441.95.14.pdf" Type="http://schemas.openxmlformats.org/officeDocument/2006/relationships/hyperlink" Id="rId62"/>
    <Relationship TargetMode="External" Target="https://www.legis.iowa.gov/docs/iac/rule/441.95.14.pdf" Type="http://schemas.openxmlformats.org/officeDocument/2006/relationships/hyperlink" Id="rId63"/>
    <Relationship TargetMode="External" Target="https://www.legis.iowa.gov/docs/iac/rule/441.95.2.pdf" Type="http://schemas.openxmlformats.org/officeDocument/2006/relationships/hyperlink" Id="rId64"/>
    <Relationship TargetMode="External" Target="https://www.legis.iowa.gov/docs/ico/chapter/252B.4.pdf" Type="http://schemas.openxmlformats.org/officeDocument/2006/relationships/hyperlink" Id="rId65"/>
    <Relationship TargetMode="External" Target="https://www.legis.iowa.gov/docs/iac/chapter/441.41.pdf" Type="http://schemas.openxmlformats.org/officeDocument/2006/relationships/hyperlink" Id="rId66"/>
    <Relationship TargetMode="External" Target="https://www.legis.iowa.gov/docs/iac/chapter/441.75.pdf" Type="http://schemas.openxmlformats.org/officeDocument/2006/relationships/hyperlink" Id="rId67"/>
    <Relationship TargetMode="External" Target="https://www.legis.iowa.gov/docs/ico/chapter/252A.3A.pdf" Type="http://schemas.openxmlformats.org/officeDocument/2006/relationships/hyperlink" Id="rId68"/>
    <Relationship TargetMode="External" Target="https://www.legis.iowa.gov/docs/iac/chapter/441.41.pdf" Type="http://schemas.openxmlformats.org/officeDocument/2006/relationships/hyperlink" Id="rId69"/>
    <Relationship TargetMode="External" Target="https://www.legis.iowa.gov/docs/iac/chapter/441.75.pdf" Type="http://schemas.openxmlformats.org/officeDocument/2006/relationships/hyperlink" Id="rId70"/>
    <Relationship TargetMode="External" Target="https://www.legis.iowa.gov/docs/ico/chapter/252B.3.pdf" Type="http://schemas.openxmlformats.org/officeDocument/2006/relationships/hyperlink" Id="rId71"/>
    <Relationship TargetMode="External" Target="https://www.legis.iowa.gov/docs/iac/chapter/441.41.pdf" Type="http://schemas.openxmlformats.org/officeDocument/2006/relationships/hyperlink" Id="rId72"/>
    <Relationship TargetMode="External" Target="https://www.legis.iowa.gov/docs/iac/chapter/441.75.pdf" Type="http://schemas.openxmlformats.org/officeDocument/2006/relationships/hyperlink" Id="rId73"/>
    <Relationship TargetMode="External" Target="https://www.legis.iowa.gov/docs/ico/chapter/252B.3.pdf" Type="http://schemas.openxmlformats.org/officeDocument/2006/relationships/hyperlink" Id="rId74"/>
    <Relationship TargetMode="External" Target="https://www.legis.iowa.gov/docs/iac/rule/441.95.19.pdf" Type="http://schemas.openxmlformats.org/officeDocument/2006/relationships/hyperlink" Id="rId75"/>
    <Relationship TargetMode="External" Target="https://www.legis.iowa.gov/docs/iac/rule/441.95.14.pdf" Type="http://schemas.openxmlformats.org/officeDocument/2006/relationships/hyperlink" Id="rId76"/>
    <Relationship TargetMode="External" Target="https://www.legis.iowa.gov/docs/ico/chapter/252B.4.pdf" Type="http://schemas.openxmlformats.org/officeDocument/2006/relationships/hyperlink" Id="rId77"/>
    <Relationship TargetMode="External" Target="https://www.legis.iowa.gov/docs/iac/rule/441.95.18.pdf" Type="http://schemas.openxmlformats.org/officeDocument/2006/relationships/hyperlink" Id="rId78"/>
    <Relationship TargetMode="External" Target="https://www.legis.iowa.gov/docs/iac/rule/441.95.2.pdf" Type="http://schemas.openxmlformats.org/officeDocument/2006/relationships/hyperlink" Id="rId79"/>
    <Relationship TargetMode="External" Target="https://www.legis.iowa.gov/docs/ico/chapter/252B.4.pdf" Type="http://schemas.openxmlformats.org/officeDocument/2006/relationships/hyperlink" Id="rId80"/>
    <Relationship TargetMode="External" Target="https://www.legis.iowa.gov/docs/iac/rule/441.95.3.pdf" Type="http://schemas.openxmlformats.org/officeDocument/2006/relationships/hyperlink" Id="rId81"/>
    <Relationship TargetMode="External" Target="https://www.legis.iowa.gov/docs/ico/chapter/252B.15.pdf" Type="http://schemas.openxmlformats.org/officeDocument/2006/relationships/hyperlink" Id="rId82"/>
    <Relationship TargetMode="External" Target="https://www.legis.iowa.gov/docs/ico/chapter/252C.pdf" Type="http://schemas.openxmlformats.org/officeDocument/2006/relationships/hyperlink" Id="rId83"/>
    <Relationship TargetMode="External" Target="https://www.legis.iowa.gov/docs/ico/chapter/252B.3.pdf" Type="http://schemas.openxmlformats.org/officeDocument/2006/relationships/hyperlink" Id="rId84"/>
    <Relationship TargetMode="External" Target="https://www.legis.iowa.gov/docs/ico/chapter/252B.4.pdf" Type="http://schemas.openxmlformats.org/officeDocument/2006/relationships/hyperlink" Id="rId85"/>
    <Relationship TargetMode="External" Target="https://www.legis.iowa.gov/docs/iac/chapter/441.7.pdf" Type="http://schemas.openxmlformats.org/officeDocument/2006/relationships/hyperlink" Id="rId86"/>
    <Relationship TargetMode="External" Target="https://www.legis.iowa.gov/docs/iac/rule/441.95.13.pdf" Type="http://schemas.openxmlformats.org/officeDocument/2006/relationships/hyperlink" Id="rId87"/>
    <Relationship TargetMode="External" Target="https://www.legis.iowa.gov/docs/iac/rule/441.95.14.pdf" Type="http://schemas.openxmlformats.org/officeDocument/2006/relationships/hyperlink" Id="rId88"/>
    <Relationship TargetMode="External" Target="https://www.legis.iowa.gov/docs/iac/chapter/441.7.pdf" Type="http://schemas.openxmlformats.org/officeDocument/2006/relationships/hyperlink" Id="rId89"/>
    <Relationship TargetMode="External" Target="https://www.legis.iowa.gov/docs/ico/chapter/252B.pdf" Type="http://schemas.openxmlformats.org/officeDocument/2006/relationships/hyperlink" Id="rId90"/>
    <Relationship TargetMode="External" Target="https://www.legis.iowa.gov/docs/ico/chapter/17A.12-20.pdf" Type="http://schemas.openxmlformats.org/officeDocument/2006/relationships/hyperlink" Id="rId91"/>
    <Relationship TargetMode="External" Target="https://www.legis.iowa.gov/docs/ico/chapter/17A.12.pdf" Type="http://schemas.openxmlformats.org/officeDocument/2006/relationships/hyperlink" Id="rId92"/>
    <Relationship TargetMode="External" Target="https://www.legis.iowa.gov/docs/ico/chapter/17A.12.pdf" Type="http://schemas.openxmlformats.org/officeDocument/2006/relationships/hyperlink" Id="rId93"/>
    <Relationship TargetMode="External" Target="https://www.legis.iowa.gov/docs/iac/rule/441.95.1.pdf" Type="http://schemas.openxmlformats.org/officeDocument/2006/relationships/hyperlink" Id="rId94"/>
    <Relationship TargetMode="External" Target="https://www.legis.iowa.gov/docs/iac/rule/441.95.3.pdf" Type="http://schemas.openxmlformats.org/officeDocument/2006/relationships/hyperlink" Id="rId9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