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CASE MANAGEMENT SERVICES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xml:space="preserve">Case management services are designed to ensure the health, safety, and welfare of members by assisting them in gaining access to appropriate and necessary medical services and interrelated social, educational, housing, transportation, vocational, and other services. The term “case management” encompasses all categories of case management: targeted case management, case management and administrative case management provided to members enrolled in a 1915(c) waiver, community-based case management provided through managed care, and integrated health home (IHH) care coordination provided to the habilitation and children’s mental health waiver populations. If a part of these rules does not apply to all categories of case management, then the rule will clarify the affected category(ies).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441—90.1</w:t>
      </w:r>
      <w:r>
        <w:rPr>
          <w:rFonts w:ascii="Times New Roman" w:hAnsi="Times New Roman"/>
          <w:b/>
          <w:i w:val="false"/>
          <w:color w:val="000000"/>
          <w:sz w:val="22"/>
        </w:rPr>
        <w:t xml:space="preserve">(249A)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 on the first day of the month in which service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has applied for an HCBS waiver or habilitation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coordination” </w:t>
      </w:r>
      <w:r>
        <w:rPr>
          <w:rFonts w:ascii="Times New Roman" w:hAnsi="Times New Roman"/>
          <w:b w:val="false"/>
          <w:i w:val="false"/>
          <w:color w:val="000000"/>
          <w:sz w:val="22"/>
        </w:rPr>
        <w:t xml:space="preserve">means the case management services provided by an integrated health home to members who are also receiving home- and community-based habilitation services pursuant to </w:t>
      </w:r>
      <w:hyperlink r:id="rId5">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or HCBS children’s mental health waiver services pursuant to </w:t>
      </w:r>
      <w:hyperlink r:id="rId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 xml:space="preserve">means the categories of case management: targeted case management, case management provided to members enrolled in a 1915(c) waiver, community-based case management provided through managed care, and integrated health home (IHH) care coordination provided to the habilitation and children’s mental health waiver populations.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manager” </w:t>
      </w:r>
      <w:r>
        <w:rPr>
          <w:rFonts w:ascii="Times New Roman" w:hAnsi="Times New Roman"/>
          <w:b w:val="false"/>
          <w:i w:val="false"/>
          <w:color w:val="000000"/>
          <w:sz w:val="22"/>
        </w:rPr>
        <w:t>means the staff person providing all categories of case management services regardless of the entity providing the service or the program in which the member is enrolled, including IHH care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a person other than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means a condition present in adults who have a persistent mental or emotional disorder that seriously impairs their functioning relative to such primary aspects of daily living as personal relations, living arrangements, or employment. The definition of chronic mental illness and qualifying criteria are found in </w:t>
      </w:r>
      <w:hyperlink r:id="rId7">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For purposes of this chapter, people with mental disorders resulting from Alzheimer’s disease or substance abuse shall not be considered chronically mentally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case manager” </w:t>
      </w:r>
      <w:r>
        <w:rPr>
          <w:rFonts w:ascii="Times New Roman" w:hAnsi="Times New Roman"/>
          <w:b w:val="false"/>
          <w:i w:val="false"/>
          <w:color w:val="000000"/>
          <w:sz w:val="22"/>
        </w:rPr>
        <w:t>means the employee of a Medicaid-contracted managed care organization (MCO) who provides case management services to MCO-enrolled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standardized assessment”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“CSA” </w:t>
      </w:r>
      <w:r>
        <w:rPr>
          <w:rFonts w:ascii="Times New Roman" w:hAnsi="Times New Roman"/>
          <w:b w:val="false"/>
          <w:i w:val="false"/>
          <w:color w:val="000000"/>
          <w:sz w:val="22"/>
        </w:rPr>
        <w:t xml:space="preserve">means an assessment instrument for determining the suitability of non-institutionally based long-term services and supports for an individual. The instrument shall be used in a uniform manner throughout the state to determine an applicant’s or member’s needs for training, support services, medical care, transportation, and other services and to develop an individual service plan to address such needs. The core standardized assessment shall be performed by a contractor under the direction of the department for the fee-for-service population. MCOs shall perform core standardized assessments for MCO-enrolled members or shall delegate the responsibility for completion of assessments. </w:t>
      </w:r>
      <w:hyperlink r:id="rId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designates the assessment and reassessment tools to be used for each HCBS waiver. </w:t>
      </w:r>
      <w:hyperlink r:id="rId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designates the assessment and reassessment tools to be used for 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“Developmental disability” </w:t>
      </w:r>
      <w:r>
        <w:rPr>
          <w:rFonts w:ascii="Times New Roman" w:hAnsi="Times New Roman"/>
          <w:b w:val="false"/>
          <w:i w:val="false"/>
          <w:color w:val="000000"/>
          <w:sz w:val="22"/>
        </w:rPr>
        <w:t>means a severe, chronic disability that is determined through professionally administered screening and evaluations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attributable to a mental or physical impairment or combination of mental and physical impairments;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manifested before the age of 22;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likely to continue indefinitely;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substantial functional limitations in three or more of the following areas of major life activity: (a) self-care, (b) receptive and expressive language, (c) learning, (d) mobility, (e) self-direction, (f) capacity for independent living, and (g) economic self-sufficiency;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Reflects the person’s need for a combination and sequence of special, interdisciplinary, or generic services, individualized supports, or other forms of assistance that are of lifelong or extended duration and are individually planned and coordinated.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“Fee-for-service member”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“FFS member” </w:t>
      </w:r>
      <w:r>
        <w:rPr>
          <w:rFonts w:ascii="Times New Roman" w:hAnsi="Times New Roman"/>
          <w:b w:val="false"/>
          <w:i w:val="false"/>
          <w:color w:val="000000"/>
          <w:sz w:val="22"/>
        </w:rPr>
        <w:t>means a member who is not enrolled with a managed care organization because the member is exempt from managed care organization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“HCBS” </w:t>
      </w:r>
      <w:r>
        <w:rPr>
          <w:rFonts w:ascii="Times New Roman" w:hAnsi="Times New Roman"/>
          <w:b w:val="false"/>
          <w:i w:val="false"/>
          <w:color w:val="000000"/>
          <w:sz w:val="22"/>
        </w:rPr>
        <w:t xml:space="preserve">means services provided pursuant to </w:t>
      </w:r>
      <w:r>
        <w:rPr>
          <w:rFonts w:ascii="Times New Roman" w:hAnsi="Times New Roman"/>
          <w:b w:val="false"/>
          <w:i w:val="false"/>
          <w:color w:val="000000"/>
          <w:sz w:val="22"/>
        </w:rPr>
        <w:t>Sections 1915(c) and 1915(i)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“Integrated health home”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“IHH” </w:t>
      </w:r>
      <w:r>
        <w:rPr>
          <w:rFonts w:ascii="Times New Roman" w:hAnsi="Times New Roman"/>
          <w:b w:val="false"/>
          <w:i w:val="false"/>
          <w:color w:val="000000"/>
          <w:sz w:val="22"/>
        </w:rPr>
        <w:t xml:space="preserve">means a provider of health home services that is a Medicaid-enrolled provider and that is determined through the provider enrollment process to have the qualifications, systems and infrastructure in place to provide IHH services pursuant to </w:t>
      </w:r>
      <w:hyperlink r:id="rId10">
        <w:r>
          <w:rPr>
            <w:rStyle w:val="Hyperlink"/>
            <w:rFonts w:ascii="Times New Roman" w:hAnsi="Times New Roman"/>
            <w:b w:val="false"/>
            <w:i w:val="false"/>
            <w:color w:val="000000"/>
            <w:sz w:val="22"/>
          </w:rPr>
          <w:t>441—Chapter 77</w:t>
        </w:r>
      </w:hyperlink>
      <w:r>
        <w:rPr>
          <w:rFonts w:ascii="Times New Roman" w:hAnsi="Times New Roman"/>
          <w:b w:val="false"/>
          <w:i w:val="false"/>
          <w:color w:val="000000"/>
          <w:sz w:val="22"/>
        </w:rPr>
        <w:t xml:space="preserve">. IHH covered services and member eligibility for IHH enrollment are also governed by </w:t>
      </w:r>
      <w:hyperlink r:id="rId11">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and the health home state plan amendment. The IHH provides care coordination services for enrolled habilitation and children’s mental health waiver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“Intellectual disability” </w:t>
      </w:r>
      <w:r>
        <w:rPr>
          <w:rFonts w:ascii="Times New Roman" w:hAnsi="Times New Roman"/>
          <w:b w:val="false"/>
          <w:i w:val="false"/>
          <w:color w:val="000000"/>
          <w:sz w:val="22"/>
        </w:rPr>
        <w:t xml:space="preserve">means a diagnosis of intellectual disability (intellectual developmental disorder), global developmental delay, or unspecified intellectual disability (intellectual developmental disorder). Diagnosis criteria are outlined in </w:t>
      </w:r>
      <w:hyperlink r:id="rId1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incident” </w:t>
      </w:r>
      <w:r>
        <w:rPr>
          <w:rFonts w:ascii="Times New Roman" w:hAnsi="Times New Roman"/>
          <w:b w:val="false"/>
          <w:i w:val="false"/>
          <w:color w:val="000000"/>
          <w:sz w:val="22"/>
        </w:rPr>
        <w:t>means an occurrence that involves a member who is enrolled in an HCBS waiver, targeted case management, or habilitation services and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a physical injury to or by the member that requires a physician’s treatment or admission to a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the death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emergency mental health treatment for the member;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Requires the intervention of law enforcement;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Requires a report of child abuse pursuant to Iowa Code section </w:t>
      </w:r>
      <w:hyperlink r:id="rId13">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 report of dependent adult abuse pursuant to Iowa Code section </w:t>
      </w:r>
      <w:hyperlink r:id="rId14">
        <w:r>
          <w:rPr>
            <w:rStyle w:val="Hyperlink"/>
            <w:rFonts w:ascii="Times New Roman" w:hAnsi="Times New Roman"/>
            <w:b w:val="false"/>
            <w:i w:val="false"/>
            <w:color w:val="000000"/>
            <w:sz w:val="22"/>
          </w:rPr>
          <w:t>235B.3</w:t>
        </w:r>
      </w:hyperlink>
      <w:r>
        <w:rPr>
          <w:rFonts w:ascii="Times New Roman" w:hAnsi="Times New Roman"/>
          <w:b w:val="false"/>
          <w:i w:val="false"/>
          <w:color w:val="000000"/>
          <w:sz w:val="22"/>
        </w:rPr>
        <w:t xml:space="preserve">, or a report of elder abuse pursuant to Iowa Code chapter </w:t>
      </w:r>
      <w:hyperlink r:id="rId15">
        <w:r>
          <w:rPr>
            <w:rStyle w:val="Hyperlink"/>
            <w:rFonts w:ascii="Times New Roman" w:hAnsi="Times New Roman"/>
            <w:b w:val="false"/>
            <w:i w:val="false"/>
            <w:color w:val="000000"/>
            <w:sz w:val="22"/>
          </w:rPr>
          <w:t>235F</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Constitutes a prescription medication error or a pattern of medication errors that leads to the outcome in numbered paragraph “1,” “2,” or “3”; or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Involves a member’s location being unknown by provider staff who are responsible for protective oversight.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“MCO” </w:t>
      </w:r>
      <w:r>
        <w:rPr>
          <w:rFonts w:ascii="Times New Roman" w:hAnsi="Times New Roman"/>
          <w:b w:val="false"/>
          <w:i w:val="false"/>
          <w:color w:val="000000"/>
          <w:sz w:val="22"/>
        </w:rPr>
        <w:t xml:space="preserve">means the same as defined in </w:t>
      </w:r>
      <w:hyperlink r:id="rId16">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institution” </w:t>
      </w:r>
      <w:r>
        <w:rPr>
          <w:rFonts w:ascii="Times New Roman" w:hAnsi="Times New Roman"/>
          <w:b w:val="false"/>
          <w:i w:val="false"/>
          <w:color w:val="000000"/>
          <w:sz w:val="22"/>
        </w:rPr>
        <w:t>means an institution that is organized, staffed, and authorized to provide medical care as set forth in the most recent amendment to 42 Code of Federal Regulations Section 435.1009 as amended to October 20, 2022. A residential care facility is not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 xml:space="preserve">means a person who has been determined to be eligible for Medicaid under </w:t>
      </w:r>
      <w:hyperlink r:id="rId1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incident” </w:t>
      </w:r>
      <w:r>
        <w:rPr>
          <w:rFonts w:ascii="Times New Roman" w:hAnsi="Times New Roman"/>
          <w:b w:val="false"/>
          <w:i w:val="false"/>
          <w:color w:val="000000"/>
          <w:sz w:val="22"/>
        </w:rPr>
        <w:t>means an occurrence that involves a member who is enrolled in an HCBS waiver, targeted case management, or habilitation services and that is not a major incident but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in the application of basic first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in bruising;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in seizure activity;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in injury to self, to others, or to property;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Constitutes a prescription medication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plan” </w:t>
      </w:r>
      <w:r>
        <w:rPr>
          <w:rFonts w:ascii="Times New Roman" w:hAnsi="Times New Roman"/>
          <w:b w:val="false"/>
          <w:i w:val="false"/>
          <w:color w:val="000000"/>
          <w:sz w:val="22"/>
        </w:rPr>
        <w:t>means a service plan created through the person-centered planning process, directed by the member with long-term care needs or the member’s guardian or representative, to identify the member’s strengths, capabilities, preferences, needs, and desired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“Rights restriction” </w:t>
      </w:r>
      <w:r>
        <w:rPr>
          <w:rFonts w:ascii="Times New Roman" w:hAnsi="Times New Roman"/>
          <w:b w:val="false"/>
          <w:i w:val="false"/>
          <w:color w:val="000000"/>
          <w:sz w:val="22"/>
        </w:rPr>
        <w:t>means limitations not imposed on the general public in the areas of communication, mobility, finances, medical or mental health treatment, intimacy, privacy, type of work, religion, place of residence, and people with whom a member may share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case management” </w:t>
      </w:r>
      <w:r>
        <w:rPr>
          <w:rFonts w:ascii="Times New Roman" w:hAnsi="Times New Roman"/>
          <w:b w:val="false"/>
          <w:i w:val="false"/>
          <w:color w:val="000000"/>
          <w:sz w:val="22"/>
        </w:rPr>
        <w:t>means case management services furnished to assist members who are part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population” </w:t>
      </w:r>
      <w:r>
        <w:rPr>
          <w:rFonts w:ascii="Times New Roman" w:hAnsi="Times New Roman"/>
          <w:b w:val="false"/>
          <w:i w:val="false"/>
          <w:color w:val="000000"/>
          <w:sz w:val="22"/>
        </w:rPr>
        <w:t>means people who meet one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adult who is identified with a primary diagnosis of intellectual disability, chronic mental illness, or developmental disability;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child who is eligible to receive HCBS intellectual disability waiver services or HCBS children’s mental health waiver services according to </w:t>
      </w:r>
      <w:hyperlink r:id="rId1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member enrolled with a managed care organization or integrated health home is not part of the targeted population.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6854C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441—90.2</w:t>
      </w:r>
      <w:r>
        <w:rPr>
          <w:rFonts w:ascii="Times New Roman" w:hAnsi="Times New Roman"/>
          <w:b/>
          <w:i w:val="false"/>
          <w:color w:val="000000"/>
          <w:sz w:val="22"/>
        </w:rPr>
        <w:t xml:space="preserve">(249A) </w:t>
      </w:r>
      <w:r>
        <w:rPr>
          <w:rFonts w:ascii="Times New Roman" w:hAnsi="Times New Roman"/>
          <w:b/>
          <w:i w:val="false"/>
          <w:color w:val="000000"/>
          <w:sz w:val="22"/>
        </w:rPr>
        <w:t xml:space="preserve">Targeted case management. </w:t>
      </w:r>
      <w:r>
        <w:rPr>
          <w:rFonts w:ascii="Times New Roman" w:hAnsi="Times New Roman"/>
          <w:b w:val="false"/>
          <w:i w:val="false"/>
          <w:color w:val="000000"/>
          <w:sz w:val="22"/>
        </w:rPr>
        <w:t xml:space="preserve">Rule </w:t>
      </w:r>
      <w:hyperlink r:id="rId19">
        <w:r>
          <w:rPr>
            <w:rStyle w:val="Hyperlink"/>
            <w:rFonts w:ascii="Times New Roman" w:hAnsi="Times New Roman"/>
            <w:b w:val="false"/>
            <w:i w:val="false"/>
            <w:color w:val="000000"/>
            <w:sz w:val="22"/>
          </w:rPr>
          <w:t>441—90.2</w:t>
        </w:r>
      </w:hyperlink>
      <w:r>
        <w:rPr>
          <w:rFonts w:ascii="Times New Roman" w:hAnsi="Times New Roman"/>
          <w:b w:val="false"/>
          <w:i w:val="false"/>
          <w:color w:val="000000"/>
          <w:sz w:val="22"/>
        </w:rPr>
        <w:t>(249A) applies only to the case management category of targeted case management and the defined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targeted case management. </w:t>
      </w:r>
      <w:r>
        <w:rPr>
          <w:rFonts w:ascii="Times New Roman" w:hAnsi="Times New Roman"/>
          <w:b w:val="false"/>
          <w:i w:val="false"/>
          <w:color w:val="000000"/>
          <w:sz w:val="22"/>
        </w:rPr>
        <w:t>A person who meets all of the following criteria shall be eligible for targeted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eligible for Medicaid or is conditionally eligible under </w:t>
      </w:r>
      <w:hyperlink r:id="rId2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is a member of a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resides in a community setting or qualifies for transitional case management as set forth in </w:t>
      </w:r>
      <w:hyperlink r:id="rId21">
        <w:r>
          <w:rPr>
            <w:rStyle w:val="Hyperlink"/>
            <w:rFonts w:ascii="Times New Roman" w:hAnsi="Times New Roman"/>
            <w:b w:val="false"/>
            <w:i w:val="false"/>
            <w:color w:val="000000"/>
            <w:sz w:val="22"/>
          </w:rPr>
          <w:t>subrule 90.2(4)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has applied for targeted case management in accordance with the policies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person’s need for targeted case management has been determined in accordance with rule </w:t>
      </w:r>
      <w:hyperlink r:id="rId22">
        <w:r>
          <w:rPr>
            <w:rStyle w:val="Hyperlink"/>
            <w:rFonts w:ascii="Times New Roman" w:hAnsi="Times New Roman"/>
            <w:b w:val="false"/>
            <w:i w:val="false"/>
            <w:color w:val="000000"/>
            <w:sz w:val="22"/>
          </w:rPr>
          <w:t>441—90.2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or enrolled in, Medicaid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for targeted case management. </w:t>
      </w:r>
      <w:r>
        <w:rPr>
          <w:rFonts w:ascii="Times New Roman" w:hAnsi="Times New Roman"/>
          <w:b w:val="false"/>
          <w:i w:val="false"/>
          <w:color w:val="000000"/>
          <w:sz w:val="22"/>
        </w:rPr>
        <w:t>Assessment at least every 365 days of the need for targeted case management is required as a condition of eligibility under the medical assistance program. The targeted case management provider shall determine the member’s initial and ongoing need for service based on diagnostic reports, documentation of provision of services, and information supplied by the member and other appropriate sources. The evidence shall be documented in the member’s file and shall demonstrate that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has a need for targeted case management to manage necessary medical, social, educational, housing, transportation, vocational, and other services for the benefit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functional limitations and lacks the ability to independently access and sustain involvement in necessary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is not receiving, under the medical assistance program or under a Medicaid managed health care plan, other paid benefits that serve the same purpose as targeted case management or integrated health home care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targeted case management. </w:t>
      </w:r>
      <w:r>
        <w:rPr>
          <w:rFonts w:ascii="Times New Roman" w:hAnsi="Times New Roman"/>
          <w:b w:val="false"/>
          <w:i w:val="false"/>
          <w:color w:val="000000"/>
          <w:sz w:val="22"/>
        </w:rPr>
        <w:t>The provider shall process an application for targeted case management no later than 30 days after receipt of the application. The provider shall refer the applicant to the department’s service unit or mental health and disability services regions if other services outside the scope of case management are needed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and documentation. </w:t>
      </w:r>
      <w:r>
        <w:rPr>
          <w:rFonts w:ascii="Times New Roman" w:hAnsi="Times New Roman"/>
          <w:b w:val="false"/>
          <w:i w:val="false"/>
          <w:color w:val="000000"/>
          <w:sz w:val="22"/>
        </w:rPr>
        <w:t>The application shall include the member’s name, the nature of the request for services, and a summary of any evaluation activities completed. For FFS members, the provider shall inform the applicant in writing of the applicant’s right to choose the provider of case management services and, at the applicant’s request, shall provide a list of other case management services agencies from which the applicant may choose. The provider shall maintain this documentation for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decision for targeted case management. </w:t>
      </w:r>
      <w:r>
        <w:rPr>
          <w:rFonts w:ascii="Times New Roman" w:hAnsi="Times New Roman"/>
          <w:b w:val="false"/>
          <w:i w:val="false"/>
          <w:color w:val="000000"/>
          <w:sz w:val="22"/>
        </w:rPr>
        <w:t xml:space="preserve">The case manager shall inform the applicant, or the applicant’s guardian or representative, of any decision to approve, deny, or delay the service in accordance with the notification requirements at </w:t>
      </w:r>
      <w:hyperlink r:id="rId23">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applications. </w:t>
      </w:r>
      <w:r>
        <w:rPr>
          <w:rFonts w:ascii="Times New Roman" w:hAnsi="Times New Roman"/>
          <w:b w:val="false"/>
          <w:i w:val="false"/>
          <w:color w:val="000000"/>
          <w:sz w:val="22"/>
        </w:rPr>
        <w:t>The case manager shall deny an application for service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not currently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meet the eligibility criteria in </w:t>
      </w:r>
      <w:hyperlink r:id="rId24">
        <w:r>
          <w:rPr>
            <w:rStyle w:val="Hyperlink"/>
            <w:rFonts w:ascii="Times New Roman" w:hAnsi="Times New Roman"/>
            <w:b w:val="false"/>
            <w:i w:val="false"/>
            <w:color w:val="000000"/>
            <w:sz w:val="22"/>
          </w:rPr>
          <w:t>441—subrule 90.2(1)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the applicant’s guardian or representative, withdraws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provide information required to process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duplicative targeted case management or integrated health home care coordination from another Medicaid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have a need for targeted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90.2(4)</w:t>
      </w:r>
      <w:r>
        <w:rPr>
          <w:rFonts w:ascii="Times New Roman" w:hAnsi="Times New Roman"/>
          <w:b w:val="false"/>
          <w:i w:val="false"/>
          <w:color w:val="000000"/>
          <w:sz w:val="22"/>
        </w:rPr>
        <w:t> </w:t>
      </w:r>
      <w:r>
        <w:rPr>
          <w:rFonts w:ascii="Times New Roman" w:hAnsi="Times New Roman"/>
          <w:b w:val="false"/>
          <w:i/>
          <w:color w:val="000000"/>
          <w:sz w:val="22"/>
        </w:rPr>
        <w:t xml:space="preserve">Transition to a community setting. </w:t>
      </w:r>
      <w:r>
        <w:rPr>
          <w:rFonts w:ascii="Times New Roman" w:hAnsi="Times New Roman"/>
          <w:b w:val="false"/>
          <w:i w:val="false"/>
          <w:color w:val="000000"/>
          <w:sz w:val="22"/>
        </w:rPr>
        <w:t xml:space="preserve">Managed care organizations must provide transition services to all enrolled members. Fee-for-service targeted case management services may be provided to a member transitioning to a community setting during the 60 days before the member’s discharge from a medical institution when the following requirements are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an adult who qualifies for targeted case management and is a member of a targeted population. Transitional case management is not an allowable service for other HCBS programs or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shall be coordinated with institutional discharge planning, but shall not duplicate institutional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duration, and scope of case management services shall be documented in the member’s service plan, which must include case management services before and after discharge, to facilitate a successful transition to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shall be made only for services provided by Medicaid-enrolled targeted case management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Claims for reimbursement for case management services shall not be submitted until the member’s discharge from the medical institution and enrollment in community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6854C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441—90.3</w:t>
      </w:r>
      <w:r>
        <w:rPr>
          <w:rFonts w:ascii="Times New Roman" w:hAnsi="Times New Roman"/>
          <w:b/>
          <w:i w:val="false"/>
          <w:color w:val="000000"/>
          <w:sz w:val="22"/>
        </w:rPr>
        <w:t xml:space="preserve">(249A) </w:t>
      </w:r>
      <w:r>
        <w:rPr>
          <w:rFonts w:ascii="Times New Roman" w:hAnsi="Times New Roman"/>
          <w:b/>
          <w:i w:val="false"/>
          <w:color w:val="000000"/>
          <w:sz w:val="22"/>
        </w:rPr>
        <w:t xml:space="preserve">Termination of targeted case management services. </w:t>
      </w:r>
      <w:r>
        <w:rPr>
          <w:rFonts w:ascii="Times New Roman" w:hAnsi="Times New Roman"/>
          <w:b w:val="false"/>
          <w:i w:val="false"/>
          <w:color w:val="000000"/>
          <w:sz w:val="22"/>
        </w:rPr>
        <w:t>Rule 441—90.3(249A) applies only to the case management category of targeted case management and the defined targeted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90.3(1)</w:t>
      </w:r>
      <w:r>
        <w:rPr>
          <w:rFonts w:ascii="Times New Roman" w:hAnsi="Times New Roman"/>
          <w:b w:val="false"/>
          <w:i w:val="false"/>
          <w:color w:val="000000"/>
          <w:sz w:val="22"/>
        </w:rPr>
        <w:t> </w:t>
      </w:r>
      <w:r>
        <w:rPr>
          <w:rFonts w:ascii="Times New Roman" w:hAnsi="Times New Roman"/>
          <w:b w:val="false"/>
          <w:i w:val="false"/>
          <w:color w:val="000000"/>
          <w:sz w:val="22"/>
        </w:rPr>
        <w:t>Targeted case management shall be terminated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does not meet eligibility criteria under rule </w:t>
      </w:r>
      <w:hyperlink r:id="rId25">
        <w:r>
          <w:rPr>
            <w:rStyle w:val="Hyperlink"/>
            <w:rFonts w:ascii="Times New Roman" w:hAnsi="Times New Roman"/>
            <w:b w:val="false"/>
            <w:i w:val="false"/>
            <w:color w:val="000000"/>
            <w:sz w:val="22"/>
          </w:rPr>
          <w:t>441—90.2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achieved all goals and objectives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no ongoing need for targeted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is receiving targeted case management based on eligibility under an HCBS program but is no longer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guardian or representative requests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is unwilling or unable to accept further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guardian or representative fails to provide access to information necessary for the development of the service plan or for implementation of targeted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notify the member or the member’s guardian or representative in writing of the termination of targeted case management, in accordance with </w:t>
      </w:r>
      <w:hyperlink r:id="rId2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6854C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441—90.4</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Rule </w:t>
      </w:r>
      <w:hyperlink r:id="rId27">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(249A) applies to all categories of case management and all populations covered by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The following shall be included in case management services provided to members, whether FFS members or MCO-enrolled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 xml:space="preserve">Initial assessments and regular reassessments must be done for each applicant and member to determine the need for any medical, social, educational, housing, transportation, vocational, or other services. The assessments and reassessments shall address all of the applicant’s and member’s areas of need, strengths, preferences, and risk factors, considering the person’s physical and social environment. Applicants and members will receive individualized prior notification of the assessment tool to be used and of who will conduct the assessment. The assessment and reassessment will be done using the core standardized assessment or another tool as designated in </w:t>
      </w:r>
      <w:hyperlink r:id="rId2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for each waiver population and </w:t>
      </w:r>
      <w:hyperlink r:id="rId29">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for the habilitation population. Initial assessments must be face to face. Reassessments using the interRAI must be done face to face. Only the Supports Intensity Scale® assessment can be done telephonically, and then only when the situation meets the criteria outlined by the American Association on Intellectual and Developmental Disabilities (AAIDD). The off-year assessment (OYA) for the intellectual disability waiver can be done telephonically. A reassessment must be conducted at a minimum every 365 days and more frequently if material changes occur in the member’s condition or circumstances. Case managers may participate during the assessment or reassessment process at the request of the applicant or member; the case manager does not assume the role of the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Person-centered service plan. </w:t>
      </w:r>
      <w:r>
        <w:rPr>
          <w:rFonts w:ascii="Times New Roman" w:hAnsi="Times New Roman"/>
          <w:b w:val="false"/>
          <w:i w:val="false"/>
          <w:color w:val="000000"/>
          <w:sz w:val="22"/>
        </w:rPr>
        <w:t>At least every 365 days, the case manager shall develop and revise a comprehensive, person-centered service plan in collaboration with the member, the member’s service providers, and other people identified as necessary by the member, as practicable. The person-centered service plan will be developed based on the assessment and shall include a crisis intervention plan based on the risk factors identified in a risk assessment. The case manager shall document the member’s history, including current and past information and social history, and shall update the history annually. The case manager shall gather information from other sources such as family members, medical providers, social workers, guardians, representatives, and others as necessary to form a thorough social history and comprehensive person-centered service plan with the member. The person-centered service plan may also be referred to as a person-centered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person-centered service plan shall address all service plan components outlined in this chapter and in </w:t>
      </w:r>
      <w:hyperlink r:id="rId30">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for the waiver in which the member is enrolled or </w:t>
      </w:r>
      <w:hyperlink r:id="rId31">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 xml:space="preserve"> for members enrolled in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Person-centered planning shall be implemented in a manner that supports the member, makes the member central to the process, and recognizes the member as the expert on goals and needs. In order for this to occur, there are certain process elements that must be included in the process. These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guardian or representative must have control over who is included in the planning process, as well as have the authority to request meetings and revise the person-centered service plan (and any related budget) whenever reasonably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process is timely and occurs at times and locations of convenience to the member, the member’s guardian or representative and family members, and others,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Necessary information and support are provided to ensure that the member or the member’s guardian or representative is central to the process and understands the information. This includes the provision of auxiliary aids and services when needed for effective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strengths-based approach to identifying the positive attributes of the member shall be used, including an assessment of the member’s strengths and needs. The member should be able to choose the specific planning format or tool used for the planning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personal preferences shall be considered to develop goals and to meet the member’s HCBS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cultural preferences must be acknowledged in the planning process, and policies/practices should be consistent with the National Standards for Culturally and Linguistically Appropriate Services in Health and Health Care (the National CLAS Standards) of the Office of Minority Health,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planning process must provide meaningful access to members and their guardians or representatives with limited English proficiency (LEP), including low literacy materials and interpreters.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who are under guardianship or other legal assignment of individual rights, or who are being considered as candidates for these arrangements, must have the opportunity in the planning process to address any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There shall be mechanisms for solving conflict or disagreement within the process, including clear conflict of interest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Members shall be offered information on the full range of HCBS available to support achievement of personally identified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guardian or representative shall be central in determining what available HCBS are appropriate and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member shall be able to choose between providers or provider entities, including the option of self-directed services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person-centered service plan shall be reviewed at least every 365 days or sooner if the member’s functional needs change, circumstances change, or quality of life goals change, or at the member’s request. There shall be a clear process for members to request reviews. The case management entity must respond to such requests in a timely manner that does not jeopardize the member’s health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planning process should not be constrained by any case manager’s or guardian’s or representative’s preconceived limits on the member’s ability to make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Employment and housing in integrated settings shall be explored, and planning should be consistent with the member’s goals and preferences, including where the member resides and with whom the member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Elements of the person-centered service plan. The person-centered service plan shall identify the services and supports that are necessary to meet the member’s identified needs, preferences, and quality of life goals. The person-centered service plan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Reflect that the setting where the member resides is chosen by the member. The chosen setting must be integrated in, and support full access to, the greater community, including opportunities to seek employment and work in competitive integrated settings, engage in community life, control personal resources, and receive services in the community to the same degree of access as individuals not receiving HCBS.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prepared in person-first singular language and be understandable by the member or the member’s guardian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Note the strengths-based positive attributes of the member at the beginning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risks, while considering the member’s right to assume some degree of personal risk, and include measures available to reduce risks or identify alternate ways to achieve personal goals.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 goals in the words of the member or the member’s guardian or representative, with clarity regarding the amount, duration, and scope of HCBS services that will be provided to assist the member. Goals shall consider the quality of life concepts important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the services and supports that will be necessary and specify what HCBS services are to be provided through various resources, including natural supports, to meet the goals in the person-centered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 the specific person or persons, provider agency and other entities providing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Ensure the health and safety of the member by addressing the member’s assessed needs and identified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 non-paid supports and items needed to achieve the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Include the signatures of everyone with responsibility for the plan’s implementation, including the member or the member’s guardians or representatives, the case manager, the support broker/agent (when applicable), and providers, and include a timeline for review of the plan. The plan must be discussed with family, friends, and caregivers designated by the member so that they fully understand it and their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Identify each person and entity responsible for monitoring the plan’s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Identify needed services based upon the assessed needs of the member and prevent unnecessary or inappropriate services and supports not identified in the assessed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Document an emergency back-up plan that encompasses a range of circumstances (e.g., weather, housing,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Address elements of self-direction through the consumer choices option (e.g., financial management service, support broker/agent, alternative services) whenever the consumer choices option is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Be distributed directly to all parties involved in the planning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and related activities. </w:t>
      </w:r>
      <w:r>
        <w:rPr>
          <w:rFonts w:ascii="Times New Roman" w:hAnsi="Times New Roman"/>
          <w:b w:val="false"/>
          <w:i w:val="false"/>
          <w:color w:val="000000"/>
          <w:sz w:val="22"/>
        </w:rPr>
        <w:t>The case manager shall assist, as needed, the member in obtaining needed services, such as by scheduling appointments for the member and by connecting the member with medical, social, educational, housing, transportation, vocational or other service providers or programs that are capable of providing needed services to address identified needs and risk factors and to achieve goals specified in the person-centered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Monitoring and follow-up. </w:t>
      </w:r>
      <w:r>
        <w:rPr>
          <w:rFonts w:ascii="Times New Roman" w:hAnsi="Times New Roman"/>
          <w:b w:val="false"/>
          <w:i w:val="false"/>
          <w:color w:val="000000"/>
          <w:sz w:val="22"/>
        </w:rPr>
        <w:t>The case manager shall perform monitoring activities and make contacts that are necessary to ensure the health, safety, and welfare of the member and to ensure that the person-centered service plan is effectively implemented and adequately addresses the needs of the member. At a minimum, monitoring shall include assessing the member, the places of service (including the member’s home, when applicable), and all services regardless of the service funding stream. Monitoring shall also include review of service provider documentation. Monitoring of the following aspects of the person-centered service plan shall lead to revisions of the plan if deficiencies are noted: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being furnished in accordance with the member’s person-centered service plan, including the amount of service provided and the member’s attendance and participation in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declined services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among providers is occurring, as practicable, to ensure coordination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in the person-centered service plan are adequate, including the member’s progress toward achieving the goals and actions determined in the person-centered service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are changes in the needs or circumstances of the member. Follow-up activities shall include making necessary adjustments in the person-centered service plan and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Contacts. </w:t>
      </w:r>
      <w:r>
        <w:rPr>
          <w:rFonts w:ascii="Times New Roman" w:hAnsi="Times New Roman"/>
          <w:b w:val="false"/>
          <w:i w:val="false"/>
          <w:color w:val="000000"/>
          <w:sz w:val="22"/>
        </w:rPr>
        <w:t>Case managers shall make contacts with the member, the member’s guardians or representatives, or service providers as frequently as necessary and no less frequently than necessary to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have at least one face-to-face contact with the member in the member’s residence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have at least one contact per month with the member or the member’s guardians or representatives. This contact may be face to face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Community-based case management contacts will be made in accordance with the Medicaid contract MED-16-019, or subsequent Medicaid managed care contracts with the department, in those instances where the contract specifies contacts different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shall not be made for activities otherwise within the definition of case management services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are an integral component of another covered Medicaid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activities constitute the direct delivery of underlying medical, social, educational, housing, transportation, vocational or other services to which a member has been referred. Such services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under parole and probation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guardianship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welfare and child protective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Foster care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are components of the administration of foster care programs,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Research gathering and completion of documentation required by the foster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Assessing adoption 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Recruiting or interviewing potential foster care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Serving legal 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Conducting home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transportation related to the administration of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Administering foster care subsidies;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Making placement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for which a member may be eligible are a component of the administration of another nonmedical program, such as a guardianship, child welfare or child protective services, parole, probation, or special education program, except for case management that is included in an individualized education program or individualized family service plan consistent with </w:t>
      </w:r>
      <w:r>
        <w:rPr>
          <w:rFonts w:ascii="Times New Roman" w:hAnsi="Times New Roman"/>
          <w:b w:val="false"/>
          <w:i w:val="false"/>
          <w:color w:val="000000"/>
          <w:sz w:val="22"/>
        </w:rPr>
        <w:t>Section 1903(c)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activities duplicate institutional discharge planning.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441—90.5</w:t>
      </w:r>
      <w:r>
        <w:rPr>
          <w:rFonts w:ascii="Times New Roman" w:hAnsi="Times New Roman"/>
          <w:b/>
          <w:i w:val="false"/>
          <w:color w:val="000000"/>
          <w:sz w:val="22"/>
        </w:rPr>
        <w:t xml:space="preserve">(249A) </w:t>
      </w:r>
      <w:r>
        <w:rPr>
          <w:rFonts w:ascii="Times New Roman" w:hAnsi="Times New Roman"/>
          <w:b/>
          <w:i w:val="false"/>
          <w:color w:val="000000"/>
          <w:sz w:val="22"/>
        </w:rPr>
        <w:t xml:space="preserve">Rights restrictions. </w:t>
      </w:r>
      <w:r>
        <w:rPr>
          <w:rFonts w:ascii="Times New Roman" w:hAnsi="Times New Roman"/>
          <w:b w:val="false"/>
          <w:i w:val="false"/>
          <w:color w:val="000000"/>
          <w:sz w:val="22"/>
        </w:rPr>
        <w:t xml:space="preserve">Rule </w:t>
      </w:r>
      <w:hyperlink r:id="rId32">
        <w:r>
          <w:rPr>
            <w:rStyle w:val="Hyperlink"/>
            <w:rFonts w:ascii="Times New Roman" w:hAnsi="Times New Roman"/>
            <w:b w:val="false"/>
            <w:i w:val="false"/>
            <w:color w:val="000000"/>
            <w:sz w:val="22"/>
          </w:rPr>
          <w:t>441—90.5</w:t>
        </w:r>
      </w:hyperlink>
      <w:r>
        <w:rPr>
          <w:rFonts w:ascii="Times New Roman" w:hAnsi="Times New Roman"/>
          <w:b w:val="false"/>
          <w:i w:val="false"/>
          <w:color w:val="000000"/>
          <w:sz w:val="22"/>
        </w:rPr>
        <w:t>(249A) applies to all categories of case management and all populations covered by case management. Any effort to restrict the rights of a member to realize the member’s preferences or goals must be justified by a specific individualized assessed safety need and documented in the person-centered service plan. The following requirements must be documented in the plan when a safety need has been identified that warrants a rights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and individualized assessed safety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positive interventions and supports used prior to any modifications or additions to the person-centered service plan regarding safety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less intrusive methods of meeting the safety needs that have been tried but were not successful;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clear description of the rights restriction that is directly proportionate to the specific assessed safety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regular collection and review of data to measure the ongoing effectiveness of the rights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established time limits for periodic reviews to determine whether the rights restriction is still necessary or can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informed consent of the member to the proposed rights restriction;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assurance that the rights restriction itself will not cause undue harm to the member.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441—90.6</w:t>
      </w:r>
      <w:r>
        <w:rPr>
          <w:rFonts w:ascii="Times New Roman" w:hAnsi="Times New Roman"/>
          <w:b/>
          <w:i w:val="false"/>
          <w:color w:val="000000"/>
          <w:sz w:val="22"/>
        </w:rPr>
        <w:t xml:space="preserve">(249A) </w:t>
      </w:r>
      <w:r>
        <w:rPr>
          <w:rFonts w:ascii="Times New Roman" w:hAnsi="Times New Roman"/>
          <w:b/>
          <w:i w:val="false"/>
          <w:color w:val="000000"/>
          <w:sz w:val="22"/>
        </w:rPr>
        <w:t xml:space="preserve">Documentation and billing.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contacts. </w:t>
      </w:r>
      <w:r>
        <w:rPr>
          <w:rFonts w:ascii="Times New Roman" w:hAnsi="Times New Roman"/>
          <w:b w:val="false"/>
          <w:i w:val="false"/>
          <w:color w:val="000000"/>
          <w:sz w:val="22"/>
        </w:rPr>
        <w:t xml:space="preserve">Subrule </w:t>
      </w:r>
      <w:hyperlink r:id="rId33">
        <w:r>
          <w:rPr>
            <w:rStyle w:val="Hyperlink"/>
            <w:rFonts w:ascii="Times New Roman" w:hAnsi="Times New Roman"/>
            <w:b w:val="false"/>
            <w:i w:val="false"/>
            <w:color w:val="000000"/>
            <w:sz w:val="22"/>
          </w:rPr>
          <w:t>90.6(1)</w:t>
        </w:r>
      </w:hyperlink>
      <w:r>
        <w:rPr>
          <w:rFonts w:ascii="Times New Roman" w:hAnsi="Times New Roman"/>
          <w:b w:val="false"/>
          <w:i w:val="false"/>
          <w:color w:val="000000"/>
          <w:sz w:val="22"/>
        </w:rPr>
        <w:t xml:space="preserve"> applies to all categories of case management and all populations covered by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of case management services contacts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other case managers within the same agency or referral or transition to another case management agency;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requirements as outlined in </w:t>
      </w:r>
      <w:hyperlink r:id="rId34">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to support payment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Targeted case management providers serving FFS members must also adhere to </w:t>
      </w:r>
      <w:hyperlink r:id="rId35">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90.6(2)</w:t>
      </w:r>
      <w:r>
        <w:rPr>
          <w:rFonts w:ascii="Times New Roman" w:hAnsi="Times New Roman"/>
          <w:b w:val="false"/>
          <w:i w:val="false"/>
          <w:color w:val="000000"/>
          <w:sz w:val="22"/>
        </w:rPr>
        <w:t> </w:t>
      </w:r>
      <w:r>
        <w:rPr>
          <w:rFonts w:ascii="Times New Roman" w:hAnsi="Times New Roman"/>
          <w:b w:val="false"/>
          <w:i/>
          <w:color w:val="000000"/>
          <w:sz w:val="22"/>
        </w:rPr>
        <w:t xml:space="preserve">Rounding units of service for case management services. </w:t>
      </w:r>
      <w:r>
        <w:rPr>
          <w:rFonts w:ascii="Times New Roman" w:hAnsi="Times New Roman"/>
          <w:b w:val="false"/>
          <w:i w:val="false"/>
          <w:color w:val="000000"/>
          <w:sz w:val="22"/>
        </w:rPr>
        <w:t>Sub</w:t>
      </w:r>
      <w:hyperlink r:id="rId36">
        <w:r>
          <w:rPr>
            <w:rStyle w:val="Hyperlink"/>
            <w:rFonts w:ascii="Times New Roman" w:hAnsi="Times New Roman"/>
            <w:b w:val="false"/>
            <w:i w:val="false"/>
            <w:color w:val="000000"/>
            <w:sz w:val="22"/>
          </w:rPr>
          <w:t>rule 90.6(2)</w:t>
        </w:r>
      </w:hyperlink>
      <w:r>
        <w:rPr>
          <w:rFonts w:ascii="Times New Roman" w:hAnsi="Times New Roman"/>
          <w:b w:val="false"/>
          <w:i w:val="false"/>
          <w:color w:val="000000"/>
          <w:sz w:val="22"/>
        </w:rPr>
        <w:t xml:space="preserve"> applies only to targeted case management provided to FFS members or case management provided to brain injury or elderly waiver FFS members. For all fee-for-service case management units of service, the following rounding process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90.6(3)</w:t>
      </w:r>
      <w:r>
        <w:rPr>
          <w:rFonts w:ascii="Times New Roman" w:hAnsi="Times New Roman"/>
          <w:b w:val="false"/>
          <w:i w:val="false"/>
          <w:color w:val="000000"/>
          <w:sz w:val="22"/>
        </w:rPr>
        <w:t> </w:t>
      </w:r>
      <w:r>
        <w:rPr>
          <w:rFonts w:ascii="Times New Roman" w:hAnsi="Times New Roman"/>
          <w:b w:val="false"/>
          <w:i/>
          <w:color w:val="000000"/>
          <w:sz w:val="22"/>
        </w:rPr>
        <w:t xml:space="preserve">Collateral contacts. </w:t>
      </w:r>
      <w:r>
        <w:rPr>
          <w:rFonts w:ascii="Times New Roman" w:hAnsi="Times New Roman"/>
          <w:b w:val="false"/>
          <w:i w:val="false"/>
          <w:color w:val="000000"/>
          <w:sz w:val="22"/>
        </w:rPr>
        <w:t>Sub</w:t>
      </w:r>
      <w:hyperlink r:id="rId37">
        <w:r>
          <w:rPr>
            <w:rStyle w:val="Hyperlink"/>
            <w:rFonts w:ascii="Times New Roman" w:hAnsi="Times New Roman"/>
            <w:b w:val="false"/>
            <w:i w:val="false"/>
            <w:color w:val="000000"/>
            <w:sz w:val="22"/>
          </w:rPr>
          <w:t>rule 90.6(3)</w:t>
        </w:r>
      </w:hyperlink>
      <w:r>
        <w:rPr>
          <w:rFonts w:ascii="Times New Roman" w:hAnsi="Times New Roman"/>
          <w:b w:val="false"/>
          <w:i w:val="false"/>
          <w:color w:val="000000"/>
          <w:sz w:val="22"/>
        </w:rPr>
        <w:t xml:space="preserve"> applies only to targeted case management provided to FFS members or case management provided to brain injury or elderly waiver FFS members. For all fee-for-service case management units of service, the case manager may bill for documented contacts with other entities and individuals if the contacts are directly related to the member’s needs and care, such as helping the member access services, identifying needs and supports to assist the member in obtaining services, providing other case managers with useful feedback, and alerting other case managers to changes in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90.6(4)</w:t>
      </w:r>
      <w:r>
        <w:rPr>
          <w:rFonts w:ascii="Times New Roman" w:hAnsi="Times New Roman"/>
          <w:b w:val="false"/>
          <w:i w:val="false"/>
          <w:color w:val="000000"/>
          <w:sz w:val="22"/>
        </w:rPr>
        <w:t> </w:t>
      </w:r>
      <w:r>
        <w:rPr>
          <w:rFonts w:ascii="Times New Roman" w:hAnsi="Times New Roman"/>
          <w:b w:val="false"/>
          <w:i/>
          <w:color w:val="000000"/>
          <w:sz w:val="22"/>
        </w:rPr>
        <w:t xml:space="preserve">Billable activities for case management services. </w:t>
      </w:r>
      <w:r>
        <w:rPr>
          <w:rFonts w:ascii="Times New Roman" w:hAnsi="Times New Roman"/>
          <w:b w:val="false"/>
          <w:i w:val="false"/>
          <w:color w:val="000000"/>
          <w:sz w:val="22"/>
        </w:rPr>
        <w:t>Sub</w:t>
      </w:r>
      <w:hyperlink r:id="rId38">
        <w:r>
          <w:rPr>
            <w:rStyle w:val="Hyperlink"/>
            <w:rFonts w:ascii="Times New Roman" w:hAnsi="Times New Roman"/>
            <w:b w:val="false"/>
            <w:i w:val="false"/>
            <w:color w:val="000000"/>
            <w:sz w:val="22"/>
          </w:rPr>
          <w:t>rule 90.6(4)</w:t>
        </w:r>
      </w:hyperlink>
      <w:r>
        <w:rPr>
          <w:rFonts w:ascii="Times New Roman" w:hAnsi="Times New Roman"/>
          <w:b w:val="false"/>
          <w:i w:val="false"/>
          <w:color w:val="000000"/>
          <w:sz w:val="22"/>
        </w:rPr>
        <w:t xml:space="preserve"> applies only to targeted case management provided to FFS members or case management provided to brain injury or elderly waiver FFS members. Billable activities for case management services are limited to the following activities, and any activity included in this list must be billed if the activity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Face-to-face meeting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completed during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Telephone conversation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completed during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Collateral contacts on behalf of the member, including face-to-face, telephone, and email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completed during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care plans and person-centered 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histories: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Assessments and reassessments: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Participation during the assessment if requested by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of the assessment for creation of the person-centered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6854C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441—90.7</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provider requirements. </w:t>
      </w:r>
      <w:r>
        <w:rPr>
          <w:rFonts w:ascii="Times New Roman" w:hAnsi="Times New Roman"/>
          <w:b w:val="false"/>
          <w:i w:val="false"/>
          <w:color w:val="000000"/>
          <w:sz w:val="22"/>
        </w:rPr>
        <w:t xml:space="preserve">Rule </w:t>
      </w:r>
      <w:hyperlink r:id="rId39">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 applies to all categories of case management and all populations covered by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90.7(1)</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procedures for major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major incident occurs or a staff member becomes aware of a major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 shall notify the following persons of the incident by midnight of the next calendar day after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staff member’s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or member’s legal guardians;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case manager. The case manager shall create an incident report if a provider has not submitted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midnight of the next business day after the incident, the staff member who observed or first became aware of the incident shall also report as much information as is known by the staff member about the incident to the member’s managed care organization in the format required by the managed care organization. If the member is not enrolled with a managed care organization, or is receiving money follows the person funding, the staff member shall report the information by direct data entry into the Iowa Medicaid portal access (IMPA) system. The case manager is responsible for reporting the incident if the provider of service has not already reported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member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where the incident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of all provider staff and others who were present at the time of the incident or who responded after becoming aware of the incident. The confidentiality of other Medicaid-eligible members or non-Medicaid-eligible persons who were present must be maintained by the use of initials or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action taken to manage or respond to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resolution of or follow-up to the incident;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the report is made and the handwritten or electronic signature of the person making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complete information about the incident is not available at the time of the initial report, the case management services provider must submit follow-up reports until the case manager is satisfied with the incident resolution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case management services provider shall maintain the completed report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case management services provider shall track incident data and analyze trends to assess the health and safety of members served and to determine whether changes need to be made for service implementation or whether staff training is needed to reduce the number or severity of incidents.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incident report for a major incident is received from any provider, the case manager shall monitor the situation to ensure that the member’s needs continue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any major incident occurs, the case manager shall reevaluate the risk factors identified in the risk assessment portion of the service plan in order to ensure the continued health, safety, and welfare of the member. Documentation must be made in the person-centered service plan of this review and follow-up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90.7(2)</w:t>
      </w:r>
      <w:r>
        <w:rPr>
          <w:rFonts w:ascii="Times New Roman" w:hAnsi="Times New Roman"/>
          <w:b w:val="false"/>
          <w:i w:val="false"/>
          <w:color w:val="000000"/>
          <w:sz w:val="22"/>
        </w:rPr>
        <w:t> </w:t>
      </w:r>
      <w:r>
        <w:rPr>
          <w:rFonts w:ascii="Times New Roman" w:hAnsi="Times New Roman"/>
          <w:b w:val="false"/>
          <w:i/>
          <w:color w:val="000000"/>
          <w:sz w:val="22"/>
        </w:rPr>
        <w:t xml:space="preserve">Reporting procedures for minor incidents. </w:t>
      </w:r>
      <w:r>
        <w:rPr>
          <w:rFonts w:ascii="Times New Roman" w:hAnsi="Times New Roman"/>
          <w:b w:val="false"/>
          <w:i w:val="false"/>
          <w:color w:val="000000"/>
          <w:sz w:val="22"/>
        </w:rPr>
        <w:t>Minor incidents may be reported in any format designated by the case management services provider. When a minor incident occurs, or a staff member becomes aware of a minor incident, the staff member involved shall submit the completed incident report to the staff member’s supervisor within 72 hours of the incident. The completed report shall be maintained in a centralized file with a notation in the member’s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90.7(3)</w:t>
      </w:r>
      <w:r>
        <w:rPr>
          <w:rFonts w:ascii="Times New Roman" w:hAnsi="Times New Roman"/>
          <w:b w:val="false"/>
          <w:i w:val="false"/>
          <w:color w:val="000000"/>
          <w:sz w:val="22"/>
        </w:rPr>
        <w:t> </w:t>
      </w:r>
      <w:r>
        <w:rPr>
          <w:rFonts w:ascii="Times New Roman" w:hAnsi="Times New Roman"/>
          <w:b w:val="false"/>
          <w:i/>
          <w:color w:val="000000"/>
          <w:sz w:val="22"/>
        </w:rPr>
        <w:t xml:space="preserve">Quality assurance. </w:t>
      </w:r>
      <w:r>
        <w:rPr>
          <w:rFonts w:ascii="Times New Roman" w:hAnsi="Times New Roman"/>
          <w:b w:val="false"/>
          <w:i w:val="false"/>
          <w:color w:val="000000"/>
          <w:sz w:val="22"/>
        </w:rPr>
        <w:t>Case management services providers shall cooperate with quality assurance activities conducted by Iowa Medicaid or a Medicaid managed care organization, as well as any other state or federal entity with oversight authority to ensure the health, safety, and welfare of Medicaid members. These activities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Postpayment review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reports of abuse or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Technical assistance in determining the need for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4897C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6854C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12/12/02 after Notice 10/16/02—published 1/8/03, effective 1/1/03]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6854C</w:t>
      </w:r>
      <w:r>
        <w:rPr>
          <w:rFonts w:ascii="Times New Roman" w:hAnsi="Times New Roman"/>
          <w:b w:val="false"/>
          <w:i w:val="false"/>
          <w:color w:val="000000"/>
          <w:sz w:val="21"/>
        </w:rPr>
        <w:t xml:space="preserve"> (Notice ARC 6643C, IAB 11/16/22)</w:t>
      </w:r>
      <w:r>
        <w:rPr>
          <w:rFonts w:ascii="Times New Roman" w:hAnsi="Times New Roman"/>
          <w:b w:val="false"/>
          <w:i w:val="false"/>
          <w:color w:val="000000"/>
          <w:sz w:val="21"/>
        </w:rPr>
        <w:t>, IAB 2/8/23, effective 4/1/23]</w:t>
      </w:r>
    </w:p>
    <w:p>
      <w:pPr>
        <w:pBdr>
          <w:bottom w:space="2"/>
        </w:pBdr>
        <w:spacing w:before="0" w:after="0"/>
        <w:ind w:left="120"/>
        <w:jc w:val="both"/>
      </w:pPr>
      <w:r>
        <w:rPr>
          <w:rFonts w:ascii="Times New Roman" w:hAnsi="Times New Roman"/>
          <w:b w:val="false"/>
          <w:i w:val="false"/>
          <w:color w:val="000000"/>
          <w:sz w:val="22"/>
        </w:rPr>
        <w:t xml:space="preserve">January 1, 2003, effective date of </w:t>
      </w:r>
      <w:hyperlink r:id="rId41">
        <w:r>
          <w:rPr>
            <w:rStyle w:val="Hyperlink"/>
            <w:rFonts w:ascii="Times New Roman" w:hAnsi="Times New Roman"/>
            <w:b w:val="false"/>
            <w:i w:val="false"/>
            <w:color w:val="000000"/>
            <w:sz w:val="22"/>
          </w:rPr>
          <w:t>90.2(5)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90.3</w:t>
        </w:r>
      </w:hyperlink>
      <w:r>
        <w:rPr>
          <w:rFonts w:ascii="Times New Roman" w:hAnsi="Times New Roman"/>
          <w:b w:val="false"/>
          <w:i w:val="false"/>
          <w:color w:val="000000"/>
          <w:sz w:val="22"/>
        </w:rPr>
        <w:t xml:space="preserve"> delayed 70 days by the Administrative Rules Review Committee at a special meeting held December 19, 2002.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8.pdf" Type="http://schemas.openxmlformats.org/officeDocument/2006/relationships/hyperlink" Id="rId5"/>
    <Relationship TargetMode="External" Target="https://www.legis.iowa.gov/docs/iac/chapter/441.83.pdf" Type="http://schemas.openxmlformats.org/officeDocument/2006/relationships/hyperlink" Id="rId6"/>
    <Relationship TargetMode="External" Target="https://www.legis.iowa.gov/docs/iac/chapter/441.24.pdf" Type="http://schemas.openxmlformats.org/officeDocument/2006/relationships/hyperlink" Id="rId7"/>
    <Relationship TargetMode="External" Target="https://www.legis.iowa.gov/docs/iac/chapter/441.83.pdf" Type="http://schemas.openxmlformats.org/officeDocument/2006/relationships/hyperlink" Id="rId8"/>
    <Relationship TargetMode="External" Target="https://www.legis.iowa.gov/docs/iac/chapter/441.78.pdf" Type="http://schemas.openxmlformats.org/officeDocument/2006/relationships/hyperlink" Id="rId9"/>
    <Relationship TargetMode="External" Target="https://www.legis.iowa.gov/docs/iac/chapter/441.77.pdf" Type="http://schemas.openxmlformats.org/officeDocument/2006/relationships/hyperlink" Id="rId10"/>
    <Relationship TargetMode="External" Target="https://www.legis.iowa.gov/docs/iac/chapter/441.78.pdf" Type="http://schemas.openxmlformats.org/officeDocument/2006/relationships/hyperlink" Id="rId11"/>
    <Relationship TargetMode="External" Target="https://www.legis.iowa.gov/docs/iac/chapter/441.83.pdf" Type="http://schemas.openxmlformats.org/officeDocument/2006/relationships/hyperlink" Id="rId12"/>
    <Relationship TargetMode="External" Target="https://www.legis.iowa.gov/docs/ico/chapter/232.69.pdf" Type="http://schemas.openxmlformats.org/officeDocument/2006/relationships/hyperlink" Id="rId13"/>
    <Relationship TargetMode="External" Target="https://www.legis.iowa.gov/docs/ico/chapter/235B.3.pdf" Type="http://schemas.openxmlformats.org/officeDocument/2006/relationships/hyperlink" Id="rId14"/>
    <Relationship TargetMode="External" Target="https://www.legis.iowa.gov/docs/ico/chapter/235F.pdf" Type="http://schemas.openxmlformats.org/officeDocument/2006/relationships/hyperlink" Id="rId15"/>
    <Relationship TargetMode="External" Target="https://www.legis.iowa.gov/docs/iac/chapter/441.73.pdf" Type="http://schemas.openxmlformats.org/officeDocument/2006/relationships/hyperlink" Id="rId16"/>
    <Relationship TargetMode="External" Target="https://www.legis.iowa.gov/docs/iac/chapter/441.75.pdf" Type="http://schemas.openxmlformats.org/officeDocument/2006/relationships/hyperlink" Id="rId17"/>
    <Relationship TargetMode="External" Target="https://www.legis.iowa.gov/docs/iac/chapter/441.83.pdf" Type="http://schemas.openxmlformats.org/officeDocument/2006/relationships/hyperlink" Id="rId18"/>
    <Relationship TargetMode="External" Target="https://www.legis.iowa.gov/docs/iac/rule/441.90.2.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rule/441.90.2.pdf" Type="http://schemas.openxmlformats.org/officeDocument/2006/relationships/hyperlink" Id="rId21"/>
    <Relationship TargetMode="External" Target="https://www.legis.iowa.gov/docs/iac/rule/441.90.2.pdf" Type="http://schemas.openxmlformats.org/officeDocument/2006/relationships/hyperlink" Id="rId22"/>
    <Relationship TargetMode="External" Target="https://www.legis.iowa.gov/docs/iac/chapter/441.16.pdf" Type="http://schemas.openxmlformats.org/officeDocument/2006/relationships/hyperlink" Id="rId23"/>
    <Relationship TargetMode="External" Target="https://www.legis.iowa.gov/docs/iac/rule/441.90.2.pdf" Type="http://schemas.openxmlformats.org/officeDocument/2006/relationships/hyperlink" Id="rId24"/>
    <Relationship TargetMode="External" Target="https://www.legis.iowa.gov/docs/iac/rule/441.90.2.pdf" Type="http://schemas.openxmlformats.org/officeDocument/2006/relationships/hyperlink" Id="rId25"/>
    <Relationship TargetMode="External" Target="https://www.legis.iowa.gov/docs/iac/chapter/441.16.pdf" Type="http://schemas.openxmlformats.org/officeDocument/2006/relationships/hyperlink" Id="rId26"/>
    <Relationship TargetMode="External" Target="https://www.legis.iowa.gov/docs/iac/rule/441.90.4.pdf" Type="http://schemas.openxmlformats.org/officeDocument/2006/relationships/hyperlink" Id="rId27"/>
    <Relationship TargetMode="External" Target="https://www.legis.iowa.gov/docs/iac/chapter/441.83.pdf" Type="http://schemas.openxmlformats.org/officeDocument/2006/relationships/hyperlink" Id="rId28"/>
    <Relationship TargetMode="External" Target="https://www.legis.iowa.gov/docs/iac/chapter/441.78.pdf" Type="http://schemas.openxmlformats.org/officeDocument/2006/relationships/hyperlink" Id="rId29"/>
    <Relationship TargetMode="External" Target="https://www.legis.iowa.gov/docs/iac/chapter/441.83.pdf" Type="http://schemas.openxmlformats.org/officeDocument/2006/relationships/hyperlink" Id="rId30"/>
    <Relationship TargetMode="External" Target="https://www.legis.iowa.gov/docs/iac/chapter/441.78.pdf" Type="http://schemas.openxmlformats.org/officeDocument/2006/relationships/hyperlink" Id="rId31"/>
    <Relationship TargetMode="External" Target="https://www.legis.iowa.gov/docs/iac/rule/441.90.5.pdf" Type="http://schemas.openxmlformats.org/officeDocument/2006/relationships/hyperlink" Id="rId32"/>
    <Relationship TargetMode="External" Target="https://www.legis.iowa.gov/docs/iac/rule/441.90.6.pdf" Type="http://schemas.openxmlformats.org/officeDocument/2006/relationships/hyperlink" Id="rId33"/>
    <Relationship TargetMode="External" Target="https://www.legis.iowa.gov/docs/iac/chapter/441.79.pdf" Type="http://schemas.openxmlformats.org/officeDocument/2006/relationships/hyperlink" Id="rId34"/>
    <Relationship TargetMode="External" Target="https://www.legis.iowa.gov/docs/iac/chapter/441.24.pdf" Type="http://schemas.openxmlformats.org/officeDocument/2006/relationships/hyperlink" Id="rId35"/>
    <Relationship TargetMode="External" Target="https://www.legis.iowa.gov/docs/iac/rule/441.90.6.pdf" Type="http://schemas.openxmlformats.org/officeDocument/2006/relationships/hyperlink" Id="rId36"/>
    <Relationship TargetMode="External" Target="https://www.legis.iowa.gov/docs/iac/rule/441.90.6.pdf" Type="http://schemas.openxmlformats.org/officeDocument/2006/relationships/hyperlink" Id="rId37"/>
    <Relationship TargetMode="External" Target="https://www.legis.iowa.gov/docs/iac/rule/441.90.6.pdf" Type="http://schemas.openxmlformats.org/officeDocument/2006/relationships/hyperlink" Id="rId38"/>
    <Relationship TargetMode="External" Target="https://www.legis.iowa.gov/docs/iac/rule/441.90.7.pdf" Type="http://schemas.openxmlformats.org/officeDocument/2006/relationships/hyperlink" Id="rId39"/>
    <Relationship TargetMode="External" Target="https://www.legis.iowa.gov/docs/ico/chapter/249A.4.pdf" Type="http://schemas.openxmlformats.org/officeDocument/2006/relationships/hyperlink" Id="rId40"/>
    <Relationship TargetMode="External" Target="https://www.legis.iowa.gov/docs/iac/rule/441.90.2.pdf" Type="http://schemas.openxmlformats.org/officeDocument/2006/relationships/hyperlink" Id="rId41"/>
    <Relationship TargetMode="External" Target="https://www.legis.iowa.gov/docs/iac/rule/441.90.3.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