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87</w:t>
      </w:r>
    </w:p>
    <w:p>
      <w:pPr>
        <w:spacing w:before="0" w:after="0"/>
        <w:ind w:left="120"/>
        <w:jc w:val="center"/>
      </w:pPr>
      <w:r>
        <w:rPr>
          <w:rFonts w:ascii="Times New Roman" w:hAnsi="Times New Roman"/>
          <w:b w:val="false"/>
          <w:i w:val="false"/>
          <w:color w:val="000000"/>
          <w:sz w:val="21"/>
        </w:rPr>
        <w:t>FAMILY PLANNING PROGRAM</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xml:space="preserve">This chapter defines and structures the family planning program administered by the department pursuant to Iowa Code section </w:t>
      </w:r>
      <w:hyperlink r:id="rId5">
        <w:r>
          <w:rPr>
            <w:rStyle w:val="Hyperlink"/>
            <w:rFonts w:ascii="Times New Roman" w:hAnsi="Times New Roman"/>
            <w:b w:val="false"/>
            <w:i w:val="false"/>
            <w:color w:val="000000"/>
            <w:sz w:val="22"/>
          </w:rPr>
          <w:t>217.41B</w:t>
        </w:r>
      </w:hyperlink>
      <w:r>
        <w:rPr>
          <w:rFonts w:ascii="Times New Roman" w:hAnsi="Times New Roman"/>
          <w:b w:val="false"/>
          <w:i w:val="false"/>
          <w:color w:val="000000"/>
          <w:sz w:val="22"/>
        </w:rPr>
        <w:t xml:space="preserve">. The purpose of this program is to provide family planning services to individuals who are not enrolled in medical assistance under </w:t>
      </w:r>
      <w:hyperlink r:id="rId6">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w:t>
      </w:r>
      <w:hyperlink r:id="rId8">
        <w:r>
          <w:rPr>
            <w:rStyle w:val="Hyperlink"/>
            <w:rFonts w:ascii="Times New Roman" w:hAnsi="Times New Roman"/>
            <w:b w:val="false"/>
            <w:i w:val="false"/>
            <w:color w:val="000000"/>
            <w:sz w:val="22"/>
          </w:rPr>
          <w:t>Chapter 75</w:t>
        </w:r>
      </w:hyperlink>
      <w:r>
        <w:rPr>
          <w:rFonts w:ascii="Times New Roman" w:hAnsi="Times New Roman"/>
          <w:b w:val="false"/>
          <w:i w:val="false"/>
          <w:color w:val="000000"/>
          <w:sz w:val="22"/>
        </w:rPr>
        <w:t>. The department is not receiving federal financial participation for expenditures under the family planning program. Therefore, this chapter shall remain in effect only as long as state funding is available.</w:t>
      </w:r>
    </w:p>
    <w:p>
      <w:pPr>
        <w:spacing w:before="0" w:after="0"/>
        <w:ind w:left="120"/>
        <w:jc w:val="left"/>
      </w:pPr>
      <w:r>
        <w:rPr>
          <w:rFonts w:ascii="Times New Roman" w:hAnsi="Times New Roman"/>
          <w:b w:val="false"/>
          <w:i w:val="false"/>
          <w:color w:val="000000"/>
          <w:sz w:val="22"/>
        </w:rPr>
        <w:t>The family planning program shall replicate the eligibility requirements and other provisions included in the Medicaid family planning network waiver, as approved by the Centers for Medicare and Medicaid Services of the U.S. Department of Health and Human Services in effect on June 30, 2017, but shall provide for distribution of the family planning services program funds in accordance with this chapter.</w:t>
      </w:r>
    </w:p>
    <w:p>
      <w:pPr>
        <w:spacing w:before="0" w:after="0"/>
        <w:ind w:left="120"/>
        <w:jc w:val="left"/>
      </w:pPr>
      <w:r>
        <w:rPr>
          <w:rFonts w:ascii="Times New Roman" w:hAnsi="Times New Roman"/>
          <w:b w:val="false"/>
          <w:i w:val="false"/>
          <w:color w:val="000000"/>
          <w:sz w:val="22"/>
        </w:rPr>
        <w:t>Distribution of family planning program funds under this chapter shall be made in a manner that continues access to family planning services.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3199C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3389C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 xml:space="preserve">; </w:t>
      </w:r>
      <w:r>
        <w:rPr>
          <w:rFonts w:ascii="Times New Roman" w:hAnsi="Times New Roman"/>
          <w:b/>
          <w:i w:val="false"/>
          <w:color w:val="000000"/>
          <w:sz w:val="16"/>
        </w:rPr>
        <w:t>ARC 6853C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441—87.1</w:t>
      </w:r>
      <w:r>
        <w:rPr>
          <w:rFonts w:ascii="Times New Roman" w:hAnsi="Times New Roman"/>
          <w:b/>
          <w:i w:val="false"/>
          <w:color w:val="000000"/>
          <w:sz w:val="22"/>
        </w:rPr>
        <w:t xml:space="preserve">(217)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who applies for assistance under the family planning program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Title X agency” </w:t>
      </w:r>
      <w:r>
        <w:rPr>
          <w:rFonts w:ascii="Times New Roman" w:hAnsi="Times New Roman"/>
          <w:b w:val="false"/>
          <w:i w:val="false"/>
          <w:color w:val="000000"/>
          <w:sz w:val="22"/>
        </w:rPr>
        <w:t xml:space="preserve">means an agency or entity with an executed memorandum of understanding (MOU) with the Iowa department of human services authorizing the agency to perform point-of-service eligibility determinations for the family planning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“Citizen”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“citizenship” </w:t>
      </w:r>
      <w:r>
        <w:rPr>
          <w:rFonts w:ascii="Times New Roman" w:hAnsi="Times New Roman"/>
          <w:b w:val="false"/>
          <w:i w:val="false"/>
          <w:color w:val="000000"/>
          <w:sz w:val="22"/>
        </w:rPr>
        <w:t xml:space="preserve">includes both citizens of the United States and nationals of the United States as defined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1101(a)(22).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planning services” </w:t>
      </w:r>
      <w:r>
        <w:rPr>
          <w:rFonts w:ascii="Times New Roman" w:hAnsi="Times New Roman"/>
          <w:b w:val="false"/>
          <w:i w:val="false"/>
          <w:color w:val="000000"/>
          <w:sz w:val="22"/>
        </w:rPr>
        <w:t xml:space="preserve">means pregnancy prevention and related reproductive health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poverty level” </w:t>
      </w:r>
      <w:r>
        <w:rPr>
          <w:rFonts w:ascii="Times New Roman" w:hAnsi="Times New Roman"/>
          <w:b w:val="false"/>
          <w:i w:val="false"/>
          <w:color w:val="000000"/>
          <w:sz w:val="22"/>
        </w:rPr>
        <w:t xml:space="preserve">means the levels published and updated periodically in the Federal Register by the United States Department of Health and Human Services (DHHS) under the authority of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9902(2) and revised annually on April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means a person who has been determined eligible and is a current or former recipient of the family planning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“Noncitizen” </w:t>
      </w:r>
      <w:r>
        <w:rPr>
          <w:rFonts w:ascii="Times New Roman" w:hAnsi="Times New Roman"/>
          <w:b w:val="false"/>
          <w:i w:val="false"/>
          <w:color w:val="000000"/>
          <w:sz w:val="22"/>
        </w:rPr>
        <w:t xml:space="preserve">means the same as the term “alien” as defined at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1101(a)(3).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noncitizen” </w:t>
      </w:r>
      <w:r>
        <w:rPr>
          <w:rFonts w:ascii="Times New Roman" w:hAnsi="Times New Roman"/>
          <w:b w:val="false"/>
          <w:i w:val="false"/>
          <w:color w:val="000000"/>
          <w:sz w:val="22"/>
        </w:rPr>
        <w:t xml:space="preserve">means the same as the term “qualified alien” as defined at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1641(b) and (c) and refers to a person who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Lawfully admitted for permanent residence in the United States under the Immigration and Nationality Act (INA);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Granted asylum in the United States under Section 208 of the INA;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refugee admitted to the United States under Section 207 of the INA;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Paroled into the United States under Section 212(d)(5) of the INA for a period of at least one year;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person whose deportation from the United States is withheld under Section 243(h) of the INA as in effect before April 1, 1997, or under Section 241(b)(3) of the INA;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Granted conditional entry to the United States pursuant to Section 203(a)(7) of the INA as in effect before April 1, 1980;</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An Amerasian admitted to the United States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1612(b)(2)(A)(i)(V);</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 Cuban/Haitian entrant to the United States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1641(b)(7);</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A battered noncitizen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1641(c);</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Certified as a victim of trafficking as described in Section 107(b)(1)(A) of Public Law 106-386;</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An American Indian born in Canada to whom Section 289 of the INA applies or a member of a federally recognized Indian tribe as defined in </w:t>
      </w:r>
      <w:r>
        <w:rPr>
          <w:rFonts w:ascii="Times New Roman" w:hAnsi="Times New Roman"/>
          <w:b w:val="false"/>
          <w:i w:val="false"/>
          <w:color w:val="000000"/>
          <w:sz w:val="22"/>
        </w:rPr>
        <w:t>25 U.S.C.</w:t>
      </w:r>
      <w:r>
        <w:rPr>
          <w:rFonts w:ascii="Times New Roman" w:hAnsi="Times New Roman"/>
          <w:b w:val="false"/>
          <w:i w:val="false"/>
          <w:color w:val="000000"/>
          <w:sz w:val="22"/>
        </w:rPr>
        <w:t xml:space="preserve"> Section 450b(e);</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Under the age of 21 and lawfully residing in the United States as allowed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1396b(v)(4)(A)(ii); or</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 xml:space="preserve">Lawfully residing in the United States in accordance with a Compact of Free Association with the government of the Federated States of Micronesia, the Republic of the Marshall Islands, or the Republic of Palau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1612(b)(2)(G) as amended by Section 208 of Division CC of Public Law 116-260.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quarters” </w:t>
      </w:r>
      <w:r>
        <w:rPr>
          <w:rFonts w:ascii="Times New Roman" w:hAnsi="Times New Roman"/>
          <w:b w:val="false"/>
          <w:i w:val="false"/>
          <w:color w:val="000000"/>
          <w:sz w:val="22"/>
        </w:rPr>
        <w:t xml:space="preserve">means all of the qualifying quarters of coverage as defined under </w:t>
      </w:r>
      <w:r>
        <w:rPr>
          <w:rFonts w:ascii="Times New Roman" w:hAnsi="Times New Roman"/>
          <w:b w:val="false"/>
          <w:i w:val="false"/>
          <w:color w:val="000000"/>
          <w:sz w:val="22"/>
        </w:rPr>
        <w:t>Title II of the Social Security Act</w:t>
      </w:r>
      <w:r>
        <w:rPr>
          <w:rFonts w:ascii="Times New Roman" w:hAnsi="Times New Roman"/>
          <w:b w:val="false"/>
          <w:i w:val="false"/>
          <w:color w:val="000000"/>
          <w:sz w:val="22"/>
        </w:rPr>
        <w:t xml:space="preserve"> worked by a parent of a noncitizen while the noncitizen was under the age of 18 and all of the qualifying quarters worked by a spouse of the noncitizen during their marriage if the noncitizen remains married to the spouse or the spouse is deceased. No qualifying quarters of coverage that are creditable under </w:t>
      </w:r>
      <w:r>
        <w:rPr>
          <w:rFonts w:ascii="Times New Roman" w:hAnsi="Times New Roman"/>
          <w:b w:val="false"/>
          <w:i w:val="false"/>
          <w:color w:val="000000"/>
          <w:sz w:val="22"/>
        </w:rPr>
        <w:t>Title II of the Social Security Act</w:t>
      </w:r>
      <w:r>
        <w:rPr>
          <w:rFonts w:ascii="Times New Roman" w:hAnsi="Times New Roman"/>
          <w:b w:val="false"/>
          <w:i w:val="false"/>
          <w:color w:val="000000"/>
          <w:sz w:val="22"/>
        </w:rPr>
        <w:t xml:space="preserve"> for any period beginning after December 31, 1996, may be credited to a noncitizen if the parent or spouse of the noncitizen received any federal means-tested public benefit during the period for which the qualifying quarter is credited.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3199C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3389C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 xml:space="preserve">; </w:t>
      </w:r>
      <w:r>
        <w:rPr>
          <w:rFonts w:ascii="Times New Roman" w:hAnsi="Times New Roman"/>
          <w:b/>
          <w:i w:val="false"/>
          <w:color w:val="000000"/>
          <w:sz w:val="16"/>
        </w:rPr>
        <w:t>ARC 6853C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441—87.2</w:t>
      </w:r>
      <w:r>
        <w:rPr>
          <w:rFonts w:ascii="Times New Roman" w:hAnsi="Times New Roman"/>
          <w:b/>
          <w:i w:val="false"/>
          <w:color w:val="000000"/>
          <w:sz w:val="22"/>
        </w:rPr>
        <w:t xml:space="preserve">(217) </w:t>
      </w:r>
      <w:r>
        <w:rPr>
          <w:rFonts w:ascii="Times New Roman" w:hAnsi="Times New Roman"/>
          <w:b/>
          <w:i w:val="false"/>
          <w:color w:val="000000"/>
          <w:sz w:val="22"/>
        </w:rPr>
        <w:t xml:space="preserve">Eligibility. </w:t>
      </w:r>
      <w:r>
        <w:rPr>
          <w:rFonts w:ascii="Times New Roman" w:hAnsi="Times New Roman"/>
          <w:b w:val="false"/>
          <w:i w:val="false"/>
          <w:color w:val="000000"/>
          <w:sz w:val="22"/>
        </w:rPr>
        <w:t>Eligibility for the family planning program shall be determined according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87.2(1)</w:t>
      </w:r>
      <w:r>
        <w:rPr>
          <w:rFonts w:ascii="Times New Roman" w:hAnsi="Times New Roman"/>
          <w:b w:val="false"/>
          <w:i w:val="false"/>
          <w:color w:val="000000"/>
          <w:sz w:val="22"/>
        </w:rPr>
        <w:t> </w:t>
      </w:r>
      <w:r>
        <w:rPr>
          <w:rFonts w:ascii="Times New Roman" w:hAnsi="Times New Roman"/>
          <w:b w:val="false"/>
          <w:i/>
          <w:color w:val="000000"/>
          <w:sz w:val="22"/>
        </w:rPr>
        <w:t xml:space="preserve">Persons covered. </w:t>
      </w:r>
      <w:r>
        <w:rPr>
          <w:rFonts w:ascii="Times New Roman" w:hAnsi="Times New Roman"/>
          <w:b w:val="false"/>
          <w:i w:val="false"/>
          <w:color w:val="000000"/>
          <w:sz w:val="22"/>
        </w:rPr>
        <w:t xml:space="preserve">Subject to funding as described in subrule 87.7(1) and to the requirements of subrules 87.2(2), 87.2(4), and 87.2(6), assistance for family planning services shall be available to the following individuals who are not enrolled in medical assistance pursuant to 441—Chapter 74 or 441—Chapter 75: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Women who were enrolled in medical assistance when their pregnancy ended and who are capable of bearing children but are not pregnant. Eligibility for these women extends for 12 consecutive months after the month when their 60-day postpartum period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Women who are under the age of 55, who are capable of bearing children but are not pregnant, and who have household income that does not exceed 300 percent of the federal poverty level as determined pursuant to subrule 87.2(3);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Men who are under the age of 55, who are capable of fathering children, and who have household income that does not exceed 300 percent of the federal poverty level as determined pursuant to subrule 87.2(3).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87.2(2)</w:t>
      </w:r>
      <w:r>
        <w:rPr>
          <w:rFonts w:ascii="Times New Roman" w:hAnsi="Times New Roman"/>
          <w:b w:val="false"/>
          <w:i w:val="false"/>
          <w:color w:val="000000"/>
          <w:sz w:val="22"/>
        </w:rPr>
        <w:t> </w:t>
      </w:r>
      <w:r>
        <w:rPr>
          <w:rFonts w:ascii="Times New Roman" w:hAnsi="Times New Roman"/>
          <w:b w:val="false"/>
          <w:i/>
          <w:color w:val="000000"/>
          <w:sz w:val="22"/>
        </w:rPr>
        <w:t xml:space="preserve">Furnishing of social security number. </w:t>
      </w:r>
      <w:r>
        <w:rPr>
          <w:rFonts w:ascii="Times New Roman" w:hAnsi="Times New Roman"/>
          <w:b w:val="false"/>
          <w:i w:val="false"/>
          <w:color w:val="000000"/>
          <w:sz w:val="22"/>
        </w:rPr>
        <w:t xml:space="preserve">As a condition of eligibility, except as provided by </w:t>
      </w:r>
      <w:hyperlink r:id="rId9">
        <w:r>
          <w:rPr>
            <w:rStyle w:val="Hyperlink"/>
            <w:rFonts w:ascii="Times New Roman" w:hAnsi="Times New Roman"/>
            <w:b w:val="false"/>
            <w:i w:val="false"/>
            <w:color w:val="000000"/>
            <w:sz w:val="22"/>
          </w:rPr>
          <w:t>paragraph 87.2(2)</w:t>
        </w:r>
      </w:hyperlink>
      <w:r>
        <w:rPr>
          <w:rFonts w:ascii="Times New Roman" w:hAnsi="Times New Roman"/>
          <w:b w:val="false"/>
          <w:i/>
          <w:color w:val="000000"/>
          <w:sz w:val="22"/>
        </w:rPr>
        <w:t>“a,”</w:t>
      </w:r>
      <w:r>
        <w:rPr>
          <w:rFonts w:ascii="Times New Roman" w:hAnsi="Times New Roman"/>
          <w:b w:val="false"/>
          <w:i w:val="false"/>
          <w:color w:val="000000"/>
          <w:sz w:val="22"/>
        </w:rPr>
        <w:t xml:space="preserve"> an applicant or member must provide to the department or authorized Title X agency, as applicable, all social security numbers issued to each individual (including children) for whom family planning services are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requirement of furnishing a social security number does not apply to an individual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eligible to receive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have a social security number and may only be issued a social security number for a valid nonwork reason in accordance with 20 CFR §422.104 as amended to March 15, 2022;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Refuses to obtain a social security number because of a well-established religious objection. For this purpose, a well-established religious objection means that the individual: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 member of a recognized religious sect or division of a sect;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Adheres to the tenets or teachings of the sect or division of the sect and for that reason is conscientiously opposed to applying for or using a national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required social security number has not been issued or is not known, the individual seeking coverage under the family planning program must cooperate with the department or authorized Title X agency, as applicable, in applying for a social security number with the Social Security Administration or in requesting the Social Security Administration to furnish the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household income. </w:t>
      </w:r>
      <w:r>
        <w:rPr>
          <w:rFonts w:ascii="Times New Roman" w:hAnsi="Times New Roman"/>
          <w:b w:val="false"/>
          <w:i w:val="false"/>
          <w:color w:val="000000"/>
          <w:sz w:val="22"/>
        </w:rPr>
        <w:t>The department shall determine the countable household income of an individual applying under paragraph 87.2(1)</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Household composition. </w:t>
      </w:r>
      <w:r>
        <w:rPr>
          <w:rFonts w:ascii="Times New Roman" w:hAnsi="Times New Roman"/>
          <w:b w:val="false"/>
          <w:i w:val="false"/>
          <w:color w:val="000000"/>
          <w:sz w:val="22"/>
        </w:rPr>
        <w:t>The household shall include the applicant or member, any dependent children, as defined below, living in the same home as the applicant or member, and any spouse living in the same home as the applicant or member, except when a dependent child or spouse has elected to receive supplemental security income under Title XVI of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Definition of dependent children. A dependent child is one under the age of 18 years or aged 18 years who is a full-time student in a secondary school, or in the equivalent level of vocational or technical training, and who is reasonably expected to complete the program before reaching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Earned income. </w:t>
      </w:r>
      <w:r>
        <w:rPr>
          <w:rFonts w:ascii="Times New Roman" w:hAnsi="Times New Roman"/>
          <w:b w:val="false"/>
          <w:i w:val="false"/>
          <w:color w:val="000000"/>
          <w:sz w:val="22"/>
        </w:rPr>
        <w:t>All earned income that is received by a member of the household shall be counted except for earnings of a child who is a full-time student as defined in subparagraph 87.2(3)</w:t>
      </w:r>
      <w:r>
        <w:rPr>
          <w:rFonts w:ascii="Times New Roman" w:hAnsi="Times New Roman"/>
          <w:b w:val="false"/>
          <w:i/>
          <w:color w:val="000000"/>
          <w:sz w:val="22"/>
        </w:rPr>
        <w:t>“a”</w:t>
      </w:r>
      <w:r>
        <w:rPr>
          <w:rFonts w:ascii="Times New Roman" w:hAnsi="Times New Roman"/>
          <w:b w:val="false"/>
          <w:i w:val="false"/>
          <w:color w:val="000000"/>
          <w:sz w:val="22"/>
        </w:rPr>
        <w:t>(1). The following earned income, including but not limited to, shall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Salary.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Bonuses.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Income from Job Corps.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Earnings from self-employment defined as gross income less the allowable costs of producing the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Unearned income. </w:t>
      </w:r>
      <w:r>
        <w:rPr>
          <w:rFonts w:ascii="Times New Roman" w:hAnsi="Times New Roman"/>
          <w:b w:val="false"/>
          <w:i w:val="false"/>
          <w:color w:val="000000"/>
          <w:sz w:val="22"/>
        </w:rPr>
        <w:t>The following unearned income of all household members shall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Unemployment insurance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Social security and railroad retirement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Workers’ compensation and disability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Benefits paid by the U.S. Department of Veterans Affairs to disabled members of the armed forces or survivors of deceased veterans.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Deemed income. </w:t>
      </w:r>
      <w:r>
        <w:rPr>
          <w:rFonts w:ascii="Times New Roman" w:hAnsi="Times New Roman"/>
          <w:b w:val="false"/>
          <w:i w:val="false"/>
          <w:color w:val="000000"/>
          <w:sz w:val="22"/>
        </w:rPr>
        <w:t>Income deeming for a sponsored alien shall be determined pursuant to subrule 87.2(5).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Deductions. </w:t>
      </w:r>
      <w:r>
        <w:rPr>
          <w:rFonts w:ascii="Times New Roman" w:hAnsi="Times New Roman"/>
          <w:b w:val="false"/>
          <w:i w:val="false"/>
          <w:color w:val="000000"/>
          <w:sz w:val="22"/>
        </w:rPr>
        <w:t>Deductions from income shall be made for any payments made by household members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Court-ordered child support, alimony, or spousal support paid to non-household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Twenty percent of nonexempt earnings.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care expenses or expenses related to care for an incapacitated adult. This deduction shall not exceed $200 per month for each child under the age of two and $175 per month for each adult or child aged two or older.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87.2(4)</w:t>
      </w:r>
      <w:r>
        <w:rPr>
          <w:rFonts w:ascii="Times New Roman" w:hAnsi="Times New Roman"/>
          <w:b w:val="false"/>
          <w:i w:val="false"/>
          <w:color w:val="000000"/>
          <w:sz w:val="22"/>
        </w:rPr>
        <w:t> </w:t>
      </w:r>
      <w:r>
        <w:rPr>
          <w:rFonts w:ascii="Times New Roman" w:hAnsi="Times New Roman"/>
          <w:b w:val="false"/>
          <w:i/>
          <w:color w:val="000000"/>
          <w:sz w:val="22"/>
        </w:rPr>
        <w:t xml:space="preserve">Citizenship or alienage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eligible for the family planning program, a person must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citizen or national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noncitizen continuously present (as described in Interim Guidance on Verification of Citizenship, Qualified Alien Status and Eligibility, under </w:t>
      </w:r>
      <w:r>
        <w:rPr>
          <w:rFonts w:ascii="Times New Roman" w:hAnsi="Times New Roman"/>
          <w:b w:val="false"/>
          <w:i w:val="false"/>
          <w:color w:val="000000"/>
          <w:sz w:val="22"/>
        </w:rPr>
        <w:t>Title IV of the Personal Responsibility and Work Opportunity Reconciliation Act</w:t>
      </w:r>
      <w:r>
        <w:rPr>
          <w:rFonts w:ascii="Times New Roman" w:hAnsi="Times New Roman"/>
          <w:b w:val="false"/>
          <w:i w:val="false"/>
          <w:color w:val="000000"/>
          <w:sz w:val="22"/>
        </w:rPr>
        <w:t xml:space="preserve"> (PRWORA) at 62 CFR §61415 dated November 11, 1997) in the United States since August 22,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qualified noncitizen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refugee admitted to the United States under </w:t>
      </w:r>
      <w:r>
        <w:rPr>
          <w:rFonts w:ascii="Times New Roman" w:hAnsi="Times New Roman"/>
          <w:b w:val="false"/>
          <w:i w:val="false"/>
          <w:color w:val="000000"/>
          <w:sz w:val="22"/>
        </w:rPr>
        <w:t>Section 207 of the Immigration and Nationality Act</w:t>
      </w:r>
      <w:r>
        <w:rPr>
          <w:rFonts w:ascii="Times New Roman" w:hAnsi="Times New Roman"/>
          <w:b w:val="false"/>
          <w:i w:val="false"/>
          <w:color w:val="000000"/>
          <w:sz w:val="22"/>
        </w:rPr>
        <w:t xml:space="preserv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noncitizen who has been granted asylum under Section 208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noncitizen whose deportation is withheld under Section 243(h) or 241(b)(3)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qualified noncitizen veteran who has an honorable discharge that is not due to alienage.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qualified noncitizen who is on active duty in the armed forces of the United States other than active duty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noncitizen who is the spouse or unmarried dependent child of a qualified noncitizen described in </w:t>
      </w:r>
      <w:hyperlink r:id="rId10">
        <w:r>
          <w:rPr>
            <w:rStyle w:val="Hyperlink"/>
            <w:rFonts w:ascii="Times New Roman" w:hAnsi="Times New Roman"/>
            <w:b w:val="false"/>
            <w:i w:val="false"/>
            <w:color w:val="000000"/>
            <w:sz w:val="22"/>
          </w:rPr>
          <w:t>subparagraph 87.2(4)</w:t>
        </w:r>
      </w:hyperlink>
      <w:r>
        <w:rPr>
          <w:rFonts w:ascii="Times New Roman" w:hAnsi="Times New Roman"/>
          <w:b w:val="false"/>
          <w:i/>
          <w:color w:val="000000"/>
          <w:sz w:val="22"/>
        </w:rPr>
        <w:t>“a”</w:t>
      </w:r>
      <w:r>
        <w:rPr>
          <w:rFonts w:ascii="Times New Roman" w:hAnsi="Times New Roman"/>
          <w:b w:val="false"/>
          <w:i w:val="false"/>
          <w:color w:val="000000"/>
          <w:sz w:val="22"/>
        </w:rPr>
        <w:t xml:space="preserve">(7) or </w:t>
      </w:r>
      <w:hyperlink r:id="rId11">
        <w:r>
          <w:rPr>
            <w:rStyle w:val="Hyperlink"/>
            <w:rFonts w:ascii="Times New Roman" w:hAnsi="Times New Roman"/>
            <w:b w:val="false"/>
            <w:i w:val="false"/>
            <w:color w:val="000000"/>
            <w:sz w:val="22"/>
          </w:rPr>
          <w:t>87.2(4)</w:t>
        </w:r>
      </w:hyperlink>
      <w:r>
        <w:rPr>
          <w:rFonts w:ascii="Times New Roman" w:hAnsi="Times New Roman"/>
          <w:b w:val="false"/>
          <w:i/>
          <w:color w:val="000000"/>
          <w:sz w:val="22"/>
        </w:rPr>
        <w:t>“a”</w:t>
      </w:r>
      <w:r>
        <w:rPr>
          <w:rFonts w:ascii="Times New Roman" w:hAnsi="Times New Roman"/>
          <w:b w:val="false"/>
          <w:i w:val="false"/>
          <w:color w:val="000000"/>
          <w:sz w:val="22"/>
        </w:rPr>
        <w:t>(8), including a surviving spouse who has not remarried.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noncitizen who has resided in the United States for a period of at least five years beginning on the date of the qualified noncitizen’s entry into the United States with a status within the meaning of subparagraph </w:t>
      </w:r>
      <w:r>
        <w:rPr>
          <w:rFonts w:ascii="Times New Roman" w:hAnsi="Times New Roman"/>
          <w:b w:val="false"/>
          <w:i w:val="false"/>
          <w:color w:val="000000"/>
          <w:sz w:val="22"/>
        </w:rPr>
        <w:t>87.2(4)</w:t>
      </w:r>
      <w:r>
        <w:rPr>
          <w:rFonts w:ascii="Times New Roman" w:hAnsi="Times New Roman"/>
          <w:b w:val="false"/>
          <w:i/>
          <w:color w:val="000000"/>
          <w:sz w:val="22"/>
        </w:rPr>
        <w:t>“a”</w:t>
      </w:r>
      <w:r>
        <w:rPr>
          <w:rFonts w:ascii="Times New Roman" w:hAnsi="Times New Roman"/>
          <w:b w:val="false"/>
          <w:i w:val="false"/>
          <w:color w:val="000000"/>
          <w:sz w:val="22"/>
        </w:rPr>
        <w:t xml:space="preserve">(1), </w:t>
      </w:r>
      <w:r>
        <w:rPr>
          <w:rFonts w:ascii="Times New Roman" w:hAnsi="Times New Roman"/>
          <w:b w:val="false"/>
          <w:i w:val="false"/>
          <w:color w:val="000000"/>
          <w:sz w:val="22"/>
        </w:rPr>
        <w:t>87.2(4)</w:t>
      </w:r>
      <w:r>
        <w:rPr>
          <w:rFonts w:ascii="Times New Roman" w:hAnsi="Times New Roman"/>
          <w:b w:val="false"/>
          <w:i/>
          <w:color w:val="000000"/>
          <w:sz w:val="22"/>
        </w:rPr>
        <w:t>“a”</w:t>
      </w:r>
      <w:r>
        <w:rPr>
          <w:rFonts w:ascii="Times New Roman" w:hAnsi="Times New Roman"/>
          <w:b w:val="false"/>
          <w:i w:val="false"/>
          <w:color w:val="000000"/>
          <w:sz w:val="22"/>
        </w:rPr>
        <w:t xml:space="preserve">(4), or </w:t>
      </w:r>
      <w:r>
        <w:rPr>
          <w:rFonts w:ascii="Times New Roman" w:hAnsi="Times New Roman"/>
          <w:b w:val="false"/>
          <w:i w:val="false"/>
          <w:color w:val="000000"/>
          <w:sz w:val="22"/>
        </w:rPr>
        <w:t>87.2(4)</w:t>
      </w:r>
      <w:r>
        <w:rPr>
          <w:rFonts w:ascii="Times New Roman" w:hAnsi="Times New Roman"/>
          <w:b w:val="false"/>
          <w:i/>
          <w:color w:val="000000"/>
          <w:sz w:val="22"/>
        </w:rPr>
        <w:t>“a”</w:t>
      </w:r>
      <w:r>
        <w:rPr>
          <w:rFonts w:ascii="Times New Roman" w:hAnsi="Times New Roman"/>
          <w:b w:val="false"/>
          <w:i w:val="false"/>
          <w:color w:val="000000"/>
          <w:sz w:val="22"/>
        </w:rPr>
        <w:t xml:space="preserve">(9) under the definition of “qualified noncitizen” in rule </w:t>
      </w:r>
      <w:hyperlink r:id="rId12">
        <w:r>
          <w:rPr>
            <w:rStyle w:val="Hyperlink"/>
            <w:rFonts w:ascii="Times New Roman" w:hAnsi="Times New Roman"/>
            <w:b w:val="false"/>
            <w:i w:val="false"/>
            <w:color w:val="000000"/>
            <w:sz w:val="22"/>
          </w:rPr>
          <w:t>441—87.1</w:t>
        </w:r>
      </w:hyperlink>
      <w:r>
        <w:rPr>
          <w:rFonts w:ascii="Times New Roman" w:hAnsi="Times New Roman"/>
          <w:b w:val="false"/>
          <w:i w:val="false"/>
          <w:color w:val="000000"/>
          <w:sz w:val="22"/>
        </w:rPr>
        <w:t>(217).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An Amerasian admitted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1612(b)(2)(A)(i)(V).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A Cuban/Haitian entrant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1641(b)(7).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certified victim of trafficking as described in Section 107(b)(1)(A) of Public Law 106-386.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An American Indian born in Canada to whom Section 289 of the INA applies or who is a member of a federally recognized Indian tribe as defined in </w:t>
      </w:r>
      <w:r>
        <w:rPr>
          <w:rFonts w:ascii="Times New Roman" w:hAnsi="Times New Roman"/>
          <w:b w:val="false"/>
          <w:i w:val="false"/>
          <w:color w:val="000000"/>
          <w:sz w:val="22"/>
        </w:rPr>
        <w:t>25 U.S.C.</w:t>
      </w:r>
      <w:r>
        <w:rPr>
          <w:rFonts w:ascii="Times New Roman" w:hAnsi="Times New Roman"/>
          <w:b w:val="false"/>
          <w:i w:val="false"/>
          <w:color w:val="000000"/>
          <w:sz w:val="22"/>
        </w:rPr>
        <w:t xml:space="preserve"> Section 450b(e).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An Iraqi or Afghan immigrant treated as a refugee pursuant to Section 1244(g) of Public Law 110-181 or to Section 602(b)(8) of Public Law 111-8.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An Afghan paroled into the United States treated as a refugee pursuant to Section 2502 of public law 117-43.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noncitizen lawfully residing in the United States in accordance with a Compact of Free Association with the government of the Federated States of Micronesia, the Republic of the Marshall Islands, or the Republic of Palau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1612(b)(2)(G) as amended by Section 208 of Division CC of Public Law 116-260.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 conditional entrant pursuant to Section 203(a)(7) of the INA as in effect before April 1, 1980.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a condition of eligibility, all applicants for or members of the family planning program shall attest to their citizenship or qualified noncitizen status by signing the application or review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13">
        <w:r>
          <w:rPr>
            <w:rStyle w:val="Hyperlink"/>
            <w:rFonts w:ascii="Times New Roman" w:hAnsi="Times New Roman"/>
            <w:b w:val="false"/>
            <w:i w:val="false"/>
            <w:color w:val="000000"/>
            <w:sz w:val="22"/>
          </w:rPr>
          <w:t>87.2(4)</w:t>
        </w:r>
      </w:hyperlink>
      <w:r>
        <w:rPr>
          <w:rFonts w:ascii="Times New Roman" w:hAnsi="Times New Roman"/>
          <w:b w:val="false"/>
          <w:i/>
          <w:color w:val="000000"/>
          <w:sz w:val="22"/>
        </w:rPr>
        <w:t>“h,”</w:t>
      </w:r>
      <w:r>
        <w:rPr>
          <w:rFonts w:ascii="Times New Roman" w:hAnsi="Times New Roman"/>
          <w:b w:val="false"/>
          <w:i w:val="false"/>
          <w:color w:val="000000"/>
          <w:sz w:val="22"/>
        </w:rPr>
        <w:t xml:space="preserve"> applicants or members for whom an attestation of United States citizenship has been made pursuant to </w:t>
      </w:r>
      <w:hyperlink r:id="rId14">
        <w:r>
          <w:rPr>
            <w:rStyle w:val="Hyperlink"/>
            <w:rFonts w:ascii="Times New Roman" w:hAnsi="Times New Roman"/>
            <w:b w:val="false"/>
            <w:i w:val="false"/>
            <w:color w:val="000000"/>
            <w:sz w:val="22"/>
          </w:rPr>
          <w:t>paragraph 87.2(4)</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present satisfactory documentation of citizenship as described in paragraph </w:t>
      </w:r>
      <w:hyperlink r:id="rId15">
        <w:r>
          <w:rPr>
            <w:rStyle w:val="Hyperlink"/>
            <w:rFonts w:ascii="Times New Roman" w:hAnsi="Times New Roman"/>
            <w:b w:val="false"/>
            <w:i w:val="false"/>
            <w:color w:val="000000"/>
            <w:sz w:val="22"/>
          </w:rPr>
          <w:t>87.2(4)</w:t>
        </w:r>
      </w:hyperlink>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A reference to a form in </w:t>
      </w:r>
      <w:hyperlink r:id="rId16">
        <w:r>
          <w:rPr>
            <w:rStyle w:val="Hyperlink"/>
            <w:rFonts w:ascii="Times New Roman" w:hAnsi="Times New Roman"/>
            <w:b w:val="false"/>
            <w:i w:val="false"/>
            <w:color w:val="000000"/>
            <w:sz w:val="22"/>
          </w:rPr>
          <w:t>paragraph 87.2(4)</w:t>
        </w:r>
      </w:hyperlink>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includes any successor form. An applicant or member who attests to citizenship must also verify the applicant’s identity. An applicant or member shall have a reasonable period to obtain and provide required documentation of citizenship or nationality.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requirement, the “reasonable period” begins on the date a written request for documentation is issued to an applicant or member and continues for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Family planning services shall be approved for new applicants and continue for members not previously required to provide documentation of citizenship or nationality until the end of the reasonable period to obtain and provide required documentation of citizenship or nationality.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one of the following documents must be accepted as satisfactory documentation of citizenship and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United States passport, including a U.S. passport card issued by the U.S. Department of State, without regard to any expiration date as long as such passport or card was issued without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Certificate of Naturalization.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Certificate of United States Citizenship.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valid U.S. state-issued driver’s license, but only if the state issuing the license does either of the following prior to issuance of the license: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Requires proof of United States citizenship;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Obtains a social security number from the applicant and verifies before certification that the number is valid and is assigned to the applicant who is a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Documentation issued by a federally recognized Indian tribe as described at 42 CFR §435.407 as amended to March 15, 2022, including but not limited to a tribal enrollment card, a Certificate of Degree of Indian Blood, a tribal census document, or a document on tribal letterhead issued under the signature of the appropriate tribal official. Acceptable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Identifies the federally recognized Indian tribe that issued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Identifies the individual by name;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Confirms the individual’s membership, enrollment, or affiliation with the tribe.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Another document that provides proof of United States citizenship and provides a reliable means of documentation of personal identity, as the Secretary of the U.S. Department of Health and Human Services may specify by regulation pursuant to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1396b(x)(3)(B)(v).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Satisfactory documentation of citizenship and identity may also be demonstrated by the combination of any identity document described in paragraph </w:t>
      </w:r>
      <w:r>
        <w:rPr>
          <w:rFonts w:ascii="Times New Roman" w:hAnsi="Times New Roman"/>
          <w:b w:val="false"/>
          <w:i w:val="false"/>
          <w:color w:val="000000"/>
          <w:sz w:val="22"/>
        </w:rPr>
        <w:t>87.2(4)</w:t>
      </w:r>
      <w:r>
        <w:rPr>
          <w:rFonts w:ascii="Times New Roman" w:hAnsi="Times New Roman"/>
          <w:b w:val="false"/>
          <w:i/>
          <w:color w:val="000000"/>
          <w:sz w:val="22"/>
        </w:rPr>
        <w:t>“f”</w:t>
      </w:r>
      <w:r>
        <w:rPr>
          <w:rFonts w:ascii="Times New Roman" w:hAnsi="Times New Roman"/>
          <w:b w:val="false"/>
          <w:i w:val="false"/>
          <w:color w:val="000000"/>
          <w:sz w:val="22"/>
        </w:rPr>
        <w:t xml:space="preserve"> and any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U.S. public birth certificate showing birth in one of the 50 states, the District of Columbia, Puerto Rico (if born on or after January 13, 1941), Guam, the U.S. Virgin Islands, American Samoa, Swain’s Island, or the Commonwealth of the Northern Mariana Islands (CNMI) (if born after November 4, 1986 (CNMI local time)). The birth record document may be issued by a state, commonwealth, territory, or local jurisdiction. If the document shows that the individual was born in Puerto Rico or the Northern Mariana Islands before the applicable date referenced in this paragraph, the individual may be a collectively naturalized citizen. The following establishes U.S. citizenship for collectively naturalized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Puerto Rico: Evidence of birth in Puerto Rico and the applicant’s statement that the applicant was residing in the U.S., a U.S. possession, or Puerto Rico on or after January 13, 1941.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CNMI (formerly part of the Trust Territory of the Pacific Islands (TTPI)):</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Evidence of birth in the CNMI; evidence of TTPI citizenship and residence in the CNMI, the U.S., or a U.S. territory or possession on or after November 3, 1986 (CNMI local time); and the applicant’s statement that the applicant did not owe allegiance to a foreign state on November 4, 1986 (CNMI local time);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Evidence of TTPI citizenship, continuous residence in the CNMI since before November 3, 1981 (CNMI local time); voter registration before January 1, 1975; and the applicant’s statement that the applicant did not owe allegiance to a foreign state on November 4, 1986 (CNMI local time);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Evidence of continuous domicile in the CNMI since before January 1, 1974, and the applicant’s statement that the applicant did not owe allegiance to a foreign state on November 4, 1986 (NMI local time). </w:t>
      </w:r>
    </w:p>
    <w:p>
      <w:pPr>
        <w:spacing w:before="0" w:after="0"/>
        <w:ind w:left="120"/>
        <w:jc w:val="both"/>
      </w:pPr>
      <w:r>
        <w:rPr>
          <w:rFonts w:ascii="Times New Roman" w:hAnsi="Times New Roman"/>
          <w:b w:val="false"/>
          <w:i w:val="false"/>
          <w:color w:val="000000"/>
          <w:sz w:val="22"/>
        </w:rPr>
        <w:t>Note: If a person entered the CNMI as a nonimmigrant and lived in the CNMI since January 1, 1974, this does not constitute continuous domicile and the individual is not a U.S.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Certification of Report of Birth, issued to U.S. citizens who were born outside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Report of Birth Abroad of a U.S.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certificate of birth in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U.S. Citizen I.D.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Northern Marianas Identification Card issued by the U.S. Department of Homeland Security (or predecessor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final adoption decree showing the child’s name and U.S. place of birth or, if an adoption is not final, a statement from a state-approved adoption agency that shows the child’s name and U.S.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Evidence of U.S. Civil Service employment before June 1, 1976.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U.S. military record showing a U.S.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a child meets the requirements of </w:t>
      </w:r>
      <w:r>
        <w:rPr>
          <w:rFonts w:ascii="Times New Roman" w:hAnsi="Times New Roman"/>
          <w:b w:val="false"/>
          <w:i w:val="false"/>
          <w:color w:val="000000"/>
          <w:sz w:val="22"/>
        </w:rPr>
        <w:t>Section 101 of the Child Citizenship Act of 2000</w:t>
      </w:r>
      <w:r>
        <w:rPr>
          <w:rFonts w:ascii="Times New Roman" w:hAnsi="Times New Roman"/>
          <w:b w:val="false"/>
          <w:i w:val="false"/>
          <w:color w:val="000000"/>
          <w:sz w:val="22"/>
        </w:rPr>
        <w:t xml:space="preserve"> as amended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1431).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Medical records, including but not limited to hospital, clinic, or doctor records or admission papers from a nursing facility, skilled care facility, or other institution that indicate a U.S.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life, health, or other insurance record that indicates a U.S.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An official religious record recorded in the U.S. showing that the birth occurred in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School records, including preschool, Head Start, and day care, showing the child’s name and U.S.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Federal or state census records showing U.S. citizenship or a U.S. place of birth.</w:t>
      </w:r>
    </w:p>
    <w:p>
      <w:pPr>
        <w:spacing w:before="0" w:after="0"/>
        <w:ind w:left="120"/>
        <w:jc w:val="both"/>
      </w:pPr>
      <w:r>
        <w:rPr>
          <w:rFonts w:ascii="Times New Roman" w:hAnsi="Times New Roman"/>
          <w:b w:val="false"/>
          <w:i w:val="false"/>
          <w:color w:val="000000"/>
          <w:sz w:val="22"/>
        </w:rPr>
        <w:t xml:space="preserve">If the applicant does not have one of the documents listed in paragraph </w:t>
      </w:r>
      <w:hyperlink r:id="rId17">
        <w:r>
          <w:rPr>
            <w:rStyle w:val="Hyperlink"/>
            <w:rFonts w:ascii="Times New Roman" w:hAnsi="Times New Roman"/>
            <w:b w:val="false"/>
            <w:i w:val="false"/>
            <w:color w:val="000000"/>
            <w:sz w:val="22"/>
          </w:rPr>
          <w:t>87.2(4)</w:t>
        </w:r>
      </w:hyperlink>
      <w:r>
        <w:rPr>
          <w:rFonts w:ascii="Times New Roman" w:hAnsi="Times New Roman"/>
          <w:b w:val="false"/>
          <w:i/>
          <w:color w:val="000000"/>
          <w:sz w:val="22"/>
        </w:rPr>
        <w:t>“d”</w:t>
      </w:r>
      <w:r>
        <w:rPr>
          <w:rFonts w:ascii="Times New Roman" w:hAnsi="Times New Roman"/>
          <w:b w:val="false"/>
          <w:i w:val="false"/>
          <w:color w:val="000000"/>
          <w:sz w:val="22"/>
        </w:rPr>
        <w:t xml:space="preserve"> or subparagraphs </w:t>
      </w:r>
      <w:hyperlink r:id="rId18">
        <w:r>
          <w:rPr>
            <w:rStyle w:val="Hyperlink"/>
            <w:rFonts w:ascii="Times New Roman" w:hAnsi="Times New Roman"/>
            <w:b w:val="false"/>
            <w:i w:val="false"/>
            <w:color w:val="000000"/>
            <w:sz w:val="22"/>
          </w:rPr>
          <w:t>87.2(4)</w:t>
        </w:r>
      </w:hyperlink>
      <w:r>
        <w:rPr>
          <w:rFonts w:ascii="Times New Roman" w:hAnsi="Times New Roman"/>
          <w:b w:val="false"/>
          <w:i/>
          <w:color w:val="000000"/>
          <w:sz w:val="22"/>
        </w:rPr>
        <w:t>“e”</w:t>
      </w:r>
      <w:r>
        <w:rPr>
          <w:rFonts w:ascii="Times New Roman" w:hAnsi="Times New Roman"/>
          <w:b w:val="false"/>
          <w:i w:val="false"/>
          <w:color w:val="000000"/>
          <w:sz w:val="22"/>
        </w:rPr>
        <w:t>(1) through (15), the applicant may submit an affidavit using Form 470-4373 or 470-4373(S), signed under penalty of perjury by another individual who can reasonably attest to the applicant’s citizenship. Such affidavit must contain the applicant’s name, date of birth, and place of U.S. birth. The affidavit is not required to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of the following documents must be accepted as satisfactory documentation of identity, provided the document has a photograph or other identifying information sufficient to establish identity, including but not limited to name, age, sex, race, height, weight, eye color, or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Identity documents listed at 8 CFR §274a.2(b)(1)(v)(B)(1) as amended to March 15, 2022, except a driver’s license issued by a Canadian government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driver’s license issued by a state or territory.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school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U.S. military card or draft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identification card issued by the federal, state, or local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military dependent’s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U.S. Coast Guard Merchant Mariner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children under age 19, a clinic, doctor, hospital, or school record, including preschool or day care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Two other documents containing consistent information that corroborates an applicant’s identity. Such documents include, but are not limited to, employer identification cards; high school, high school equivalency, and college diplomas; marriage certificates; divorce decrees; and property deeds or titles.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finding of identity from a federal agency or another state agency, including but not limited to a public assistance, law enforcement, internal revenue or tax bureau, or corrections agency, if the agency has verified and certified the identity of the individual.</w:t>
      </w:r>
    </w:p>
    <w:p>
      <w:pPr>
        <w:spacing w:before="0" w:after="0"/>
        <w:ind w:left="120"/>
        <w:jc w:val="both"/>
      </w:pPr>
      <w:r>
        <w:rPr>
          <w:rFonts w:ascii="Times New Roman" w:hAnsi="Times New Roman"/>
          <w:b w:val="false"/>
          <w:i w:val="false"/>
          <w:color w:val="000000"/>
          <w:sz w:val="22"/>
        </w:rPr>
        <w:t xml:space="preserve">If the applicant does not have any document specified in subparagraphs </w:t>
      </w:r>
      <w:hyperlink r:id="rId19">
        <w:r>
          <w:rPr>
            <w:rStyle w:val="Hyperlink"/>
            <w:rFonts w:ascii="Times New Roman" w:hAnsi="Times New Roman"/>
            <w:b w:val="false"/>
            <w:i w:val="false"/>
            <w:color w:val="000000"/>
            <w:sz w:val="22"/>
          </w:rPr>
          <w:t>87.2(4)</w:t>
        </w:r>
      </w:hyperlink>
      <w:r>
        <w:rPr>
          <w:rFonts w:ascii="Times New Roman" w:hAnsi="Times New Roman"/>
          <w:b w:val="false"/>
          <w:i/>
          <w:color w:val="000000"/>
          <w:sz w:val="22"/>
        </w:rPr>
        <w:t>“f”</w:t>
      </w:r>
      <w:r>
        <w:rPr>
          <w:rFonts w:ascii="Times New Roman" w:hAnsi="Times New Roman"/>
          <w:b w:val="false"/>
          <w:i w:val="false"/>
          <w:color w:val="000000"/>
          <w:sz w:val="22"/>
        </w:rPr>
        <w:t xml:space="preserve">(1) through (10), the applicant may submit an affidavit using Form 470-4386 or 470-4386(S), signed under penalty of perjury by another individual who can reasonably attest to the applicant’s identity. Such affidavit must contain the applicant’s name and other identifying information establishing identity, as described in paragraph </w:t>
      </w:r>
      <w:hyperlink r:id="rId20">
        <w:r>
          <w:rPr>
            <w:rStyle w:val="Hyperlink"/>
            <w:rFonts w:ascii="Times New Roman" w:hAnsi="Times New Roman"/>
            <w:b w:val="false"/>
            <w:i w:val="false"/>
            <w:color w:val="000000"/>
            <w:sz w:val="22"/>
          </w:rPr>
          <w:t>87.2(4)</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affidavit is not required to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or authorized Title X agency, as applicable, must accept a photocopy, facsimile, scanned, or other copy of a document listed in paragraph </w:t>
      </w:r>
      <w:hyperlink r:id="rId21">
        <w:r>
          <w:rPr>
            <w:rStyle w:val="Hyperlink"/>
            <w:rFonts w:ascii="Times New Roman" w:hAnsi="Times New Roman"/>
            <w:b w:val="false"/>
            <w:i w:val="false"/>
            <w:color w:val="000000"/>
            <w:sz w:val="22"/>
          </w:rPr>
          <w:t>87.2(4)</w:t>
        </w:r>
      </w:hyperlink>
      <w:r>
        <w:rPr>
          <w:rFonts w:ascii="Times New Roman" w:hAnsi="Times New Roman"/>
          <w:b w:val="false"/>
          <w:i/>
          <w:color w:val="000000"/>
          <w:sz w:val="22"/>
        </w:rPr>
        <w:t>“d,”</w:t>
      </w:r>
      <w:r>
        <w:rPr>
          <w:rFonts w:ascii="Times New Roman" w:hAnsi="Times New Roman"/>
          <w:b w:val="false"/>
          <w:i/>
          <w:color w:val="000000"/>
          <w:sz w:val="22"/>
        </w:rPr>
        <w:t>“e,”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to the same extent as an original document, unless information on the submitted copy is inconsistent with other information available or there is reason to question the validity of, or information in, the document. The department must provide assistance in a timely manner to persons who need assistance in securing satisfactory documentation of citizenship or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for whom an attestation of United States citizenship has been made pursuant to paragraph </w:t>
      </w:r>
      <w:hyperlink r:id="rId22">
        <w:r>
          <w:rPr>
            <w:rStyle w:val="Hyperlink"/>
            <w:rFonts w:ascii="Times New Roman" w:hAnsi="Times New Roman"/>
            <w:b w:val="false"/>
            <w:i w:val="false"/>
            <w:color w:val="000000"/>
            <w:sz w:val="22"/>
          </w:rPr>
          <w:t>87.2(4)</w:t>
        </w:r>
      </w:hyperlink>
      <w:r>
        <w:rPr>
          <w:rFonts w:ascii="Times New Roman" w:hAnsi="Times New Roman"/>
          <w:b w:val="false"/>
          <w:i/>
          <w:color w:val="000000"/>
          <w:sz w:val="22"/>
        </w:rPr>
        <w:t>“b”</w:t>
      </w:r>
      <w:r>
        <w:rPr>
          <w:rFonts w:ascii="Times New Roman" w:hAnsi="Times New Roman"/>
          <w:b w:val="false"/>
          <w:i w:val="false"/>
          <w:color w:val="000000"/>
          <w:sz w:val="22"/>
        </w:rPr>
        <w:t xml:space="preserve"> is not required to present documentation of citizenship and identity for the family planning program if any of the following circumstances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entitled to or enrolled for benefits under any part of </w:t>
      </w:r>
      <w:r>
        <w:rPr>
          <w:rFonts w:ascii="Times New Roman" w:hAnsi="Times New Roman"/>
          <w:b w:val="false"/>
          <w:i w:val="false"/>
          <w:color w:val="000000"/>
          <w:sz w:val="22"/>
        </w:rPr>
        <w:t>Title XVIII of the federal Social Security Act</w:t>
      </w:r>
      <w:r>
        <w:rPr>
          <w:rFonts w:ascii="Times New Roman" w:hAnsi="Times New Roman"/>
          <w:b w:val="false"/>
          <w:i w:val="false"/>
          <w:color w:val="000000"/>
          <w:sz w:val="22"/>
        </w:rPr>
        <w:t xml:space="preserve">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receiving federal social security disability insurance (SSDI) benefits under </w:t>
      </w:r>
      <w:r>
        <w:rPr>
          <w:rFonts w:ascii="Times New Roman" w:hAnsi="Times New Roman"/>
          <w:b w:val="false"/>
          <w:i w:val="false"/>
          <w:color w:val="000000"/>
          <w:sz w:val="22"/>
        </w:rPr>
        <w:t>Title II of the federal Social Security Act, Section 223</w:t>
      </w:r>
      <w:r>
        <w:rPr>
          <w:rFonts w:ascii="Times New Roman" w:hAnsi="Times New Roman"/>
          <w:b w:val="false"/>
          <w:i w:val="false"/>
          <w:color w:val="000000"/>
          <w:sz w:val="22"/>
        </w:rPr>
        <w:t xml:space="preserve"> or 202, based on disability (as defined in Section 223(d)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receiving supplemental security income (SSI) benefits under </w:t>
      </w:r>
      <w:r>
        <w:rPr>
          <w:rFonts w:ascii="Times New Roman" w:hAnsi="Times New Roman"/>
          <w:b w:val="false"/>
          <w:i w:val="false"/>
          <w:color w:val="000000"/>
          <w:sz w:val="22"/>
        </w:rPr>
        <w:t>Title XVI of the federal Social Security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or was exempted while assisted by child welfare services funded under </w:t>
      </w:r>
      <w:r>
        <w:rPr>
          <w:rFonts w:ascii="Times New Roman" w:hAnsi="Times New Roman"/>
          <w:b w:val="false"/>
          <w:i w:val="false"/>
          <w:color w:val="000000"/>
          <w:sz w:val="22"/>
        </w:rPr>
        <w:t>Part B of Title IV of the federal Social Security Act</w:t>
      </w:r>
      <w:r>
        <w:rPr>
          <w:rFonts w:ascii="Times New Roman" w:hAnsi="Times New Roman"/>
          <w:b w:val="false"/>
          <w:i w:val="false"/>
          <w:color w:val="000000"/>
          <w:sz w:val="22"/>
        </w:rPr>
        <w:t xml:space="preserve"> on the basis of being a child in foster care as defined in Iowa Code section </w:t>
      </w:r>
      <w:hyperlink r:id="rId23">
        <w:r>
          <w:rPr>
            <w:rStyle w:val="Hyperlink"/>
            <w:rFonts w:ascii="Times New Roman" w:hAnsi="Times New Roman"/>
            <w:b w:val="false"/>
            <w:i w:val="false"/>
            <w:color w:val="000000"/>
            <w:sz w:val="22"/>
          </w:rPr>
          <w:t>232.2(20B)</w:t>
        </w:r>
      </w:hyperlink>
      <w:r>
        <w:rPr>
          <w:rFonts w:ascii="Times New Roman" w:hAnsi="Times New Roman"/>
          <w:b w:val="false"/>
          <w:i w:val="false"/>
          <w:color w:val="000000"/>
          <w:sz w:val="22"/>
        </w:rPr>
        <w:t xml:space="preserve">. This exemption does not apply, and the person is subject to the citizenship and identity documentation requirements described in paragraph </w:t>
      </w:r>
      <w:hyperlink r:id="rId24">
        <w:r>
          <w:rPr>
            <w:rStyle w:val="Hyperlink"/>
            <w:rFonts w:ascii="Times New Roman" w:hAnsi="Times New Roman"/>
            <w:b w:val="false"/>
            <w:i w:val="false"/>
            <w:color w:val="000000"/>
            <w:sz w:val="22"/>
          </w:rPr>
          <w:t>87.2(4)</w:t>
        </w:r>
      </w:hyperlink>
      <w:r>
        <w:rPr>
          <w:rFonts w:ascii="Times New Roman" w:hAnsi="Times New Roman"/>
          <w:b w:val="false"/>
          <w:i/>
          <w:color w:val="000000"/>
          <w:sz w:val="22"/>
        </w:rPr>
        <w:t>“c,”</w:t>
      </w:r>
      <w:r>
        <w:rPr>
          <w:rFonts w:ascii="Times New Roman" w:hAnsi="Times New Roman"/>
          <w:b w:val="false"/>
          <w:i w:val="false"/>
          <w:color w:val="000000"/>
          <w:sz w:val="22"/>
        </w:rPr>
        <w:t xml:space="preserve"> when services under Part B of Title IV were terminated due to failure to meet citizenship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or was exempted while assisted by foster care as defined in Iowa Code section </w:t>
      </w:r>
      <w:hyperlink r:id="rId25">
        <w:r>
          <w:rPr>
            <w:rStyle w:val="Hyperlink"/>
            <w:rFonts w:ascii="Times New Roman" w:hAnsi="Times New Roman"/>
            <w:b w:val="false"/>
            <w:i w:val="false"/>
            <w:color w:val="000000"/>
            <w:sz w:val="22"/>
          </w:rPr>
          <w:t>232.2(20B)</w:t>
        </w:r>
      </w:hyperlink>
      <w:r>
        <w:rPr>
          <w:rFonts w:ascii="Times New Roman" w:hAnsi="Times New Roman"/>
          <w:b w:val="false"/>
          <w:i w:val="false"/>
          <w:color w:val="000000"/>
          <w:sz w:val="22"/>
        </w:rPr>
        <w:t xml:space="preserve"> or adoption assistance funded under </w:t>
      </w:r>
      <w:r>
        <w:rPr>
          <w:rFonts w:ascii="Times New Roman" w:hAnsi="Times New Roman"/>
          <w:b w:val="false"/>
          <w:i w:val="false"/>
          <w:color w:val="000000"/>
          <w:sz w:val="22"/>
        </w:rPr>
        <w:t>Part E of Title IV of the federal Social Security Act</w:t>
      </w:r>
      <w:r>
        <w:rPr>
          <w:rFonts w:ascii="Times New Roman" w:hAnsi="Times New Roman"/>
          <w:b w:val="false"/>
          <w:i w:val="false"/>
          <w:color w:val="000000"/>
          <w:sz w:val="22"/>
        </w:rPr>
        <w:t xml:space="preserve">. This exemption does not apply, and the person is subject to the citizenship and identity documentation requirements described in paragraph </w:t>
      </w:r>
      <w:hyperlink r:id="rId26">
        <w:r>
          <w:rPr>
            <w:rStyle w:val="Hyperlink"/>
            <w:rFonts w:ascii="Times New Roman" w:hAnsi="Times New Roman"/>
            <w:b w:val="false"/>
            <w:i w:val="false"/>
            <w:color w:val="000000"/>
            <w:sz w:val="22"/>
          </w:rPr>
          <w:t>87.2(4)</w:t>
        </w:r>
      </w:hyperlink>
      <w:r>
        <w:rPr>
          <w:rFonts w:ascii="Times New Roman" w:hAnsi="Times New Roman"/>
          <w:b w:val="false"/>
          <w:i/>
          <w:color w:val="000000"/>
          <w:sz w:val="22"/>
        </w:rPr>
        <w:t>“c,”</w:t>
      </w:r>
      <w:r>
        <w:rPr>
          <w:rFonts w:ascii="Times New Roman" w:hAnsi="Times New Roman"/>
          <w:b w:val="false"/>
          <w:i w:val="false"/>
          <w:color w:val="000000"/>
          <w:sz w:val="22"/>
        </w:rPr>
        <w:t xml:space="preserve"> when services under Part E of Title IV were terminated due to failure to meet citizenship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person has previously presented satisfactory documentation of citizenship and identity, as specified by the United States Secretary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was deemed eligible for medical assistance pursuant to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1396a(e)(4) on or after July 1, 2006, as the newborn of a Medicaid-eligible 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was eligible for medical assistance pursuant to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1397ll(e) as the newborn of a mother eligible for assistance under a State Children’s Health Insurance Program (SCHIP) pursuant to </w:t>
      </w:r>
      <w:r>
        <w:rPr>
          <w:rFonts w:ascii="Times New Roman" w:hAnsi="Times New Roman"/>
          <w:b w:val="false"/>
          <w:i w:val="false"/>
          <w:color w:val="000000"/>
          <w:sz w:val="22"/>
        </w:rPr>
        <w:t>Title XXI of the Social Security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7">
        <w:r>
          <w:rPr>
            <w:rStyle w:val="Hyperlink"/>
            <w:rFonts w:ascii="Times New Roman" w:hAnsi="Times New Roman"/>
            <w:b w:val="false"/>
            <w:i w:val="false"/>
            <w:color w:val="000000"/>
            <w:sz w:val="22"/>
          </w:rPr>
          <w:t>87.2(4)</w:t>
        </w:r>
      </w:hyperlink>
      <w:r>
        <w:rPr>
          <w:rFonts w:ascii="Times New Roman" w:hAnsi="Times New Roman"/>
          <w:b w:val="false"/>
          <w:i/>
          <w:color w:val="000000"/>
          <w:sz w:val="22"/>
        </w:rPr>
        <w:t>“h,”</w:t>
      </w:r>
      <w:r>
        <w:rPr>
          <w:rFonts w:ascii="Times New Roman" w:hAnsi="Times New Roman"/>
          <w:b w:val="false"/>
          <w:i w:val="false"/>
          <w:color w:val="000000"/>
          <w:sz w:val="22"/>
        </w:rPr>
        <w:t xml:space="preserve"> applicants or members for whom an attestation of qualified noncitizen status has been made pursuant to paragraph </w:t>
      </w:r>
      <w:hyperlink r:id="rId28">
        <w:r>
          <w:rPr>
            <w:rStyle w:val="Hyperlink"/>
            <w:rFonts w:ascii="Times New Roman" w:hAnsi="Times New Roman"/>
            <w:b w:val="false"/>
            <w:i w:val="false"/>
            <w:color w:val="000000"/>
            <w:sz w:val="22"/>
          </w:rPr>
          <w:t>87.2(4)</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present satisfactory documentation of qualified noncitizen status. Satisfactory documentation of qualified noncitizen status is documentation issued by the U.S. Citizenship and Immigration Services (USCIS) (formerly Immigration and Naturalization Service (INS)) of the Department of Homeland Security that identifies the person’s qualified noncitizen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87.2(5)</w:t>
      </w:r>
      <w:r>
        <w:rPr>
          <w:rFonts w:ascii="Times New Roman" w:hAnsi="Times New Roman"/>
          <w:b w:val="false"/>
          <w:i w:val="false"/>
          <w:color w:val="000000"/>
          <w:sz w:val="22"/>
        </w:rPr>
        <w:t> </w:t>
      </w:r>
      <w:r>
        <w:rPr>
          <w:rFonts w:ascii="Times New Roman" w:hAnsi="Times New Roman"/>
          <w:b w:val="false"/>
          <w:i/>
          <w:color w:val="000000"/>
          <w:sz w:val="22"/>
        </w:rPr>
        <w:t xml:space="preserve">Deeming of sponsor’s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qualified noncitizen admitted for lawful permanent residence is sponsored by a person who executed an affidavit of support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1631(a)(1) on behalf of the qualified noncitizen, the income of the sponsor shall be deemed to determine eligibility for the sponsored qualified noncitizen. The amount deemed to the sponsored qualified noncitizen shall be the total countable income of the sponsor determined pursuant to paragraphs </w:t>
      </w:r>
      <w:hyperlink r:id="rId29">
        <w:r>
          <w:rPr>
            <w:rStyle w:val="Hyperlink"/>
            <w:rFonts w:ascii="Times New Roman" w:hAnsi="Times New Roman"/>
            <w:b w:val="false"/>
            <w:i w:val="false"/>
            <w:color w:val="000000"/>
            <w:sz w:val="22"/>
          </w:rPr>
          <w:t>87.2(3)</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indigent qualified noncitizen is exempt from the deeming of a sponsor’s income for 12 months after indigence is determined. A qualified noncitizen shall be considered indigent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qualified noncitizen does not live with the sponsor;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qualified noncitizen’s gross income, including any income actually received from or made available by the sponsor, is less than 100 percent of the federal poverty level for the sponsored qualified noncitizen’s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battered qualified noncitizen as described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1641(c) is exempt from the deeming of a sponsor’s income for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Deeming of the sponsor’s income does not apply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qualified noncitizen attains citizenship through naturalization pursuant to </w:t>
      </w:r>
      <w:hyperlink r:id="rId30">
        <w:r>
          <w:rPr>
            <w:rStyle w:val="Hyperlink"/>
            <w:rFonts w:ascii="Times New Roman" w:hAnsi="Times New Roman"/>
            <w:b w:val="false"/>
            <w:i w:val="false"/>
            <w:color w:val="000000"/>
            <w:sz w:val="22"/>
          </w:rPr>
          <w:t>Chapter 2</w:t>
        </w:r>
      </w:hyperlink>
      <w:r>
        <w:rPr>
          <w:rFonts w:ascii="Times New Roman" w:hAnsi="Times New Roman"/>
          <w:b w:val="false"/>
          <w:i w:val="false"/>
          <w:color w:val="000000"/>
          <w:sz w:val="22"/>
        </w:rPr>
        <w:t xml:space="preserve"> of Title II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qualified noncitizen has earned 40 qualifying quarters of coverage as defined in </w:t>
      </w:r>
      <w:r>
        <w:rPr>
          <w:rFonts w:ascii="Times New Roman" w:hAnsi="Times New Roman"/>
          <w:b w:val="false"/>
          <w:i w:val="false"/>
          <w:color w:val="000000"/>
          <w:sz w:val="22"/>
        </w:rPr>
        <w:t>Title II of the Social Security Act</w:t>
      </w:r>
      <w:r>
        <w:rPr>
          <w:rFonts w:ascii="Times New Roman" w:hAnsi="Times New Roman"/>
          <w:b w:val="false"/>
          <w:i w:val="false"/>
          <w:color w:val="000000"/>
          <w:sz w:val="22"/>
        </w:rPr>
        <w:t xml:space="preserve"> or can be credited with 40 creditable qualifying quarters as defined in rule </w:t>
      </w:r>
      <w:hyperlink r:id="rId31">
        <w:r>
          <w:rPr>
            <w:rStyle w:val="Hyperlink"/>
            <w:rFonts w:ascii="Times New Roman" w:hAnsi="Times New Roman"/>
            <w:b w:val="false"/>
            <w:i w:val="false"/>
            <w:color w:val="000000"/>
            <w:sz w:val="22"/>
          </w:rPr>
          <w:t>441—87.1</w:t>
        </w:r>
      </w:hyperlink>
      <w:r>
        <w:rPr>
          <w:rFonts w:ascii="Times New Roman" w:hAnsi="Times New Roman"/>
          <w:b w:val="false"/>
          <w:i w:val="false"/>
          <w:color w:val="000000"/>
          <w:sz w:val="22"/>
        </w:rPr>
        <w:t>(217).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sponsored qualified noncitizen or the sponsor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sponsored qualified noncitizen is a child under the age of 21 as allowed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1396b(v)(4)(A)(ii).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87.2(6)</w:t>
      </w:r>
      <w:r>
        <w:rPr>
          <w:rFonts w:ascii="Times New Roman" w:hAnsi="Times New Roman"/>
          <w:b w:val="false"/>
          <w:i w:val="false"/>
          <w:color w:val="000000"/>
          <w:sz w:val="22"/>
        </w:rPr>
        <w:t> </w:t>
      </w:r>
      <w:r>
        <w:rPr>
          <w:rFonts w:ascii="Times New Roman" w:hAnsi="Times New Roman"/>
          <w:b w:val="false"/>
          <w:i/>
          <w:color w:val="000000"/>
          <w:sz w:val="22"/>
        </w:rPr>
        <w:t xml:space="preserve">Residency requirements. </w:t>
      </w:r>
      <w:r>
        <w:rPr>
          <w:rFonts w:ascii="Times New Roman" w:hAnsi="Times New Roman"/>
          <w:b w:val="false"/>
          <w:i w:val="false"/>
          <w:color w:val="000000"/>
          <w:sz w:val="22"/>
        </w:rPr>
        <w:t xml:space="preserve">Residency in Iowa is a condition of eligibility for the family planning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of resident. </w:t>
      </w:r>
      <w:r>
        <w:rPr>
          <w:rFonts w:ascii="Times New Roman" w:hAnsi="Times New Roman"/>
          <w:b w:val="false"/>
          <w:i w:val="false"/>
          <w:color w:val="000000"/>
          <w:sz w:val="22"/>
        </w:rPr>
        <w:t>A resident of Iowa is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Who is living in Iowa voluntarily with the intention of making that person’s home there and not for a temporary purpose. A person is a resident of Iowa when living there on other than a temporary basis. Residence shall not depend upon the reason for which the individual entered the state, except insofar as it may bear upon whether the individual is there voluntarily or for a temporary purpose;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Who, at the time of application, is living in Iowa, is not receiving assistance from another state, and entered Iowa with a job commitment or seeking employment in Iowa, whether or not currently employed.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Retention of residence. </w:t>
      </w:r>
      <w:r>
        <w:rPr>
          <w:rFonts w:ascii="Times New Roman" w:hAnsi="Times New Roman"/>
          <w:b w:val="false"/>
          <w:i w:val="false"/>
          <w:color w:val="000000"/>
          <w:sz w:val="22"/>
        </w:rPr>
        <w:t>Residence is retained until abandoned. Temporary absence from Iowa, with subsequent returns to Iowa, or intent to return when the purposes of the absence have been accomplished does not interrupt continuity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87.2(7)</w:t>
      </w:r>
      <w:r>
        <w:rPr>
          <w:rFonts w:ascii="Times New Roman" w:hAnsi="Times New Roman"/>
          <w:b w:val="false"/>
          <w:i w:val="false"/>
          <w:color w:val="000000"/>
          <w:sz w:val="22"/>
        </w:rPr>
        <w:t> </w:t>
      </w:r>
      <w:r>
        <w:rPr>
          <w:rFonts w:ascii="Times New Roman" w:hAnsi="Times New Roman"/>
          <w:b w:val="false"/>
          <w:i/>
          <w:color w:val="000000"/>
          <w:sz w:val="22"/>
        </w:rPr>
        <w:t xml:space="preserve">Investigation by quality control or the department of inspections and appeals. </w:t>
      </w:r>
      <w:r>
        <w:rPr>
          <w:rFonts w:ascii="Times New Roman" w:hAnsi="Times New Roman"/>
          <w:b w:val="false"/>
          <w:i w:val="false"/>
          <w:color w:val="000000"/>
          <w:sz w:val="22"/>
        </w:rPr>
        <w:t xml:space="preserve">As a condition of eligibility, an applicant or member shall cooperate with the department when the applicant’s or member’s case is selected by quality control or the department of inspections and appeals for verification of eligibility unless the investigation revolves solely around the circumstances of a person whose income does not affect family planning program eligibility. (More information can be found in department of inspections and appeals rules in </w:t>
      </w:r>
      <w:hyperlink r:id="rId32">
        <w:r>
          <w:rPr>
            <w:rStyle w:val="Hyperlink"/>
            <w:rFonts w:ascii="Times New Roman" w:hAnsi="Times New Roman"/>
            <w:b w:val="false"/>
            <w:i w:val="false"/>
            <w:color w:val="000000"/>
            <w:sz w:val="22"/>
          </w:rPr>
          <w:t>481—Chapter 72</w:t>
        </w:r>
      </w:hyperlink>
      <w:r>
        <w:rPr>
          <w:rFonts w:ascii="Times New Roman" w:hAnsi="Times New Roman"/>
          <w:b w:val="false"/>
          <w:i w:val="false"/>
          <w:color w:val="000000"/>
          <w:sz w:val="22"/>
        </w:rPr>
        <w:t>.) Failure to cooperate shall serve as a basis for denial of an application or cancellation of family planning program eligibility. Once a person’s eligibility is denied or canceled for failure to cooperate, the person may reapply but shall not be determined eligible until cooperation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87.2(8)</w:t>
      </w:r>
      <w:r>
        <w:rPr>
          <w:rFonts w:ascii="Times New Roman" w:hAnsi="Times New Roman"/>
          <w:b w:val="false"/>
          <w:i w:val="false"/>
          <w:color w:val="000000"/>
          <w:sz w:val="22"/>
        </w:rPr>
        <w:t> </w:t>
      </w:r>
      <w:r>
        <w:rPr>
          <w:rFonts w:ascii="Times New Roman" w:hAnsi="Times New Roman"/>
          <w:b w:val="false"/>
          <w:i/>
          <w:color w:val="000000"/>
          <w:sz w:val="22"/>
        </w:rPr>
        <w:t xml:space="preserve">Funding contingency. </w:t>
      </w:r>
      <w:r>
        <w:rPr>
          <w:rFonts w:ascii="Times New Roman" w:hAnsi="Times New Roman"/>
          <w:b w:val="false"/>
          <w:i w:val="false"/>
          <w:color w:val="000000"/>
          <w:sz w:val="22"/>
        </w:rPr>
        <w:t>Initial and continuing eligibility for family planning services under this program is subject to the availability of funding appropriated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appropriated funding is exhausted, ongoing eligibility shall be terminated and new applications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appropriated funding becomes available, applications submitted thereafter will be considered on a first-come, first-served basis, based on the date of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3199C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3389C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 xml:space="preserve">; </w:t>
      </w:r>
      <w:r>
        <w:rPr>
          <w:rFonts w:ascii="Times New Roman" w:hAnsi="Times New Roman"/>
          <w:b/>
          <w:i w:val="false"/>
          <w:color w:val="000000"/>
          <w:sz w:val="16"/>
        </w:rPr>
        <w:t>ARC 6853C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441—87.3</w:t>
      </w:r>
      <w:r>
        <w:rPr>
          <w:rFonts w:ascii="Times New Roman" w:hAnsi="Times New Roman"/>
          <w:b/>
          <w:i w:val="false"/>
          <w:color w:val="000000"/>
          <w:sz w:val="22"/>
        </w:rPr>
        <w:t xml:space="preserve">(217) </w:t>
      </w:r>
      <w:r>
        <w:rPr>
          <w:rFonts w:ascii="Times New Roman" w:hAnsi="Times New Roman"/>
          <w:b/>
          <w:i w:val="false"/>
          <w:color w:val="000000"/>
          <w:sz w:val="22"/>
        </w:rPr>
        <w:t xml:space="preserve">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An individual who requests assistance for family planning services shall file an application Form 470-5485. A woman eligible under </w:t>
      </w:r>
      <w:hyperlink r:id="rId33">
        <w:r>
          <w:rPr>
            <w:rStyle w:val="Hyperlink"/>
            <w:rFonts w:ascii="Times New Roman" w:hAnsi="Times New Roman"/>
            <w:b w:val="false"/>
            <w:i w:val="false"/>
            <w:color w:val="000000"/>
            <w:sz w:val="22"/>
          </w:rPr>
          <w:t>paragraph 87.2(1)</w:t>
        </w:r>
      </w:hyperlink>
      <w:r>
        <w:rPr>
          <w:rFonts w:ascii="Times New Roman" w:hAnsi="Times New Roman"/>
          <w:b w:val="false"/>
          <w:i/>
          <w:color w:val="000000"/>
          <w:sz w:val="22"/>
        </w:rPr>
        <w:t>“a”</w:t>
      </w:r>
      <w:r>
        <w:rPr>
          <w:rFonts w:ascii="Times New Roman" w:hAnsi="Times New Roman"/>
          <w:b w:val="false"/>
          <w:i w:val="false"/>
          <w:color w:val="000000"/>
          <w:sz w:val="22"/>
        </w:rPr>
        <w:t xml:space="preserve"> is not required to file an application for assistance under this program. The department will automatically redetermine eligibility upon loss of other Medicaid eligibility within 12 months after the month when the 60-day postpartum period ends.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87.3(2)</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An application may be filed at any department office or authorized Title X family planning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87.3(3)</w:t>
      </w:r>
      <w:r>
        <w:rPr>
          <w:rFonts w:ascii="Times New Roman" w:hAnsi="Times New Roman"/>
          <w:b w:val="false"/>
          <w:i w:val="false"/>
          <w:color w:val="000000"/>
          <w:sz w:val="22"/>
        </w:rPr>
        <w:t> </w:t>
      </w:r>
      <w:r>
        <w:rPr>
          <w:rFonts w:ascii="Times New Roman" w:hAnsi="Times New Roman"/>
          <w:b w:val="false"/>
          <w:i/>
          <w:color w:val="000000"/>
          <w:sz w:val="22"/>
        </w:rPr>
        <w:t xml:space="preserve">Information or verification needed to determine eligibility. </w:t>
      </w:r>
      <w:r>
        <w:rPr>
          <w:rFonts w:ascii="Times New Roman" w:hAnsi="Times New Roman"/>
          <w:b w:val="false"/>
          <w:i w:val="false"/>
          <w:color w:val="000000"/>
          <w:sz w:val="22"/>
        </w:rPr>
        <w:t>The department or authorized Title X agency, as applicable, shall notify the applicant or member, authorized representative, or responsible person in writing of the information or verification required to establish eligibility. This notice shall be provided to the applicant or member, authorized representative, or responsible person personally or by mail or fax.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or authorized Title X agency, as applicable, shall allow the applicant or member, authorized representative, or responsible person ten calendar days to supply the information or verification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or authorized Title X agency, as applicable, may extend the deadline for a reasonable period of time when the applicant or member, authorized representative, or responsible person is making reasonable efforts but is unable to secure the required information or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benefits are denied for failure to provide information or verification and the information or verification is provided within 14 calendar days of the effective date of the denial, the department or authorized Title X agency, as applicable, shall complete the eligibility determination as though the information or verification were received timely. If the fourteenth calendar day falls on a weekend or state holiday, the applicant or member, authorized representative, or responsible person shall have until the next business day to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87.3(4)</w:t>
      </w:r>
      <w:r>
        <w:rPr>
          <w:rFonts w:ascii="Times New Roman" w:hAnsi="Times New Roman"/>
          <w:b w:val="false"/>
          <w:i w:val="false"/>
          <w:color w:val="000000"/>
          <w:sz w:val="22"/>
        </w:rPr>
        <w:t> </w:t>
      </w:r>
      <w:r>
        <w:rPr>
          <w:rFonts w:ascii="Times New Roman" w:hAnsi="Times New Roman"/>
          <w:b w:val="false"/>
          <w:i/>
          <w:color w:val="000000"/>
          <w:sz w:val="22"/>
        </w:rPr>
        <w:t xml:space="preserve">Annual review. </w:t>
      </w:r>
      <w:r>
        <w:rPr>
          <w:rFonts w:ascii="Times New Roman" w:hAnsi="Times New Roman"/>
          <w:b w:val="false"/>
          <w:i w:val="false"/>
          <w:color w:val="000000"/>
          <w:sz w:val="22"/>
        </w:rPr>
        <w:t xml:space="preserve">An individual who requests that assistance continue for family planning services shall complete Form 470-4071. The member must submit the completed review form before the end of the eligibility period to any location specified in </w:t>
      </w:r>
      <w:hyperlink r:id="rId34">
        <w:r>
          <w:rPr>
            <w:rStyle w:val="Hyperlink"/>
            <w:rFonts w:ascii="Times New Roman" w:hAnsi="Times New Roman"/>
            <w:b w:val="false"/>
            <w:i w:val="false"/>
            <w:color w:val="000000"/>
            <w:sz w:val="22"/>
          </w:rPr>
          <w:t>subrule 87.3(2)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87.3(5)</w:t>
      </w:r>
      <w:r>
        <w:rPr>
          <w:rFonts w:ascii="Times New Roman" w:hAnsi="Times New Roman"/>
          <w:b w:val="false"/>
          <w:i w:val="false"/>
          <w:color w:val="000000"/>
          <w:sz w:val="22"/>
        </w:rPr>
        <w:t> </w:t>
      </w:r>
      <w:r>
        <w:rPr>
          <w:rFonts w:ascii="Times New Roman" w:hAnsi="Times New Roman"/>
          <w:b w:val="false"/>
          <w:i/>
          <w:color w:val="000000"/>
          <w:sz w:val="22"/>
        </w:rPr>
        <w:t xml:space="preserve">Time limit for decision. </w:t>
      </w:r>
      <w:r>
        <w:rPr>
          <w:rFonts w:ascii="Times New Roman" w:hAnsi="Times New Roman"/>
          <w:b w:val="false"/>
          <w:i w:val="false"/>
          <w:color w:val="000000"/>
          <w:sz w:val="22"/>
        </w:rPr>
        <w:t xml:space="preserve">An application or review form shall be processed by the department or authorized Title X agency with which the form was filed. A determination of eligibility shall be made within 45 days of receipt of the application or review 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87.3(6)</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w:t>
      </w:r>
      <w:r>
        <w:rPr>
          <w:rFonts w:ascii="Times New Roman" w:hAnsi="Times New Roman"/>
          <w:b w:val="false"/>
          <w:i w:val="false"/>
          <w:color w:val="000000"/>
          <w:sz w:val="22"/>
        </w:rPr>
        <w:t>The individual shall be notified in writing of the decision regarding eligibility for the family planning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3199C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3389C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 xml:space="preserve">; </w:t>
      </w:r>
      <w:r>
        <w:rPr>
          <w:rFonts w:ascii="Times New Roman" w:hAnsi="Times New Roman"/>
          <w:b/>
          <w:i w:val="false"/>
          <w:color w:val="000000"/>
          <w:sz w:val="16"/>
        </w:rPr>
        <w:t>ARC 6853C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441—87.4</w:t>
      </w:r>
      <w:r>
        <w:rPr>
          <w:rFonts w:ascii="Times New Roman" w:hAnsi="Times New Roman"/>
          <w:b/>
          <w:i w:val="false"/>
          <w:color w:val="000000"/>
          <w:sz w:val="22"/>
        </w:rPr>
        <w:t xml:space="preserve">(217) </w:t>
      </w:r>
      <w:r>
        <w:rPr>
          <w:rFonts w:ascii="Times New Roman" w:hAnsi="Times New Roman"/>
          <w:b/>
          <w:i w:val="false"/>
          <w:color w:val="000000"/>
          <w:sz w:val="22"/>
        </w:rPr>
        <w:t xml:space="preserve">Effective date of eligibility. </w:t>
      </w:r>
      <w:r>
        <w:rPr>
          <w:rFonts w:ascii="Times New Roman" w:hAnsi="Times New Roman"/>
          <w:b w:val="false"/>
          <w:i w:val="false"/>
          <w:color w:val="000000"/>
          <w:sz w:val="22"/>
        </w:rPr>
        <w:t>Subject to the availability of funding appropriated for this purpose, assistance for family planning services under this program shall be effective on the first day of the month of application or the first day of the month in which all eligibility requirements are met, whichever is later. Assistance shall not be available under this program for any months prior to the month of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3199C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3389C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441—87.5</w:t>
      </w:r>
      <w:r>
        <w:rPr>
          <w:rFonts w:ascii="Times New Roman" w:hAnsi="Times New Roman"/>
          <w:b/>
          <w:i w:val="false"/>
          <w:color w:val="000000"/>
          <w:sz w:val="22"/>
        </w:rPr>
        <w:t xml:space="preserve">(217) </w:t>
      </w:r>
      <w:r>
        <w:rPr>
          <w:rFonts w:ascii="Times New Roman" w:hAnsi="Times New Roman"/>
          <w:b/>
          <w:i w:val="false"/>
          <w:color w:val="000000"/>
          <w:sz w:val="22"/>
        </w:rPr>
        <w:t xml:space="preserve">Period of eligibility. </w:t>
      </w:r>
      <w:r>
        <w:rPr>
          <w:rFonts w:ascii="Times New Roman" w:hAnsi="Times New Roman"/>
          <w:b w:val="false"/>
          <w:i w:val="false"/>
          <w:color w:val="000000"/>
          <w:sz w:val="22"/>
        </w:rPr>
        <w:t>Eligibility for family planning services under this program shall be limited to a period of 12 months from the effective date of eligibility, or the duration of appropriated funding, whichever is less. A new application or annual redetermination of eligibility shall be required for benefits to continue beyond 12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3199C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3389C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441—87.6</w:t>
      </w:r>
      <w:r>
        <w:rPr>
          <w:rFonts w:ascii="Times New Roman" w:hAnsi="Times New Roman"/>
          <w:b/>
          <w:i w:val="false"/>
          <w:color w:val="000000"/>
          <w:sz w:val="22"/>
        </w:rPr>
        <w:t xml:space="preserve">(217) </w:t>
      </w:r>
      <w:r>
        <w:rPr>
          <w:rFonts w:ascii="Times New Roman" w:hAnsi="Times New Roman"/>
          <w:b/>
          <w:i w:val="false"/>
          <w:color w:val="000000"/>
          <w:sz w:val="22"/>
        </w:rPr>
        <w:t xml:space="preserve">Reporting 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87.6(1)</w:t>
      </w:r>
      <w:r>
        <w:rPr>
          <w:rFonts w:ascii="Times New Roman" w:hAnsi="Times New Roman"/>
          <w:b w:val="false"/>
          <w:i w:val="false"/>
          <w:color w:val="000000"/>
          <w:sz w:val="22"/>
        </w:rPr>
        <w:t> </w:t>
      </w:r>
      <w:r>
        <w:rPr>
          <w:rFonts w:ascii="Times New Roman" w:hAnsi="Times New Roman"/>
          <w:b w:val="false"/>
          <w:i/>
          <w:color w:val="000000"/>
          <w:sz w:val="22"/>
        </w:rPr>
        <w:t xml:space="preserve">Required changes to report. </w:t>
      </w:r>
      <w:r>
        <w:rPr>
          <w:rFonts w:ascii="Times New Roman" w:hAnsi="Times New Roman"/>
          <w:b w:val="false"/>
          <w:i w:val="false"/>
          <w:color w:val="000000"/>
          <w:sz w:val="22"/>
        </w:rPr>
        <w:t>An individual applying for or receiving family planning services under this program shall report the following changes within ten days from the date the change is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 in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longer 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woman becomes pregnant;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longer capable of bearing or fathering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Becomes Medicaid or Iowa health and wellness plan eligible, except women meeting criteria in </w:t>
      </w:r>
      <w:hyperlink r:id="rId35">
        <w:r>
          <w:rPr>
            <w:rStyle w:val="Hyperlink"/>
            <w:rFonts w:ascii="Times New Roman" w:hAnsi="Times New Roman"/>
            <w:b w:val="false"/>
            <w:i w:val="false"/>
            <w:color w:val="000000"/>
            <w:sz w:val="22"/>
          </w:rPr>
          <w:t>paragraph 87.2(1)</w:t>
        </w:r>
      </w:hyperlink>
      <w:r>
        <w:rPr>
          <w:rFonts w:ascii="Times New Roman" w:hAnsi="Times New Roman"/>
          <w:b w:val="false"/>
          <w:i/>
          <w:color w:val="000000"/>
          <w:sz w:val="22"/>
        </w:rPr>
        <w:t>“a”</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Turns 55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87.6(2)</w:t>
      </w:r>
      <w:r>
        <w:rPr>
          <w:rFonts w:ascii="Times New Roman" w:hAnsi="Times New Roman"/>
          <w:b w:val="false"/>
          <w:i w:val="false"/>
          <w:color w:val="000000"/>
          <w:sz w:val="22"/>
        </w:rPr>
        <w:t> </w:t>
      </w:r>
      <w:r>
        <w:rPr>
          <w:rFonts w:ascii="Times New Roman" w:hAnsi="Times New Roman"/>
          <w:b w:val="false"/>
          <w:i/>
          <w:color w:val="000000"/>
          <w:sz w:val="22"/>
        </w:rPr>
        <w:t xml:space="preserve">Disregard of changes. </w:t>
      </w:r>
      <w:r>
        <w:rPr>
          <w:rFonts w:ascii="Times New Roman" w:hAnsi="Times New Roman"/>
          <w:b w:val="false"/>
          <w:i w:val="false"/>
          <w:color w:val="000000"/>
          <w:sz w:val="22"/>
        </w:rPr>
        <w:t>An individual found to be eligible upon application or annual redetermination of eligibility shall remain eligible for 12 months or the duration of appropriated funding, whichever is less, regardless of any change in income or household size.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3199C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3389C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 xml:space="preserve">; </w:t>
      </w:r>
      <w:r>
        <w:rPr>
          <w:rFonts w:ascii="Times New Roman" w:hAnsi="Times New Roman"/>
          <w:b/>
          <w:i w:val="false"/>
          <w:color w:val="000000"/>
          <w:sz w:val="16"/>
        </w:rPr>
        <w:t>ARC 6853C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441—87.7</w:t>
      </w:r>
      <w:r>
        <w:rPr>
          <w:rFonts w:ascii="Times New Roman" w:hAnsi="Times New Roman"/>
          <w:b/>
          <w:i w:val="false"/>
          <w:color w:val="000000"/>
          <w:sz w:val="22"/>
        </w:rPr>
        <w:t xml:space="preserve">(217) </w:t>
      </w:r>
      <w:r>
        <w:rPr>
          <w:rFonts w:ascii="Times New Roman" w:hAnsi="Times New Roman"/>
          <w:b/>
          <w:i w:val="false"/>
          <w:color w:val="000000"/>
          <w:sz w:val="22"/>
        </w:rPr>
        <w:t xml:space="preserve">Funding of family planning services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87.7(1)</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funds. </w:t>
      </w:r>
      <w:r>
        <w:rPr>
          <w:rFonts w:ascii="Times New Roman" w:hAnsi="Times New Roman"/>
          <w:b w:val="false"/>
          <w:i w:val="false"/>
          <w:color w:val="000000"/>
          <w:sz w:val="22"/>
        </w:rPr>
        <w:t xml:space="preserve">Distribution of family planning services program funds shall be made to eligible, approved, and participating family planning providers subject to rule </w:t>
      </w:r>
      <w:hyperlink r:id="rId36">
        <w:r>
          <w:rPr>
            <w:rStyle w:val="Hyperlink"/>
            <w:rFonts w:ascii="Times New Roman" w:hAnsi="Times New Roman"/>
            <w:b w:val="false"/>
            <w:i w:val="false"/>
            <w:color w:val="000000"/>
            <w:sz w:val="22"/>
          </w:rPr>
          <w:t>441—87.11</w:t>
        </w:r>
      </w:hyperlink>
      <w:r>
        <w:rPr>
          <w:rFonts w:ascii="Times New Roman" w:hAnsi="Times New Roman"/>
          <w:b w:val="false"/>
          <w:i w:val="false"/>
          <w:color w:val="000000"/>
          <w:sz w:val="22"/>
        </w:rPr>
        <w:t>(217). Eligible family planning providers shall not include any provider that performs abortions or that maintains or operates a facility where abortions are performed and must attest to this fact. Effective July 1, 2018, eligible family planning providers shall be interpreted to include a distinct location of a nonprofit health care delivery system, if the distinct location provides family planning services but does not perform abortions or maintain or operate as a facility where abortions are performed. For the purposes of this subrule, “nonprofit health care delivery system” means an Iowa nonprofit corporation that controls, directly or indirectly, a regional health care network consisting of hospital facilities and various ambulatory and clinic locations that provide a range of primary, secondary, and tertiary inpatient, outpatient, and physician services. For the purposes of this subrule, “abortion” does not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treatment of a woman for a physical disorder, physical injury, or physical illness, including a life-endangering physical condition caused by or arising from the pregnancy itself, that would, as certified by a physician, place the woman in danger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treatment of a woman for a spontaneous abortion, commonly known as a miscarriage, when not all of the products of human conception are expelled.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87.7(2)</w:t>
      </w:r>
      <w:r>
        <w:rPr>
          <w:rFonts w:ascii="Times New Roman" w:hAnsi="Times New Roman"/>
          <w:b w:val="false"/>
          <w:i w:val="false"/>
          <w:color w:val="000000"/>
          <w:sz w:val="22"/>
        </w:rPr>
        <w:t> </w:t>
      </w:r>
      <w:r>
        <w:rPr>
          <w:rFonts w:ascii="Times New Roman" w:hAnsi="Times New Roman"/>
          <w:b w:val="false"/>
          <w:i/>
          <w:color w:val="000000"/>
          <w:sz w:val="22"/>
        </w:rPr>
        <w:t xml:space="preserve">Recovery. </w:t>
      </w:r>
      <w:r>
        <w:rPr>
          <w:rFonts w:ascii="Times New Roman" w:hAnsi="Times New Roman"/>
          <w:b w:val="false"/>
          <w:i w:val="false"/>
          <w:color w:val="000000"/>
          <w:sz w:val="22"/>
        </w:rPr>
        <w:t>The department shall recover from a member all funds incorrectly expended to or on behalf of the member for family planning program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3199C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3389C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 xml:space="preserve">; </w:t>
      </w:r>
      <w:r>
        <w:rPr>
          <w:rFonts w:ascii="Times New Roman" w:hAnsi="Times New Roman"/>
          <w:b/>
          <w:i w:val="false"/>
          <w:color w:val="000000"/>
          <w:sz w:val="16"/>
        </w:rPr>
        <w:t>ARC 4069C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441—87.8</w:t>
      </w:r>
      <w:r>
        <w:rPr>
          <w:rFonts w:ascii="Times New Roman" w:hAnsi="Times New Roman"/>
          <w:b/>
          <w:i w:val="false"/>
          <w:color w:val="000000"/>
          <w:sz w:val="22"/>
        </w:rPr>
        <w:t xml:space="preserve">(217) </w:t>
      </w:r>
      <w:r>
        <w:rPr>
          <w:rFonts w:ascii="Times New Roman" w:hAnsi="Times New Roman"/>
          <w:b/>
          <w:i w:val="false"/>
          <w:color w:val="000000"/>
          <w:sz w:val="22"/>
        </w:rPr>
        <w:t xml:space="preserve">Availability of services. </w:t>
      </w:r>
      <w:r>
        <w:rPr>
          <w:rFonts w:ascii="Times New Roman" w:hAnsi="Times New Roman"/>
          <w:b w:val="false"/>
          <w:i w:val="false"/>
          <w:color w:val="000000"/>
          <w:sz w:val="22"/>
        </w:rPr>
        <w:t>Family planning services are payable for an individual enrolled in this program only when care is received at or authorized by a participating family planning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87.8(1)</w:t>
      </w:r>
      <w:r>
        <w:rPr>
          <w:rFonts w:ascii="Times New Roman" w:hAnsi="Times New Roman"/>
          <w:b w:val="false"/>
          <w:i w:val="false"/>
          <w:color w:val="000000"/>
          <w:sz w:val="22"/>
        </w:rPr>
        <w:t> </w:t>
      </w:r>
      <w:r>
        <w:rPr>
          <w:rFonts w:ascii="Times New Roman" w:hAnsi="Times New Roman"/>
          <w:b w:val="false"/>
          <w:i w:val="false"/>
          <w:color w:val="000000"/>
          <w:sz w:val="22"/>
        </w:rPr>
        <w:t xml:space="preserve">Sterilization is a covered service subject to the limitations in </w:t>
      </w:r>
      <w:hyperlink r:id="rId37">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87.8(2)</w:t>
      </w:r>
      <w:r>
        <w:rPr>
          <w:rFonts w:ascii="Times New Roman" w:hAnsi="Times New Roman"/>
          <w:b w:val="false"/>
          <w:i w:val="false"/>
          <w:color w:val="000000"/>
          <w:sz w:val="22"/>
        </w:rPr>
        <w:t> </w:t>
      </w:r>
      <w:r>
        <w:rPr>
          <w:rFonts w:ascii="Times New Roman" w:hAnsi="Times New Roman"/>
          <w:b w:val="false"/>
          <w:i w:val="false"/>
          <w:color w:val="000000"/>
          <w:sz w:val="22"/>
        </w:rPr>
        <w:t>Covered services shall not include abortion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3199C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3389C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 xml:space="preserve">; </w:t>
      </w:r>
      <w:r>
        <w:rPr>
          <w:rFonts w:ascii="Times New Roman" w:hAnsi="Times New Roman"/>
          <w:b/>
          <w:i w:val="false"/>
          <w:color w:val="000000"/>
          <w:sz w:val="16"/>
        </w:rPr>
        <w:t>ARC 6853C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441—87.9</w:t>
      </w:r>
      <w:r>
        <w:rPr>
          <w:rFonts w:ascii="Times New Roman" w:hAnsi="Times New Roman"/>
          <w:b/>
          <w:i w:val="false"/>
          <w:color w:val="000000"/>
          <w:sz w:val="22"/>
        </w:rPr>
        <w:t xml:space="preserve">(217) </w:t>
      </w:r>
      <w:r>
        <w:rPr>
          <w:rFonts w:ascii="Times New Roman" w:hAnsi="Times New Roman"/>
          <w:b/>
          <w:i w:val="false"/>
          <w:color w:val="000000"/>
          <w:sz w:val="22"/>
        </w:rPr>
        <w:t xml:space="preserve">Payment of covered services. </w:t>
      </w:r>
      <w:r>
        <w:rPr>
          <w:rFonts w:ascii="Times New Roman" w:hAnsi="Times New Roman"/>
          <w:b w:val="false"/>
          <w:i w:val="false"/>
          <w:color w:val="000000"/>
          <w:sz w:val="22"/>
        </w:rPr>
        <w:t>Payment for family planning services covered under this chapter, including services authorized but not provided by a participating family planning provider, shall be made only to participating family planning providers on a fee schedule determined by the department. Family planning services program funds distributed in accordance with this rule shall not be used for direct or indirect costs, including but not limited to administrative costs or expenses, overhead, employee salaries, rent, and telephone and other utility costs, related to providing abortions as specified in subrule 87.7(1).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87.9(1)</w:t>
      </w:r>
      <w:r>
        <w:rPr>
          <w:rFonts w:ascii="Times New Roman" w:hAnsi="Times New Roman"/>
          <w:b w:val="false"/>
          <w:i w:val="false"/>
          <w:color w:val="000000"/>
          <w:sz w:val="22"/>
        </w:rPr>
        <w:t> </w:t>
      </w:r>
      <w:r>
        <w:rPr>
          <w:rFonts w:ascii="Times New Roman" w:hAnsi="Times New Roman"/>
          <w:b w:val="false"/>
          <w:i/>
          <w:color w:val="000000"/>
          <w:sz w:val="22"/>
        </w:rPr>
        <w:t xml:space="preserve">Fee schedule. </w:t>
      </w:r>
      <w:r>
        <w:rPr>
          <w:rFonts w:ascii="Times New Roman" w:hAnsi="Times New Roman"/>
          <w:b w:val="false"/>
          <w:i w:val="false"/>
          <w:color w:val="000000"/>
          <w:sz w:val="22"/>
        </w:rPr>
        <w:t>The fee schedule shall include the amount of payment for each service and any limits on the service (e.g., a routine Pap smear is payable once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87.9(2)</w:t>
      </w:r>
      <w:r>
        <w:rPr>
          <w:rFonts w:ascii="Times New Roman" w:hAnsi="Times New Roman"/>
          <w:b w:val="false"/>
          <w:i w:val="false"/>
          <w:color w:val="000000"/>
          <w:sz w:val="22"/>
        </w:rPr>
        <w:t> </w:t>
      </w:r>
      <w:r>
        <w:rPr>
          <w:rFonts w:ascii="Times New Roman" w:hAnsi="Times New Roman"/>
          <w:b w:val="false"/>
          <w:i/>
          <w:color w:val="000000"/>
          <w:sz w:val="22"/>
        </w:rPr>
        <w:t xml:space="preserve">Third-party payments. </w:t>
      </w:r>
      <w:r>
        <w:rPr>
          <w:rFonts w:ascii="Times New Roman" w:hAnsi="Times New Roman"/>
          <w:b w:val="false"/>
          <w:i w:val="false"/>
          <w:color w:val="000000"/>
          <w:sz w:val="22"/>
        </w:rPr>
        <w:t>This program is the payer of last resort for services covered in this chapter. Any third-party payment received by the family planning agency or other provider of services plus any payments under this program cannot exceed the fee schedule allowance.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87.9(3)</w:t>
      </w:r>
      <w:r>
        <w:rPr>
          <w:rFonts w:ascii="Times New Roman" w:hAnsi="Times New Roman"/>
          <w:b w:val="false"/>
          <w:i w:val="false"/>
          <w:color w:val="000000"/>
          <w:sz w:val="22"/>
        </w:rPr>
        <w:t> </w:t>
      </w:r>
      <w:r>
        <w:rPr>
          <w:rFonts w:ascii="Times New Roman" w:hAnsi="Times New Roman"/>
          <w:b w:val="false"/>
          <w:i/>
          <w:color w:val="000000"/>
          <w:sz w:val="22"/>
        </w:rPr>
        <w:t xml:space="preserve">Supplementation. </w:t>
      </w:r>
      <w:r>
        <w:rPr>
          <w:rFonts w:ascii="Times New Roman" w:hAnsi="Times New Roman"/>
          <w:b w:val="false"/>
          <w:i w:val="false"/>
          <w:color w:val="000000"/>
          <w:sz w:val="22"/>
        </w:rPr>
        <w:t>Payment made under this program shall be considered payment in full.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3199C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3389C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441—87.10</w:t>
      </w:r>
      <w:r>
        <w:rPr>
          <w:rFonts w:ascii="Times New Roman" w:hAnsi="Times New Roman"/>
          <w:b/>
          <w:i w:val="false"/>
          <w:color w:val="000000"/>
          <w:sz w:val="22"/>
        </w:rPr>
        <w:t xml:space="preserve">(217) </w:t>
      </w:r>
      <w:r>
        <w:rPr>
          <w:rFonts w:ascii="Times New Roman" w:hAnsi="Times New Roman"/>
          <w:b/>
          <w:i w:val="false"/>
          <w:color w:val="000000"/>
          <w:sz w:val="22"/>
        </w:rPr>
        <w:t xml:space="preserve">Submission of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87.10(1)</w:t>
      </w:r>
      <w:r>
        <w:rPr>
          <w:rFonts w:ascii="Times New Roman" w:hAnsi="Times New Roman"/>
          <w:b w:val="false"/>
          <w:i w:val="false"/>
          <w:color w:val="000000"/>
          <w:sz w:val="22"/>
        </w:rPr>
        <w:t> </w:t>
      </w:r>
      <w:r>
        <w:rPr>
          <w:rFonts w:ascii="Times New Roman" w:hAnsi="Times New Roman"/>
          <w:b w:val="false"/>
          <w:i w:val="false"/>
          <w:color w:val="000000"/>
          <w:sz w:val="22"/>
        </w:rPr>
        <w:t>Family planning providers that participate in the program shall submit claims to Iowa Medicaid for services rendered no later than 45 days from the last day of the month in which services were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87.10(2)</w:t>
      </w:r>
      <w:r>
        <w:rPr>
          <w:rFonts w:ascii="Times New Roman" w:hAnsi="Times New Roman"/>
          <w:b w:val="false"/>
          <w:i w:val="false"/>
          <w:color w:val="000000"/>
          <w:sz w:val="22"/>
        </w:rPr>
        <w:t> </w:t>
      </w:r>
      <w:r>
        <w:rPr>
          <w:rFonts w:ascii="Times New Roman" w:hAnsi="Times New Roman"/>
          <w:b w:val="false"/>
          <w:i w:val="false"/>
          <w:color w:val="000000"/>
          <w:sz w:val="22"/>
        </w:rPr>
        <w:t>Following a successful review of the claim, the Iowa Medicaid enterprise shall make payments to the family planning provider subject to the availability of funding and the allocation of available funds under subrule 87.7(1).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3199C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3389C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 xml:space="preserve">; </w:t>
      </w:r>
      <w:r>
        <w:rPr>
          <w:rFonts w:ascii="Times New Roman" w:hAnsi="Times New Roman"/>
          <w:b/>
          <w:i w:val="false"/>
          <w:color w:val="000000"/>
          <w:sz w:val="16"/>
        </w:rPr>
        <w:t>ARC 6853C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441—87.11</w:t>
      </w:r>
      <w:r>
        <w:rPr>
          <w:rFonts w:ascii="Times New Roman" w:hAnsi="Times New Roman"/>
          <w:b/>
          <w:i w:val="false"/>
          <w:color w:val="000000"/>
          <w:sz w:val="22"/>
        </w:rPr>
        <w:t xml:space="preserve">(217) </w:t>
      </w:r>
      <w:r>
        <w:rPr>
          <w:rFonts w:ascii="Times New Roman" w:hAnsi="Times New Roman"/>
          <w:b/>
          <w:i w:val="false"/>
          <w:color w:val="000000"/>
          <w:sz w:val="22"/>
        </w:rPr>
        <w:t xml:space="preserve">Providers eligible to participate.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87.11(1)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must be enrolled with the Iowa Medicaid program, subject to </w:t>
      </w:r>
      <w:hyperlink r:id="rId38">
        <w:r>
          <w:rPr>
            <w:rStyle w:val="Hyperlink"/>
            <w:rFonts w:ascii="Times New Roman" w:hAnsi="Times New Roman"/>
            <w:b w:val="false"/>
            <w:i w:val="false"/>
            <w:color w:val="000000"/>
            <w:sz w:val="22"/>
          </w:rPr>
          <w:t>441—Chapter 79</w:t>
        </w:r>
      </w:hyperlink>
      <w:r>
        <w:rPr>
          <w:rFonts w:ascii="Times New Roman" w:hAnsi="Times New Roman"/>
          <w:b w:val="false"/>
          <w:i w:val="false"/>
          <w:color w:val="000000"/>
          <w:sz w:val="22"/>
        </w:rPr>
        <w:t xml:space="preserve">, and otherwise qualified to provide family planning services under Medicaid, subject to the limitations related to abortions, as specified above under </w:t>
      </w:r>
      <w:hyperlink r:id="rId39">
        <w:r>
          <w:rPr>
            <w:rStyle w:val="Hyperlink"/>
            <w:rFonts w:ascii="Times New Roman" w:hAnsi="Times New Roman"/>
            <w:b w:val="false"/>
            <w:i w:val="false"/>
            <w:color w:val="000000"/>
            <w:sz w:val="22"/>
          </w:rPr>
          <w:t>subrule 87.7(1)</w:t>
        </w:r>
      </w:hyperlink>
      <w:r>
        <w:rPr>
          <w:rFonts w:ascii="Times New Roman" w:hAnsi="Times New Roman"/>
          <w:b w:val="false"/>
          <w:i w:val="false"/>
          <w:color w:val="000000"/>
          <w:sz w:val="22"/>
        </w:rPr>
        <w:t xml:space="preserve">. Effective July 1, 2018, as a condition of eligibility as a provider under the family planning services program, each distinct location of a nonprofit health care delivery system shall enroll in the program as a separate provider, be assigned a distinct provider identification number, and complete an attestation that abortions are not performed at the distinct location. For the purposes of this subrule, “nonprofit health care delivery system” shall have the same meaning as provided under </w:t>
      </w:r>
      <w:hyperlink r:id="rId40">
        <w:r>
          <w:rPr>
            <w:rStyle w:val="Hyperlink"/>
            <w:rFonts w:ascii="Times New Roman" w:hAnsi="Times New Roman"/>
            <w:b w:val="false"/>
            <w:i w:val="false"/>
            <w:color w:val="000000"/>
            <w:sz w:val="22"/>
          </w:rPr>
          <w:t>subrule 87.7(1)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87.11(2)</w:t>
      </w:r>
      <w:r>
        <w:rPr>
          <w:rFonts w:ascii="Times New Roman" w:hAnsi="Times New Roman"/>
          <w:b w:val="false"/>
          <w:i w:val="false"/>
          <w:color w:val="000000"/>
          <w:sz w:val="22"/>
        </w:rPr>
        <w:t> </w:t>
      </w:r>
      <w:r>
        <w:rPr>
          <w:rFonts w:ascii="Times New Roman" w:hAnsi="Times New Roman"/>
          <w:b w:val="false"/>
          <w:i w:val="false"/>
          <w:color w:val="000000"/>
          <w:sz w:val="22"/>
        </w:rPr>
        <w:t>Process for enrollment. Providers wishing to enroll under the state family planning program must complete the following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Must complete enrollment with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Must complete Form 470-5484 regarding nonprovision of abortions, pursuant to requirements referenced above under </w:t>
      </w:r>
      <w:hyperlink r:id="rId41">
        <w:r>
          <w:rPr>
            <w:rStyle w:val="Hyperlink"/>
            <w:rFonts w:ascii="Times New Roman" w:hAnsi="Times New Roman"/>
            <w:b w:val="false"/>
            <w:i w:val="false"/>
            <w:color w:val="000000"/>
            <w:sz w:val="22"/>
          </w:rPr>
          <w:t>subrule 87.7(1)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Forms referenced in this subrule must be sent to Iowa Medicaid, Provider Enrollment Unit, P.O. Box 36450, Des Moines, Iowa 50315.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3199C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3389C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 xml:space="preserve">; </w:t>
      </w:r>
      <w:r>
        <w:rPr>
          <w:rFonts w:ascii="Times New Roman" w:hAnsi="Times New Roman"/>
          <w:b/>
          <w:i w:val="false"/>
          <w:color w:val="000000"/>
          <w:sz w:val="16"/>
        </w:rPr>
        <w:t>ARC 4069C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6853C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2">
        <w:r>
          <w:rPr>
            <w:rStyle w:val="Hyperlink"/>
            <w:rFonts w:ascii="Times New Roman" w:hAnsi="Times New Roman"/>
            <w:b w:val="false"/>
            <w:i w:val="false"/>
            <w:color w:val="000000"/>
            <w:sz w:val="22"/>
          </w:rPr>
          <w:t>217.41B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3199C, IAB 7/19/17, effective 7/1/17]</w:t>
      </w:r>
    </w:p>
    <w:p>
      <w:pPr>
        <w:spacing w:before="0" w:after="0"/>
        <w:ind w:left="120"/>
        <w:jc w:val="center"/>
      </w:pPr>
      <w:r>
        <w:rPr>
          <w:rFonts w:ascii="Times New Roman" w:hAnsi="Times New Roman"/>
          <w:b w:val="false"/>
          <w:i w:val="false"/>
          <w:color w:val="000000"/>
          <w:sz w:val="21"/>
        </w:rPr>
        <w:t>[Filed ARC 3389C</w:t>
      </w:r>
      <w:r>
        <w:rPr>
          <w:rFonts w:ascii="Times New Roman" w:hAnsi="Times New Roman"/>
          <w:b w:val="false"/>
          <w:i w:val="false"/>
          <w:color w:val="000000"/>
          <w:sz w:val="21"/>
        </w:rPr>
        <w:t xml:space="preserve"> (Notice ARC 3198C, IAB 7/19/17)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4069C</w:t>
      </w:r>
      <w:r>
        <w:rPr>
          <w:rFonts w:ascii="Times New Roman" w:hAnsi="Times New Roman"/>
          <w:b w:val="false"/>
          <w:i w:val="false"/>
          <w:color w:val="000000"/>
          <w:sz w:val="21"/>
        </w:rPr>
        <w:t xml:space="preserve"> (Notice ARC 3910C, IAB 8/1/18)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6853C</w:t>
      </w:r>
      <w:r>
        <w:rPr>
          <w:rFonts w:ascii="Times New Roman" w:hAnsi="Times New Roman"/>
          <w:b w:val="false"/>
          <w:i w:val="false"/>
          <w:color w:val="000000"/>
          <w:sz w:val="21"/>
        </w:rPr>
        <w:t xml:space="preserve"> (Notice ARC 6642C, IAB 11/16/22)</w:t>
      </w:r>
      <w:r>
        <w:rPr>
          <w:rFonts w:ascii="Times New Roman" w:hAnsi="Times New Roman"/>
          <w:b w:val="false"/>
          <w:i w:val="false"/>
          <w:color w:val="000000"/>
          <w:sz w:val="21"/>
        </w:rPr>
        <w:t>, IAB 2/8/23, effective 4/1/23]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7.41B.pdf" Type="http://schemas.openxmlformats.org/officeDocument/2006/relationships/hyperlink" Id="rId5"/>
    <Relationship TargetMode="External" Target="https://www.legis.iowa.gov/docs/iac/chapter/441.74.pdf" Type="http://schemas.openxmlformats.org/officeDocument/2006/relationships/hyperlink" Id="rId6"/>
    <Relationship TargetMode="External" Target="https://www.legis.iowa.gov/docs/iac/chapter/441.441.pdf" Type="http://schemas.openxmlformats.org/officeDocument/2006/relationships/hyperlink" Id="rId7"/>
    <Relationship TargetMode="External" Target="https://www.legis.iowa.gov/docs/iac/chapter/441.75.pdf" Type="http://schemas.openxmlformats.org/officeDocument/2006/relationships/hyperlink" Id="rId8"/>
    <Relationship TargetMode="External" Target="https://www.legis.iowa.gov/docs/iac/rule/441.87.2.pdf" Type="http://schemas.openxmlformats.org/officeDocument/2006/relationships/hyperlink" Id="rId9"/>
    <Relationship TargetMode="External" Target="https://www.legis.iowa.gov/docs/iac/rule/441.87.2.pdf" Type="http://schemas.openxmlformats.org/officeDocument/2006/relationships/hyperlink" Id="rId10"/>
    <Relationship TargetMode="External" Target="https://www.legis.iowa.gov/docs/iac/rule/441.87.2.pdf" Type="http://schemas.openxmlformats.org/officeDocument/2006/relationships/hyperlink" Id="rId11"/>
    <Relationship TargetMode="External" Target="https://www.legis.iowa.gov/docs/iac/rule/441.87.1.pdf" Type="http://schemas.openxmlformats.org/officeDocument/2006/relationships/hyperlink" Id="rId12"/>
    <Relationship TargetMode="External" Target="https://www.legis.iowa.gov/docs/iac/rule/441.87.2.pdf" Type="http://schemas.openxmlformats.org/officeDocument/2006/relationships/hyperlink" Id="rId13"/>
    <Relationship TargetMode="External" Target="https://www.legis.iowa.gov/docs/iac/rule/441.87.2.pdf" Type="http://schemas.openxmlformats.org/officeDocument/2006/relationships/hyperlink" Id="rId14"/>
    <Relationship TargetMode="External" Target="https://www.legis.iowa.gov/docs/iac/rule/441.87.2.pdf" Type="http://schemas.openxmlformats.org/officeDocument/2006/relationships/hyperlink" Id="rId15"/>
    <Relationship TargetMode="External" Target="https://www.legis.iowa.gov/docs/iac/rule/441.87.2.pdf" Type="http://schemas.openxmlformats.org/officeDocument/2006/relationships/hyperlink" Id="rId16"/>
    <Relationship TargetMode="External" Target="https://www.legis.iowa.gov/docs/iac/rule/441.87.2.pdf" Type="http://schemas.openxmlformats.org/officeDocument/2006/relationships/hyperlink" Id="rId17"/>
    <Relationship TargetMode="External" Target="https://www.legis.iowa.gov/docs/iac/rule/441.87.2.pdf" Type="http://schemas.openxmlformats.org/officeDocument/2006/relationships/hyperlink" Id="rId18"/>
    <Relationship TargetMode="External" Target="https://www.legis.iowa.gov/docs/iac/rule/441.87.2.pdf" Type="http://schemas.openxmlformats.org/officeDocument/2006/relationships/hyperlink" Id="rId19"/>
    <Relationship TargetMode="External" Target="https://www.legis.iowa.gov/docs/iac/rule/441.87.2.pdf" Type="http://schemas.openxmlformats.org/officeDocument/2006/relationships/hyperlink" Id="rId20"/>
    <Relationship TargetMode="External" Target="https://www.legis.iowa.gov/docs/iac/rule/441.87.2.pdf" Type="http://schemas.openxmlformats.org/officeDocument/2006/relationships/hyperlink" Id="rId21"/>
    <Relationship TargetMode="External" Target="https://www.legis.iowa.gov/docs/iac/rule/441.87.2.pdf" Type="http://schemas.openxmlformats.org/officeDocument/2006/relationships/hyperlink" Id="rId22"/>
    <Relationship TargetMode="External" Target="https://www.legis.iowa.gov/docs/ico/chapter/232.2.pdf" Type="http://schemas.openxmlformats.org/officeDocument/2006/relationships/hyperlink" Id="rId23"/>
    <Relationship TargetMode="External" Target="https://www.legis.iowa.gov/docs/iac/rule/441.87.2.pdf" Type="http://schemas.openxmlformats.org/officeDocument/2006/relationships/hyperlink" Id="rId24"/>
    <Relationship TargetMode="External" Target="https://www.legis.iowa.gov/docs/ico/chapter/232.2.pdf" Type="http://schemas.openxmlformats.org/officeDocument/2006/relationships/hyperlink" Id="rId25"/>
    <Relationship TargetMode="External" Target="https://www.legis.iowa.gov/docs/iac/rule/441.87.2.pdf" Type="http://schemas.openxmlformats.org/officeDocument/2006/relationships/hyperlink" Id="rId26"/>
    <Relationship TargetMode="External" Target="https://www.legis.iowa.gov/docs/iac/rule/441.87.2.pdf" Type="http://schemas.openxmlformats.org/officeDocument/2006/relationships/hyperlink" Id="rId27"/>
    <Relationship TargetMode="External" Target="https://www.legis.iowa.gov/docs/iac/rule/441.87.2.pdf" Type="http://schemas.openxmlformats.org/officeDocument/2006/relationships/hyperlink" Id="rId28"/>
    <Relationship TargetMode="External" Target="https://www.legis.iowa.gov/docs/iac/rule/441.87.2.pdf" Type="http://schemas.openxmlformats.org/officeDocument/2006/relationships/hyperlink" Id="rId29"/>
    <Relationship TargetMode="External" Target="https://www.legis.iowa.gov/docs/iac/chapter/441.2.pdf" Type="http://schemas.openxmlformats.org/officeDocument/2006/relationships/hyperlink" Id="rId30"/>
    <Relationship TargetMode="External" Target="https://www.legis.iowa.gov/docs/iac/rule/441.87.1.pdf" Type="http://schemas.openxmlformats.org/officeDocument/2006/relationships/hyperlink" Id="rId31"/>
    <Relationship TargetMode="External" Target="https://www.legis.iowa.gov/docs/iac/chapter/481.72.pdf" Type="http://schemas.openxmlformats.org/officeDocument/2006/relationships/hyperlink" Id="rId32"/>
    <Relationship TargetMode="External" Target="https://www.legis.iowa.gov/docs/iac/rule/441.87.2.pdf" Type="http://schemas.openxmlformats.org/officeDocument/2006/relationships/hyperlink" Id="rId33"/>
    <Relationship TargetMode="External" Target="https://www.legis.iowa.gov/docs/iac/rule/441.87.3.pdf" Type="http://schemas.openxmlformats.org/officeDocument/2006/relationships/hyperlink" Id="rId34"/>
    <Relationship TargetMode="External" Target="https://www.legis.iowa.gov/docs/iac/rule/441.87.2.pdf" Type="http://schemas.openxmlformats.org/officeDocument/2006/relationships/hyperlink" Id="rId35"/>
    <Relationship TargetMode="External" Target="https://www.legis.iowa.gov/docs/iac/rule/441.87.11.pdf" Type="http://schemas.openxmlformats.org/officeDocument/2006/relationships/hyperlink" Id="rId36"/>
    <Relationship TargetMode="External" Target="https://www.legis.iowa.gov/docs/iac/chapter/441.78.pdf" Type="http://schemas.openxmlformats.org/officeDocument/2006/relationships/hyperlink" Id="rId37"/>
    <Relationship TargetMode="External" Target="https://www.legis.iowa.gov/docs/iac/chapter/441.79.pdf" Type="http://schemas.openxmlformats.org/officeDocument/2006/relationships/hyperlink" Id="rId38"/>
    <Relationship TargetMode="External" Target="https://www.legis.iowa.gov/docs/iac/rule/441.87.7.pdf" Type="http://schemas.openxmlformats.org/officeDocument/2006/relationships/hyperlink" Id="rId39"/>
    <Relationship TargetMode="External" Target="https://www.legis.iowa.gov/docs/iac/rule/441.87.7.pdf" Type="http://schemas.openxmlformats.org/officeDocument/2006/relationships/hyperlink" Id="rId40"/>
    <Relationship TargetMode="External" Target="https://www.legis.iowa.gov/docs/iac/rule/441.87.7.pdf" Type="http://schemas.openxmlformats.org/officeDocument/2006/relationships/hyperlink" Id="rId41"/>
    <Relationship TargetMode="External" Target="https://www.legis.iowa.gov/docs/ico/chapter/217.41B.pdf" Type="http://schemas.openxmlformats.org/officeDocument/2006/relationships/hyperlink"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