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HEALTHY AND WELL KIDS IN IOWA (HAWKI)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structure the department of human services healthy and well kids in Iowa (hawki) program and establish requirements for the program administration and for the participating health and dental plans that will be delivering services to the enrollees. The purpose of this program is to provide transitional health and dental care coverage to children who are ineligible for Title XIX (Medicaid) assistance as set forth in this chapter. This chapter shall be construed to comply with all requirements for federal funding under Title XXI of the Social Security Act or under the terms of any applicable waiver of Title XXI requirements granted by the Secretary of the U.S. Department of Health and Human Services. To the extent this chapter is inconsistent with any applicable federal funding requirement under Title XXI or the terms of any applicable waiver, the requirements of Title XXI or the terms of the waiver shall prevail.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1287C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w:t>
      </w:r>
      <w:r>
        <w:rPr>
          <w:rFonts w:ascii="Times New Roman" w:hAnsi="Times New Roman"/>
          <w:b/>
          <w:i w:val="false"/>
          <w:color w:val="000000"/>
          <w:sz w:val="22"/>
        </w:rPr>
        <w:t xml:space="preserve">(514I)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shall mean anyone in the household, including all adults and children under the age of 19 who are counted in the hawki family size according to the modified adjusted gross income methodology and who are listed on the application or renewal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 benefit package for health care coverage” </w:t>
      </w:r>
      <w:r>
        <w:rPr>
          <w:rFonts w:ascii="Times New Roman" w:hAnsi="Times New Roman"/>
          <w:b w:val="false"/>
          <w:i w:val="false"/>
          <w:color w:val="000000"/>
          <w:sz w:val="22"/>
        </w:rPr>
        <w:t>shall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standard Blue Cross Blue Shield preferred provider option service benefit plan, described in and offered under 5 U.S.C. Section 8903(1).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health benefits coverage plan that is offered and generally available to state employees in this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plan of a health maintenance organization, as defined in 42 U.S.C. Section 300e, with the largest insured commercial, nonmedical assistance enrollment of covered lives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shall mean the fee the department pays monthly to a participating health or dental plan for each enrollee for the provision of covered medical or dental services whether or not the enrollee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shall mean the contract between the department and the participating health or dental plan for the provision of medical or dental services to hawki enrollees for whom the participating health or dental plans assume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sharing” </w:t>
      </w:r>
      <w:r>
        <w:rPr>
          <w:rFonts w:ascii="Times New Roman" w:hAnsi="Times New Roman"/>
          <w:b w:val="false"/>
          <w:i w:val="false"/>
          <w:color w:val="000000"/>
          <w:sz w:val="22"/>
        </w:rPr>
        <w:t xml:space="preserve">shall mean the payment of a premium or copayment as provided for by Title XXI of the federal Social Security Act and Iowa Code section </w:t>
      </w:r>
      <w:hyperlink r:id="rId5">
        <w:r>
          <w:rPr>
            <w:rStyle w:val="Hyperlink"/>
            <w:rFonts w:ascii="Times New Roman" w:hAnsi="Times New Roman"/>
            <w:b w:val="false"/>
            <w:i w:val="false"/>
            <w:color w:val="000000"/>
            <w:sz w:val="22"/>
          </w:rPr>
          <w:t>514I.10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shall mean earned and unearned income of the family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shall mean all or a part of those medical and dental services set forth in rule </w:t>
      </w:r>
      <w:hyperlink r:id="rId6">
        <w:r>
          <w:rPr>
            <w:rStyle w:val="Hyperlink"/>
            <w:rFonts w:ascii="Times New Roman" w:hAnsi="Times New Roman"/>
            <w:b w:val="false"/>
            <w:i w:val="false"/>
            <w:color w:val="000000"/>
            <w:sz w:val="22"/>
          </w:rPr>
          <w:t>441—86.14</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“Dentist” </w:t>
      </w:r>
      <w:r>
        <w:rPr>
          <w:rFonts w:ascii="Times New Roman" w:hAnsi="Times New Roman"/>
          <w:b w:val="false"/>
          <w:i w:val="false"/>
          <w:color w:val="000000"/>
          <w:sz w:val="22"/>
        </w:rPr>
        <w:t>shall mean a person who is licensed to practice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shall mean the director of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shall mean an individual who meets the criteria for participation in the hawki program as set forth in rule </w:t>
      </w:r>
      <w:hyperlink r:id="rId7">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dental condition” </w:t>
      </w:r>
      <w:r>
        <w:rPr>
          <w:rFonts w:ascii="Times New Roman" w:hAnsi="Times New Roman"/>
          <w:b w:val="false"/>
          <w:i w:val="false"/>
          <w:color w:val="000000"/>
          <w:sz w:val="22"/>
        </w:rPr>
        <w:t>shall mean an oral condition that occurs suddenly and creates an urgent need for professional consultation or treatment. Emergency conditions may include hemorrhage, infection, pain, broken teeth, knocked-out teeth, or other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shall mean a medical condition manifesting itself by acute symptoms of sufficient severity, including severe pain, such that a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person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shall mean, with respect to an individual enrolled with a plan, covered inpatient and outpatient services which are furnished by a provider qualified to furnish these services and which are needed to evaluate and stabilize an emergency medical or dental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shall mean a child who has been determined eligible for the program and who has been enrolled with a participating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broker” </w:t>
      </w:r>
      <w:r>
        <w:rPr>
          <w:rFonts w:ascii="Times New Roman" w:hAnsi="Times New Roman"/>
          <w:b w:val="false"/>
          <w:i w:val="false"/>
          <w:color w:val="000000"/>
          <w:sz w:val="22"/>
        </w:rPr>
        <w:t>shall mean the entity the department uses to enroll eligible children with a managed care organization. The enrollment broker must be conflict-free and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shall mean anyone in the household, including all adults and children under the age of 19 who are counted in the hawki family size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shall mean the poverty income guidelines revised annually and published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shall mean the family has demonstrated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the enrollee or a member of the enrollee’s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was a reason beyond the enrollee’s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request for a reason not attributable to the enrollee. Lack of a forwarding address is attributable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shall mean the entity that adopts rules, establishes policy, and directs the department regarding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shall mean the healthy and well kids in Iowa program implemented in this chapter to provide health and dental care coverage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coverage” </w:t>
      </w:r>
      <w:r>
        <w:rPr>
          <w:rFonts w:ascii="Times New Roman" w:hAnsi="Times New Roman"/>
          <w:b w:val="false"/>
          <w:i w:val="false"/>
          <w:color w:val="000000"/>
          <w:sz w:val="22"/>
        </w:rPr>
        <w:t xml:space="preserve">shall mean health insurance coverage as defined in </w:t>
      </w:r>
      <w:r>
        <w:rPr>
          <w:rFonts w:ascii="Times New Roman" w:hAnsi="Times New Roman"/>
          <w:b w:val="false"/>
          <w:i w:val="false"/>
          <w:color w:val="000000"/>
          <w:sz w:val="22"/>
        </w:rPr>
        <w:t>45 CFR Section 144.103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Marketplace”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“Exchange” </w:t>
      </w:r>
      <w:r>
        <w:rPr>
          <w:rFonts w:ascii="Times New Roman" w:hAnsi="Times New Roman"/>
          <w:b w:val="false"/>
          <w:i w:val="false"/>
          <w:color w:val="000000"/>
          <w:sz w:val="22"/>
        </w:rPr>
        <w:t>shall mean the entity authorized under 42 U.S.C. Section 18031(d)(4)(F) to evaluate and determine eligibility of applicants for Medicaid, the Children’s Health Insurance Program (CHIP), and other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for mental diseases” </w:t>
      </w:r>
      <w:r>
        <w:rPr>
          <w:rFonts w:ascii="Times New Roman" w:hAnsi="Times New Roman"/>
          <w:b w:val="false"/>
          <w:i w:val="false"/>
          <w:color w:val="000000"/>
          <w:sz w:val="22"/>
        </w:rPr>
        <w:t>shall mean a hospital, nursing facility, or other institution of more than 16 beds that is primarily engaged in providing diagnosis, treatment, or care of persons with mental diseases, including medical attention, nursing care and related services as defined at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adjusted gross income” </w:t>
      </w:r>
      <w:r>
        <w:rPr>
          <w:rFonts w:ascii="Times New Roman" w:hAnsi="Times New Roman"/>
          <w:b w:val="false"/>
          <w:i w:val="false"/>
          <w:color w:val="000000"/>
          <w:sz w:val="22"/>
        </w:rPr>
        <w:t xml:space="preserve">shall mean the methodology prescribed in 42 U.S.C. Section 1396a(e)(14) and </w:t>
      </w:r>
      <w:r>
        <w:rPr>
          <w:rFonts w:ascii="Times New Roman" w:hAnsi="Times New Roman"/>
          <w:b w:val="false"/>
          <w:i w:val="false"/>
          <w:color w:val="000000"/>
          <w:sz w:val="22"/>
        </w:rPr>
        <w:t>42 CFR 435.603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Public institution” </w:t>
      </w:r>
      <w:r>
        <w:rPr>
          <w:rFonts w:ascii="Times New Roman" w:hAnsi="Times New Roman"/>
          <w:b w:val="false"/>
          <w:i w:val="false"/>
          <w:color w:val="000000"/>
          <w:sz w:val="22"/>
        </w:rPr>
        <w:t>shall mean an institution that is the responsibility of a governmental unit or over which a governmental unit exercises administrative control as defined in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dental plan” </w:t>
      </w:r>
      <w:r>
        <w:rPr>
          <w:rFonts w:ascii="Times New Roman" w:hAnsi="Times New Roman"/>
          <w:b w:val="false"/>
          <w:i w:val="false"/>
          <w:color w:val="000000"/>
          <w:sz w:val="22"/>
        </w:rPr>
        <w:t>shall mean any entity licensed by the division of insurance of the department of commerce to provide dental insurance in Iowa that has contracted with the department to provide dental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health plan” </w:t>
      </w:r>
      <w:r>
        <w:rPr>
          <w:rFonts w:ascii="Times New Roman" w:hAnsi="Times New Roman"/>
          <w:b w:val="false"/>
          <w:i w:val="false"/>
          <w:color w:val="000000"/>
          <w:sz w:val="22"/>
        </w:rPr>
        <w:t>shall mean any entity licensed by the division of insurance of the department of commerce to provide health insurance in Iowa or an organized delivery system licensed by the director of public health that has contracted with the department to provide health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enrollment process” </w:t>
      </w:r>
      <w:r>
        <w:rPr>
          <w:rFonts w:ascii="Times New Roman" w:hAnsi="Times New Roman"/>
          <w:b w:val="false"/>
          <w:i w:val="false"/>
          <w:color w:val="000000"/>
          <w:sz w:val="22"/>
        </w:rPr>
        <w:t>shall mean the process by which the department assigns a child to a participating health or dental plan and which seeks to preserve existing provider-enrollee relationships, if possible. In the absence of existing relationships, the process ensures that members are equally distributed among all available health or dental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shall be defined as provided in Iowa Code subsection </w:t>
      </w:r>
      <w:hyperlink r:id="rId8">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shall mean an individual, firm, corporation, association, or institution that is providing or has been approved to provide medical or dental care or services to an enrollee pursuant to the hawki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8580B</w:t>
      </w:r>
      <w:r>
        <w:rPr>
          <w:rFonts w:ascii="Times New Roman" w:hAnsi="Times New Roman"/>
          <w:b w:val="false"/>
          <w:i w:val="false"/>
          <w:color w:val="000000"/>
          <w:sz w:val="16"/>
        </w:rPr>
        <w:t>, IAB 3/10/10,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441—86.2</w:t>
      </w:r>
      <w:r>
        <w:rPr>
          <w:rFonts w:ascii="Times New Roman" w:hAnsi="Times New Roman"/>
          <w:b/>
          <w:i w:val="false"/>
          <w:color w:val="000000"/>
          <w:sz w:val="22"/>
        </w:rPr>
        <w:t xml:space="preserve">(514I)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The decision with respect to eligibility shall be based primarily on electronic data matches and information furnished by the applicant, the enrollee, or a person acting on behalf of the applicant or enrollee. A child must meet the following eligibility factors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under 19 years of age. Eligibility for the program ends the first day of the month following the month of the child’s nineteenth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 determining initial and ongoing eligibility for the hawki program, countable income shall not exceed 302 percent of the federal poverty level for a family of the same size. Countable income shall be determined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Income shall be verified through electronic data matches when possible or otherwise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stubs, tip records, tax records and employers’ statements are acceptable forms of verification of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self-employment income cannot be verified through electronic means, business records or income tax returns from the previous year can be used if they are representative of anticipated earnings. If business records or tax returns from the previous year are not representative of anticipated earnings, an average of the business records or tax returns from the previous two or three years may be used if that average is representative of anticipated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Changes in income. </w:t>
      </w:r>
      <w:r>
        <w:rPr>
          <w:rFonts w:ascii="Times New Roman" w:hAnsi="Times New Roman"/>
          <w:b w:val="false"/>
          <w:i w:val="false"/>
          <w:color w:val="000000"/>
          <w:sz w:val="22"/>
        </w:rPr>
        <w:t xml:space="preserve">Once initial eligibility is established, changes in income during the 12-month enrollment period shall not affect the child’s eligibility to participate in the hawki program. However, if income has decreased, the family may request a review of their income to establish whether they are required to continue paying a premium in accordance with rule </w:t>
      </w:r>
      <w:hyperlink r:id="rId9">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For purposes of establishing initial and ongoing eligibility under the hawki program, the family size shall be determined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86.2(4)</w:t>
      </w:r>
      <w:r>
        <w:rPr>
          <w:rFonts w:ascii="Times New Roman" w:hAnsi="Times New Roman"/>
          <w:b w:val="false"/>
          <w:i w:val="false"/>
          <w:color w:val="000000"/>
          <w:sz w:val="22"/>
        </w:rPr>
        <w:t> </w:t>
      </w:r>
      <w:r>
        <w:rPr>
          <w:rFonts w:ascii="Times New Roman" w:hAnsi="Times New Roman"/>
          <w:b w:val="false"/>
          <w:i/>
          <w:color w:val="000000"/>
          <w:sz w:val="22"/>
        </w:rPr>
        <w:t xml:space="preserve">Uninsured status. </w:t>
      </w:r>
      <w:r>
        <w:rPr>
          <w:rFonts w:ascii="Times New Roman" w:hAnsi="Times New Roman"/>
          <w:b w:val="false"/>
          <w:i w:val="false"/>
          <w:color w:val="000000"/>
          <w:sz w:val="22"/>
        </w:rPr>
        <w:t>The child must be uninsured.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who is currently enrolled in an individual or group health plan is not eligible to participate in the hawki program. However, a child who is enrolled in a plan shall not be considered insured for purposes of the hawki program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provides coverage only for a specific disease or service (such as a vision, dental, or cancer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does not have reasonable geographic access to care under that plan. “Reasonable geographic access” means that the plan or an option available under the plan does not have service area limitations or, if the plan has service area limitations, the child lives within 30 miles or 30 minutes of a network primary care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lost Medicaid eligibility solely because of the loss of income disregards from the implementation of the modified adjusted gross income methodology. If a child loses eligibility because of such loss of income disregards, the child may be covered under the hawki program for up to 12 months following the loss of Medicaid eligibility regardless of the presence of other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whose health insurance ends in the month of application shall be considered uninsured for purposes of hawki eligibility. However, a one-month waiting period may be imposed pursuant to subrule </w:t>
      </w:r>
      <w:hyperlink r:id="rId10">
        <w:r>
          <w:rPr>
            <w:rStyle w:val="Hyperlink"/>
            <w:rFonts w:ascii="Times New Roman" w:hAnsi="Times New Roman"/>
            <w:b w:val="false"/>
            <w:i w:val="false"/>
            <w:color w:val="000000"/>
            <w:sz w:val="22"/>
          </w:rPr>
          <w:t>86.5(1)</w:t>
        </w:r>
      </w:hyperlink>
      <w:r>
        <w:rPr>
          <w:rFonts w:ascii="Times New Roman" w:hAnsi="Times New Roman"/>
          <w:b w:val="false"/>
          <w:i w:val="false"/>
          <w:color w:val="000000"/>
          <w:sz w:val="22"/>
        </w:rPr>
        <w:t xml:space="preserve"> for a child who is subject to a monthly premium pursuant to paragraph </w:t>
      </w:r>
      <w:hyperlink r:id="rId11">
        <w:r>
          <w:rPr>
            <w:rStyle w:val="Hyperlink"/>
            <w:rFonts w:ascii="Times New Roman" w:hAnsi="Times New Roman"/>
            <w:b w:val="false"/>
            <w:i w:val="false"/>
            <w:color w:val="000000"/>
            <w:sz w:val="22"/>
          </w:rPr>
          <w:t>86.8(2)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Indian and Alaska Native. American Indian and Alaska Native children are eligible for the hawki program on the same basis as other children in the state, regardless of whether or not they may be eligible for or served by Indian Health Services-funded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86.2(5)</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Medicaid. </w:t>
      </w:r>
      <w:r>
        <w:rPr>
          <w:rFonts w:ascii="Times New Roman" w:hAnsi="Times New Roman"/>
          <w:b w:val="false"/>
          <w:i w:val="false"/>
          <w:color w:val="000000"/>
          <w:sz w:val="22"/>
        </w:rPr>
        <w:t xml:space="preserve">The child shall not be receiving Medicaid or eligible to receive Medicaid except when the child would be required to meet a spenddown under the medically needy program in accordance with the provisions of </w:t>
      </w:r>
      <w:hyperlink r:id="rId12">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86.2(6)</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Residency in Iowa is a condition of eligibility for the hawki program. Residency shall be established in accordance with rule </w:t>
      </w:r>
      <w:hyperlink r:id="rId1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86.2(7)</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immigration status. </w:t>
      </w:r>
      <w:r>
        <w:rPr>
          <w:rFonts w:ascii="Times New Roman" w:hAnsi="Times New Roman"/>
          <w:b w:val="false"/>
          <w:i w:val="false"/>
          <w:color w:val="000000"/>
          <w:sz w:val="22"/>
        </w:rPr>
        <w:t xml:space="preserve">To be eligible for the hawki program, the child shall be a citizen or lawfully admitted immigrant. The criteria established under </w:t>
      </w:r>
      <w:hyperlink r:id="rId14">
        <w:r>
          <w:rPr>
            <w:rStyle w:val="Hyperlink"/>
            <w:rFonts w:ascii="Times New Roman" w:hAnsi="Times New Roman"/>
            <w:b w:val="false"/>
            <w:i w:val="false"/>
            <w:color w:val="000000"/>
            <w:sz w:val="22"/>
          </w:rPr>
          <w:t>441—subrule 75.11(2)</w:t>
        </w:r>
      </w:hyperlink>
      <w:r>
        <w:rPr>
          <w:rFonts w:ascii="Times New Roman" w:hAnsi="Times New Roman"/>
          <w:b w:val="false"/>
          <w:i w:val="false"/>
          <w:color w:val="000000"/>
          <w:sz w:val="22"/>
        </w:rPr>
        <w:t xml:space="preserve"> shall be followed when determining whether a lawfully admitted immigrant child is eligible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citizenship or immigration status of the parents or other responsible person shall not be considered when determining the eligibility of the child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shall attest to their citizenship status by signing the application form, which contains a citizenship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child under the age of 19 is not living independently, the child’s parent or other responsible person with whom the child lives shall be responsible for attesting to the child’s citizenship or immigration status and for providing any required proof of the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441—paragraph 75.11(2)</w:t>
        </w:r>
        <w:r>
          <w:rPr>
            <w:rFonts w:ascii="Times New Roman" w:hAnsi="Times New Roman"/>
            <w:b w:val="false"/>
            <w:i/>
            <w:color w:val="000000"/>
            <w:sz w:val="22"/>
          </w:rPr>
          <w:t>“f,”</w:t>
        </w:r>
      </w:hyperlink>
      <w:r>
        <w:rPr>
          <w:rFonts w:ascii="Times New Roman" w:hAnsi="Times New Roman"/>
          <w:b w:val="false"/>
          <w:i w:val="false"/>
          <w:color w:val="000000"/>
          <w:sz w:val="22"/>
        </w:rPr>
        <w:t xml:space="preserve"> applicants or enrollees for whom an attestation of United States citizenship has been made pursuant to paragraph </w:t>
      </w:r>
      <w:hyperlink r:id="rId16">
        <w:r>
          <w:rPr>
            <w:rStyle w:val="Hyperlink"/>
            <w:rFonts w:ascii="Times New Roman" w:hAnsi="Times New Roman"/>
            <w:b w:val="false"/>
            <w:i w:val="false"/>
            <w:color w:val="000000"/>
            <w:sz w:val="22"/>
          </w:rPr>
          <w:t>86.2(7)</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present satisfactory documentation of citizenship or nationality as defined in 441—paragraphs 75.11(2)</w:t>
      </w:r>
      <w:r>
        <w:rPr>
          <w:rFonts w:ascii="Times New Roman" w:hAnsi="Times New Roman"/>
          <w:b w:val="false"/>
          <w:i/>
          <w:color w:val="000000"/>
          <w:sz w:val="22"/>
        </w:rPr>
        <w:t>“d,” “e,” “g,” “h,”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enrollee shall have a reasonable opportunity period to obtain and provide proof of citizenship and nationality in accordance with </w:t>
      </w:r>
      <w:hyperlink r:id="rId17">
        <w:r>
          <w:rPr>
            <w:rStyle w:val="Hyperlink"/>
            <w:rFonts w:ascii="Times New Roman" w:hAnsi="Times New Roman"/>
            <w:b w:val="false"/>
            <w:i w:val="false"/>
            <w:color w:val="000000"/>
            <w:sz w:val="22"/>
          </w:rPr>
          <w:t>441—paragraph 75.11(2)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acceptable documentary evidence for a child shall not affect the eligibility of other children in the family for whom acceptable documentary evidence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86.2(8)</w:t>
      </w:r>
      <w:r>
        <w:rPr>
          <w:rFonts w:ascii="Times New Roman" w:hAnsi="Times New Roman"/>
          <w:b w:val="false"/>
          <w:i w:val="false"/>
          <w:color w:val="000000"/>
          <w:sz w:val="22"/>
        </w:rPr>
        <w:t> </w:t>
      </w:r>
      <w:r>
        <w:rPr>
          <w:rFonts w:ascii="Times New Roman" w:hAnsi="Times New Roman"/>
          <w:b w:val="false"/>
          <w:i/>
          <w:color w:val="000000"/>
          <w:sz w:val="22"/>
        </w:rPr>
        <w:t xml:space="preserve">Dependents of state of Iowa employees. </w:t>
      </w:r>
      <w:r>
        <w:rPr>
          <w:rFonts w:ascii="Times New Roman" w:hAnsi="Times New Roman"/>
          <w:b w:val="false"/>
          <w:i w:val="false"/>
          <w:color w:val="000000"/>
          <w:sz w:val="22"/>
        </w:rPr>
        <w:t>The child shall not be eligible for the hawki program if the child is eligible for health insurance coverage as a dependent of a state of Iowa employee unless the state contributes only a nominal amount toward the cost of dependent coverage. “Nominal amount” shall mean $10 or less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86.2(9)</w:t>
      </w:r>
      <w:r>
        <w:rPr>
          <w:rFonts w:ascii="Times New Roman" w:hAnsi="Times New Roman"/>
          <w:b w:val="false"/>
          <w:i w:val="false"/>
          <w:color w:val="000000"/>
          <w:sz w:val="22"/>
        </w:rPr>
        <w:t> </w:t>
      </w:r>
      <w:r>
        <w:rPr>
          <w:rFonts w:ascii="Times New Roman" w:hAnsi="Times New Roman"/>
          <w:b w:val="false"/>
          <w:i/>
          <w:color w:val="000000"/>
          <w:sz w:val="22"/>
        </w:rPr>
        <w:t xml:space="preserve">Inmates of public institutions. </w:t>
      </w:r>
      <w:r>
        <w:rPr>
          <w:rFonts w:ascii="Times New Roman" w:hAnsi="Times New Roman"/>
          <w:b w:val="false"/>
          <w:i w:val="false"/>
          <w:color w:val="000000"/>
          <w:sz w:val="22"/>
        </w:rPr>
        <w:t>The child shall not be an inmate of a public institution as defined at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86.2(10)</w:t>
      </w:r>
      <w:r>
        <w:rPr>
          <w:rFonts w:ascii="Times New Roman" w:hAnsi="Times New Roman"/>
          <w:b w:val="false"/>
          <w:i w:val="false"/>
          <w:color w:val="000000"/>
          <w:sz w:val="22"/>
        </w:rPr>
        <w:t> </w:t>
      </w:r>
      <w:r>
        <w:rPr>
          <w:rFonts w:ascii="Times New Roman" w:hAnsi="Times New Roman"/>
          <w:b w:val="false"/>
          <w:i/>
          <w:color w:val="000000"/>
          <w:sz w:val="22"/>
        </w:rPr>
        <w:t xml:space="preserve">Inmates of institutions for mental disease. </w:t>
      </w:r>
      <w:r>
        <w:rPr>
          <w:rFonts w:ascii="Times New Roman" w:hAnsi="Times New Roman"/>
          <w:b w:val="false"/>
          <w:i w:val="false"/>
          <w:color w:val="000000"/>
          <w:sz w:val="22"/>
        </w:rPr>
        <w:t>At the time of application or annual review of eligibility, the child shall not be an inmate of an institution for mental disease as defined at 42 CFR Section 435.1010.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86.2(11)</w:t>
      </w:r>
      <w:r>
        <w:rPr>
          <w:rFonts w:ascii="Times New Roman" w:hAnsi="Times New Roman"/>
          <w:b w:val="false"/>
          <w:i w:val="false"/>
          <w:color w:val="000000"/>
          <w:sz w:val="22"/>
        </w:rPr>
        <w:t> </w:t>
      </w:r>
      <w:r>
        <w:rPr>
          <w:rFonts w:ascii="Times New Roman" w:hAnsi="Times New Roman"/>
          <w:b w:val="false"/>
          <w:i/>
          <w:color w:val="000000"/>
          <w:sz w:val="22"/>
        </w:rPr>
        <w:t xml:space="preserve">Furnishing a social security number. </w:t>
      </w:r>
      <w:r>
        <w:rPr>
          <w:rFonts w:ascii="Times New Roman" w:hAnsi="Times New Roman"/>
          <w:b w:val="false"/>
          <w:i w:val="false"/>
          <w:color w:val="000000"/>
          <w:sz w:val="22"/>
        </w:rPr>
        <w:t xml:space="preserve">As a condition of eligibility and in accordance with rule </w:t>
      </w:r>
      <w:hyperlink r:id="rId18">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 a social security number or proof of application for the number if the number has not been issued or is not known must be furnished for a child for whom coverage under hawki is being requested or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7881B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8109B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8127B</w:t>
      </w:r>
      <w:r>
        <w:rPr>
          <w:rFonts w:ascii="Times New Roman" w:hAnsi="Times New Roman"/>
          <w:b w:val="false"/>
          <w:i w:val="false"/>
          <w:color w:val="000000"/>
          <w:sz w:val="16"/>
        </w:rPr>
        <w:t>, IAB 9/9/09,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8280B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8281B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8838B</w:t>
      </w:r>
      <w:r>
        <w:rPr>
          <w:rFonts w:ascii="Times New Roman" w:hAnsi="Times New Roman"/>
          <w:b w:val="false"/>
          <w:i w:val="false"/>
          <w:color w:val="000000"/>
          <w:sz w:val="16"/>
        </w:rPr>
        <w:t>, IAB 6/16/10,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1287C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441—86.3</w:t>
      </w:r>
      <w:r>
        <w:rPr>
          <w:rFonts w:ascii="Times New Roman" w:hAnsi="Times New Roman"/>
          <w:b/>
          <w:i w:val="false"/>
          <w:color w:val="000000"/>
          <w:sz w:val="22"/>
        </w:rPr>
        <w:t xml:space="preserve">(514I)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Each person wishing to do so shall have the opportunity to apply for the hawki program in accordance with rule </w:t>
      </w:r>
      <w:hyperlink r:id="rId19">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An application for the hawki program shall be filed in accordance with rule </w:t>
      </w:r>
      <w:hyperlink r:id="rId2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86.3(3)</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for the hawki program may be filed with the department through an Internet website, by telephone, through other electronic means, or through an exchange, disproportionate share hospital, federally qualified health center, or other facility in which outstationing activities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86.3(4)</w:t>
      </w:r>
      <w:r>
        <w:rPr>
          <w:rFonts w:ascii="Times New Roman" w:hAnsi="Times New Roman"/>
          <w:b w:val="false"/>
          <w:i w:val="false"/>
          <w:color w:val="000000"/>
          <w:sz w:val="22"/>
        </w:rPr>
        <w:t> </w:t>
      </w:r>
      <w:r>
        <w:rPr>
          <w:rFonts w:ascii="Times New Roman" w:hAnsi="Times New Roman"/>
          <w:b w:val="false"/>
          <w:i/>
          <w:color w:val="000000"/>
          <w:sz w:val="22"/>
        </w:rPr>
        <w:t xml:space="preserve">Date and method of filing. </w:t>
      </w:r>
      <w:r>
        <w:rPr>
          <w:rFonts w:ascii="Times New Roman" w:hAnsi="Times New Roman"/>
          <w:b w:val="false"/>
          <w:i w:val="false"/>
          <w:color w:val="000000"/>
          <w:sz w:val="22"/>
        </w:rPr>
        <w:t xml:space="preserve">The application is considered filed when received in accordance with rule </w:t>
      </w:r>
      <w:hyperlink r:id="rId21">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86.3(5)</w:t>
      </w:r>
      <w:r>
        <w:rPr>
          <w:rFonts w:ascii="Times New Roman" w:hAnsi="Times New Roman"/>
          <w:b w:val="false"/>
          <w:i w:val="false"/>
          <w:color w:val="000000"/>
          <w:sz w:val="22"/>
        </w:rPr>
        <w:t> </w:t>
      </w:r>
      <w:r>
        <w:rPr>
          <w:rFonts w:ascii="Times New Roman" w:hAnsi="Times New Roman"/>
          <w:b w:val="false"/>
          <w:i/>
          <w:color w:val="000000"/>
          <w:sz w:val="22"/>
        </w:rPr>
        <w:t xml:space="preserve">Right to withdraw application. </w:t>
      </w:r>
      <w:r>
        <w:rPr>
          <w:rFonts w:ascii="Times New Roman" w:hAnsi="Times New Roman"/>
          <w:b w:val="false"/>
          <w:i w:val="false"/>
          <w:color w:val="000000"/>
          <w:sz w:val="22"/>
        </w:rPr>
        <w:t>After an application has been filed, the applicant may withdraw the application at any time prior to the eligibility determination. Requests for voluntary withdrawal of the application shall be documented, and the applicant shall be sent a notice of decision confirming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86.3(6)</w:t>
      </w:r>
      <w:r>
        <w:rPr>
          <w:rFonts w:ascii="Times New Roman" w:hAnsi="Times New Roman"/>
          <w:b w:val="false"/>
          <w:i w:val="false"/>
          <w:color w:val="000000"/>
          <w:sz w:val="22"/>
        </w:rPr>
        <w:t> </w:t>
      </w:r>
      <w:r>
        <w:rPr>
          <w:rFonts w:ascii="Times New Roman" w:hAnsi="Times New Roman"/>
          <w:b w:val="false"/>
          <w:i/>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required when a child becomes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shall not be required when an eligible child is added to an existing hawki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application shall not be required when a child moves between supplemental dental-only coverage as specified in rule </w:t>
      </w:r>
      <w:hyperlink r:id="rId22">
        <w:r>
          <w:rPr>
            <w:rStyle w:val="Hyperlink"/>
            <w:rFonts w:ascii="Times New Roman" w:hAnsi="Times New Roman"/>
            <w:b w:val="false"/>
            <w:i w:val="false"/>
            <w:color w:val="000000"/>
            <w:sz w:val="22"/>
          </w:rPr>
          <w:t>441—86.20</w:t>
        </w:r>
      </w:hyperlink>
      <w:r>
        <w:rPr>
          <w:rFonts w:ascii="Times New Roman" w:hAnsi="Times New Roman"/>
          <w:b w:val="false"/>
          <w:i w:val="false"/>
          <w:color w:val="000000"/>
          <w:sz w:val="22"/>
        </w:rPr>
        <w:t>(514I) and full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86.3(7)</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verification procedure. </w:t>
      </w:r>
      <w:r>
        <w:rPr>
          <w:rFonts w:ascii="Times New Roman" w:hAnsi="Times New Roman"/>
          <w:b w:val="false"/>
          <w:i w:val="false"/>
          <w:color w:val="000000"/>
          <w:sz w:val="22"/>
        </w:rPr>
        <w:t>The decision with respect to eligibility shall be based primarily on information furnished by the applicant, enrollee, or person acting on behalf of the applicant or enrollee and verified through electronic data matches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shall be notified in writing of additional information or verification that is required to establish eligibility. The notice may be provided personally, by U.S. mail, by email, or by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or refusal to authorize the department to secure the information shall serve as a basis for rejection of the application or cancellation of coverage. If the requested information or authorization is received within 14 calendar days of the notice of decision on an application or within 14 calendar days of the effective date of cancellation for enrollees, the information or authorization shall be acted upon as though it had been provided timely. If the fourteenth calendar day falls on a weekend or state holiday, the applicant or enrollee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shall have 10 working days to supply the information or verification requested. The due date may be extended for a reasonable period when the applicant, enrollee, or person acting on behalf of the applicant or enrollee is making every effort but is unable to secure the required information or verification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86.3(8)</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Decisions regarding the applicant’s eligibility to participate in the hawki program shall be made within 45 working days from the date of receiving the completed application and all necessary information and verification unless the application cannot be processed for reasons beyond the control of the department. Day one of the 45-day period starts the first working day following the date of receipt of a completed application and all necessary information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86.3(9)</w:t>
      </w:r>
      <w:r>
        <w:rPr>
          <w:rFonts w:ascii="Times New Roman" w:hAnsi="Times New Roman"/>
          <w:b w:val="false"/>
          <w:i w:val="false"/>
          <w:color w:val="000000"/>
          <w:sz w:val="22"/>
        </w:rPr>
        <w:t> </w:t>
      </w:r>
      <w:r>
        <w:rPr>
          <w:rFonts w:ascii="Times New Roman" w:hAnsi="Times New Roman"/>
          <w:b w:val="false"/>
          <w:i/>
          <w:color w:val="000000"/>
          <w:sz w:val="22"/>
        </w:rPr>
        <w:t xml:space="preserve">Applicant cooperation. </w:t>
      </w:r>
      <w:r>
        <w:rPr>
          <w:rFonts w:ascii="Times New Roman" w:hAnsi="Times New Roman"/>
          <w:b w:val="false"/>
          <w:i w:val="false"/>
          <w:color w:val="000000"/>
          <w:sz w:val="22"/>
        </w:rPr>
        <w:t>An applicant must cooperate with the department in the application process, which may include providing verification or signing documents. Failure to cooperate with the application process shall serve as basis for a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86.3(10)</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When the department has established that all of the funds appropriated for this program are obligated, all subsequent applications for hawki coverage shall be denied unless Medicaid eligibility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a notice of decision to the applicant that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meets the eligibility requirements but that no funds are available and that the applicant will be placed on a waiting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meet eligibility requirements, in which case the applicant shall not be put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being denied or placed on the waiting list, it must be established that the child is not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shall be placed on the waiting list on the basis of the date an identifiable application form specified in rule </w:t>
      </w:r>
      <w:hyperlink r:id="rId23">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on the same day, applicants shall be placed on the waiting list on the basis of the day of the month of the oldest child’s birthday, the lowest number being first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subsequent ties shall be determined by the month of birth of the oldest child,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funds become available, applicants shall be selected from the waiting list based on the order in which their names appear on the list and shall be notified of their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being notified of the availability of funding, the applicant shall have 15 working days to confirm the applicant’s continued interest in applying for the program and to provide any information necessary to establish eligibility. If the applicant does not confirm continued interest in applying for the program and does not provide any additional information necessary to establish eligibility within 15 working days, the applicant’s name shall be deleted from the waiting list and the next applicant on the waiting list shall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8580B</w:t>
      </w:r>
      <w:r>
        <w:rPr>
          <w:rFonts w:ascii="Times New Roman" w:hAnsi="Times New Roman"/>
          <w:b w:val="false"/>
          <w:i w:val="false"/>
          <w:color w:val="000000"/>
          <w:sz w:val="16"/>
        </w:rPr>
        <w:t>, IAB 3/10/10,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0552C</w:t>
      </w:r>
      <w:r>
        <w:rPr>
          <w:rFonts w:ascii="Times New Roman" w:hAnsi="Times New Roman"/>
          <w:b w:val="false"/>
          <w:i w:val="false"/>
          <w:color w:val="000000"/>
          <w:sz w:val="16"/>
        </w:rPr>
        <w:t>, IAB 1/9/13,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441—86.4</w:t>
      </w:r>
      <w:r>
        <w:rPr>
          <w:rFonts w:ascii="Times New Roman" w:hAnsi="Times New Roman"/>
          <w:b/>
          <w:i w:val="false"/>
          <w:color w:val="000000"/>
          <w:sz w:val="22"/>
        </w:rPr>
        <w:t xml:space="preserve">(514I) </w:t>
      </w:r>
      <w:r>
        <w:rPr>
          <w:rFonts w:ascii="Times New Roman" w:hAnsi="Times New Roman"/>
          <w:b/>
          <w:i w:val="false"/>
          <w:color w:val="000000"/>
          <w:sz w:val="22"/>
        </w:rPr>
        <w:t xml:space="preserve">Coordination with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86.4(1)</w:t>
      </w:r>
      <w:r>
        <w:rPr>
          <w:rFonts w:ascii="Times New Roman" w:hAnsi="Times New Roman"/>
          <w:b w:val="false"/>
          <w:i w:val="false"/>
          <w:color w:val="000000"/>
          <w:sz w:val="22"/>
        </w:rPr>
        <w:t> </w:t>
      </w:r>
      <w:r>
        <w:rPr>
          <w:rFonts w:ascii="Times New Roman" w:hAnsi="Times New Roman"/>
          <w:b w:val="false"/>
          <w:i/>
          <w:color w:val="000000"/>
          <w:sz w:val="22"/>
        </w:rPr>
        <w:t xml:space="preserve">Hawki applicant eligible for Medicaid. </w:t>
      </w:r>
      <w:r>
        <w:rPr>
          <w:rFonts w:ascii="Times New Roman" w:hAnsi="Times New Roman"/>
          <w:b w:val="false"/>
          <w:i w:val="false"/>
          <w:color w:val="000000"/>
          <w:sz w:val="22"/>
        </w:rPr>
        <w:t xml:space="preserve">At the time of initial application, if it is determined the child is eligible for Medicaid in accordance with the provisions of rule </w:t>
      </w:r>
      <w:hyperlink r:id="rId2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5">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shall be enrolled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86.4(2)</w:t>
      </w:r>
      <w:r>
        <w:rPr>
          <w:rFonts w:ascii="Times New Roman" w:hAnsi="Times New Roman"/>
          <w:b w:val="false"/>
          <w:i w:val="false"/>
          <w:color w:val="000000"/>
          <w:sz w:val="22"/>
        </w:rPr>
        <w:t> </w:t>
      </w:r>
      <w:r>
        <w:rPr>
          <w:rFonts w:ascii="Times New Roman" w:hAnsi="Times New Roman"/>
          <w:b w:val="false"/>
          <w:i/>
          <w:color w:val="000000"/>
          <w:sz w:val="22"/>
        </w:rPr>
        <w:t xml:space="preserve">Hawki enrollee eligible for Medicaid. </w:t>
      </w:r>
      <w:r>
        <w:rPr>
          <w:rFonts w:ascii="Times New Roman" w:hAnsi="Times New Roman"/>
          <w:b w:val="false"/>
          <w:i w:val="false"/>
          <w:color w:val="000000"/>
          <w:sz w:val="22"/>
        </w:rPr>
        <w:t xml:space="preserve">At the time of the annual review, if the child is determined eligible for Medicaid in accordance with the provisions of rule </w:t>
      </w:r>
      <w:hyperlink r:id="rId26">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7">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shall be enrolled in Medicaid effective the first day following the expiration of the 12-month hawki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becomes ineligible. </w:t>
      </w:r>
      <w:r>
        <w:rPr>
          <w:rFonts w:ascii="Times New Roman" w:hAnsi="Times New Roman"/>
          <w:b w:val="false"/>
          <w:i w:val="false"/>
          <w:color w:val="000000"/>
          <w:sz w:val="22"/>
        </w:rPr>
        <w:t xml:space="preserve">If a child becomes ineligible for Medicaid under the provisions of rule </w:t>
      </w:r>
      <w:hyperlink r:id="rId28">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9">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shall be enrolled in the hawki program if otherwise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441—86.5</w:t>
      </w:r>
      <w:r>
        <w:rPr>
          <w:rFonts w:ascii="Times New Roman" w:hAnsi="Times New Roman"/>
          <w:b/>
          <w:i w:val="false"/>
          <w:color w:val="000000"/>
          <w:sz w:val="22"/>
        </w:rPr>
        <w:t xml:space="preserve">(514I) </w:t>
      </w:r>
      <w:r>
        <w:rPr>
          <w:rFonts w:ascii="Times New Roman" w:hAnsi="Times New Roman"/>
          <w:b/>
          <w:i w:val="false"/>
          <w:color w:val="000000"/>
          <w:sz w:val="22"/>
        </w:rPr>
        <w:t xml:space="preserve">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Coverage for a child who is determined eligible for the hawki program on the basis of an initial application for either hawki or Medicaid shall be effective the first day of the month following the month in which the application is filed, regardless of the day of the month the application is filed. However, when the child does not meet the provisions of paragraph </w:t>
      </w:r>
      <w:hyperlink r:id="rId30">
        <w:r>
          <w:rPr>
            <w:rStyle w:val="Hyperlink"/>
            <w:rFonts w:ascii="Times New Roman" w:hAnsi="Times New Roman"/>
            <w:b w:val="false"/>
            <w:i w:val="false"/>
            <w:color w:val="000000"/>
            <w:sz w:val="22"/>
          </w:rPr>
          <w:t>86.2(4)</w:t>
        </w:r>
        <w:r>
          <w:rPr>
            <w:rFonts w:ascii="Times New Roman" w:hAnsi="Times New Roman"/>
            <w:b w:val="false"/>
            <w:i/>
            <w:color w:val="000000"/>
            <w:sz w:val="22"/>
          </w:rPr>
          <w:t>“a,”</w:t>
        </w:r>
      </w:hyperlink>
      <w:r>
        <w:rPr>
          <w:rFonts w:ascii="Times New Roman" w:hAnsi="Times New Roman"/>
          <w:b w:val="false"/>
          <w:i w:val="false"/>
          <w:color w:val="000000"/>
          <w:sz w:val="22"/>
        </w:rPr>
        <w:t xml:space="preserve"> coverage shall be effective the first day of the month following the month in which health insurance coverage is lost. Also, a one-month waiting period shall be imposed for a child who is subject to a monthly premium pursuant to paragraph </w:t>
      </w:r>
      <w:hyperlink r:id="rId31">
        <w:r>
          <w:rPr>
            <w:rStyle w:val="Hyperlink"/>
            <w:rFonts w:ascii="Times New Roman" w:hAnsi="Times New Roman"/>
            <w:b w:val="false"/>
            <w:i w:val="false"/>
            <w:color w:val="000000"/>
            <w:sz w:val="22"/>
          </w:rPr>
          <w:t>86.8(2)</w:t>
        </w:r>
        <w:r>
          <w:rPr>
            <w:rFonts w:ascii="Times New Roman" w:hAnsi="Times New Roman"/>
            <w:b w:val="false"/>
            <w:i/>
            <w:color w:val="000000"/>
            <w:sz w:val="22"/>
          </w:rPr>
          <w:t>“c”</w:t>
        </w:r>
      </w:hyperlink>
      <w:r>
        <w:rPr>
          <w:rFonts w:ascii="Times New Roman" w:hAnsi="Times New Roman"/>
          <w:b w:val="false"/>
          <w:i w:val="false"/>
          <w:color w:val="000000"/>
          <w:sz w:val="22"/>
        </w:rPr>
        <w:t xml:space="preserve"> when the child’s health insurance coverage ended in the month of application. </w:t>
      </w:r>
      <w:r>
        <w:rPr>
          <w:rFonts w:ascii="Times New Roman" w:hAnsi="Times New Roman"/>
          <w:b w:val="false"/>
          <w:i w:val="false"/>
          <w:color w:val="000000"/>
          <w:sz w:val="22"/>
        </w:rPr>
        <w:t>EXCEPTIONS</w:t>
      </w:r>
      <w:r>
        <w:rPr>
          <w:rFonts w:ascii="Times New Roman" w:hAnsi="Times New Roman"/>
          <w:b w:val="false"/>
          <w:i w:val="false"/>
          <w:color w:val="000000"/>
          <w:sz w:val="22"/>
        </w:rPr>
        <w:t>: A waiting period shall not be imposed if any of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moving from Medicaid to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a medical condition that, without medical care, would cause serious disability, loss of function,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health insurance coverage for the child exceeds 5 percent of the family’s gross income. The cost of health insurance for the child shall be the difference between the premium for coverage with and without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insurance was provided through an individual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child’s health insurance coverage was lost due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Divorce or death of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involuntary loss of employment that qualified the parent for dependent coverage, including but not limited to layoff, business closure, reduction in hours,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change to a new employer that does not offer the parent dependent coverage or that requires a waiting period before children can be enrolled in dependent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Utilization of the maximum lifetime coverage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Expiration of coverage under COBRA.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Discontinuation of dependent coverage by the parent’s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reason beyond the control of the parent, such as a serious illness of the parent, fire, flood,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child’s parent is determined eligible for advance payment of the premium tax credit for enrollment in a qualified health plan through the Health Insurance Marketplace because the employer-sponsored insurance in which the family was enrolled is determined unaffordable in accordance with 26 CFR 1.36B-2(c)(3)(v).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cost of family coverage that includes the child exceeds 9.5 percent of the annual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color w:val="000000"/>
          <w:sz w:val="22"/>
        </w:rPr>
        <w:t xml:space="preserve">Referrals from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Cancellation of Medicaid. Coverage for children who are determined eligible for the hawki program due to cancellation of Medicaid benefits shall be effective the first day of the month after Medicaid eligibility is lost in order to ensure that there is no break in coverage. However, when such a child does not meet the provisions of paragraph </w:t>
      </w:r>
      <w:hyperlink r:id="rId32">
        <w:r>
          <w:rPr>
            <w:rStyle w:val="Hyperlink"/>
            <w:rFonts w:ascii="Times New Roman" w:hAnsi="Times New Roman"/>
            <w:b w:val="false"/>
            <w:i w:val="false"/>
            <w:color w:val="000000"/>
            <w:sz w:val="22"/>
          </w:rPr>
          <w:t>86.2(4)</w:t>
        </w:r>
        <w:r>
          <w:rPr>
            <w:rFonts w:ascii="Times New Roman" w:hAnsi="Times New Roman"/>
            <w:b w:val="false"/>
            <w:i/>
            <w:color w:val="000000"/>
            <w:sz w:val="22"/>
          </w:rPr>
          <w:t>“a,”</w:t>
        </w:r>
      </w:hyperlink>
      <w:r>
        <w:rPr>
          <w:rFonts w:ascii="Times New Roman" w:hAnsi="Times New Roman"/>
          <w:b w:val="false"/>
          <w:i w:val="false"/>
          <w:color w:val="000000"/>
          <w:sz w:val="22"/>
        </w:rPr>
        <w:t xml:space="preserve"> coverage shall be effective the first day of the month following the month in which health insurance coverage is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child lost Medicaid eligibility solely because of the loss of income disregards from the implementation of the modified adjusted gross income methodology, the child may be covered under the hawki program for up to 12 months following the loss of Medicaid eligibility, regardless of the presence of other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86.5(3)</w:t>
      </w:r>
      <w:r>
        <w:rPr>
          <w:rFonts w:ascii="Times New Roman" w:hAnsi="Times New Roman"/>
          <w:b w:val="false"/>
          <w:i w:val="false"/>
          <w:color w:val="000000"/>
          <w:sz w:val="22"/>
        </w:rPr>
        <w:t> </w:t>
      </w:r>
      <w:r>
        <w:rPr>
          <w:rFonts w:ascii="Times New Roman" w:hAnsi="Times New Roman"/>
          <w:b w:val="false"/>
          <w:i/>
          <w:color w:val="000000"/>
          <w:sz w:val="22"/>
        </w:rPr>
        <w:t xml:space="preserve">Annual renewals. </w:t>
      </w:r>
      <w:r>
        <w:rPr>
          <w:rFonts w:ascii="Times New Roman" w:hAnsi="Times New Roman"/>
          <w:b w:val="false"/>
          <w:i w:val="false"/>
          <w:color w:val="000000"/>
          <w:sz w:val="22"/>
        </w:rPr>
        <w:t>Coverage for children who are determined eligible for the hawki program on the basis of an annual renewal shall be effective the first day of the month following the month in which the previous enrollment period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86.5(4)</w:t>
      </w:r>
      <w:r>
        <w:rPr>
          <w:rFonts w:ascii="Times New Roman" w:hAnsi="Times New Roman"/>
          <w:b w:val="false"/>
          <w:i w:val="false"/>
          <w:color w:val="000000"/>
          <w:sz w:val="22"/>
        </w:rPr>
        <w:t> </w:t>
      </w:r>
      <w:r>
        <w:rPr>
          <w:rFonts w:ascii="Times New Roman" w:hAnsi="Times New Roman"/>
          <w:b w:val="false"/>
          <w:i/>
          <w:color w:val="000000"/>
          <w:sz w:val="22"/>
        </w:rPr>
        <w:t xml:space="preserve">Children added to an existing hawki enrollment period. </w:t>
      </w:r>
      <w:r>
        <w:rPr>
          <w:rFonts w:ascii="Times New Roman" w:hAnsi="Times New Roman"/>
          <w:b w:val="false"/>
          <w:i w:val="false"/>
          <w:color w:val="000000"/>
          <w:sz w:val="22"/>
        </w:rPr>
        <w:t xml:space="preserve">Coverage for children who are determined eligible for the hawki program on the basis of a request from the family to add the child to an existing enrollment period shall be effective the first day of the month following the month in which the request was made. However, if the child does not meet the provisions of paragraph </w:t>
      </w:r>
      <w:hyperlink r:id="rId33">
        <w:r>
          <w:rPr>
            <w:rStyle w:val="Hyperlink"/>
            <w:rFonts w:ascii="Times New Roman" w:hAnsi="Times New Roman"/>
            <w:b w:val="false"/>
            <w:i w:val="false"/>
            <w:color w:val="000000"/>
            <w:sz w:val="22"/>
          </w:rPr>
          <w:t>86.2(4)</w:t>
        </w:r>
        <w:r>
          <w:rPr>
            <w:rFonts w:ascii="Times New Roman" w:hAnsi="Times New Roman"/>
            <w:b w:val="false"/>
            <w:i/>
            <w:color w:val="000000"/>
            <w:sz w:val="22"/>
          </w:rPr>
          <w:t>“a,”</w:t>
        </w:r>
      </w:hyperlink>
      <w:r>
        <w:rPr>
          <w:rFonts w:ascii="Times New Roman" w:hAnsi="Times New Roman"/>
          <w:b w:val="false"/>
          <w:i w:val="false"/>
          <w:color w:val="000000"/>
          <w:sz w:val="22"/>
        </w:rPr>
        <w:t xml:space="preserve"> coverage shall be effective the first day of the month following the month in which health insurance coverage is lost unless the child is subject to a one-month waiting period in accordance with paragraph </w:t>
      </w:r>
      <w:hyperlink r:id="rId34">
        <w:r>
          <w:rPr>
            <w:rStyle w:val="Hyperlink"/>
            <w:rFonts w:ascii="Times New Roman" w:hAnsi="Times New Roman"/>
            <w:b w:val="false"/>
            <w:i w:val="false"/>
            <w:color w:val="000000"/>
            <w:sz w:val="22"/>
          </w:rPr>
          <w:t>86.2(4)</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8281B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441—86.6</w:t>
      </w:r>
      <w:r>
        <w:rPr>
          <w:rFonts w:ascii="Times New Roman" w:hAnsi="Times New Roman"/>
          <w:b/>
          <w:i w:val="false"/>
          <w:color w:val="000000"/>
          <w:sz w:val="22"/>
        </w:rPr>
        <w:t xml:space="preserve">(514I) </w:t>
      </w:r>
      <w:r>
        <w:rPr>
          <w:rFonts w:ascii="Times New Roman" w:hAnsi="Times New Roman"/>
          <w:b/>
          <w:i w:val="false"/>
          <w:color w:val="000000"/>
          <w:sz w:val="22"/>
        </w:rPr>
        <w:t xml:space="preserve">Selection of a plan. </w:t>
      </w:r>
      <w:r>
        <w:rPr>
          <w:rFonts w:ascii="Times New Roman" w:hAnsi="Times New Roman"/>
          <w:b w:val="false"/>
          <w:i w:val="false"/>
          <w:color w:val="000000"/>
          <w:sz w:val="22"/>
        </w:rPr>
        <w:t xml:space="preserve">Upon the child’s eligibility effective date, the child shall be assigned to a health or dental plan using the department’s passive enrollment process. The enrollee may change plans only at the time of the annual review unless the provisions of paragraph </w:t>
      </w:r>
      <w:hyperlink r:id="rId35">
        <w:r>
          <w:rPr>
            <w:rStyle w:val="Hyperlink"/>
            <w:rFonts w:ascii="Times New Roman" w:hAnsi="Times New Roman"/>
            <w:b w:val="false"/>
            <w:i w:val="false"/>
            <w:color w:val="000000"/>
            <w:sz w:val="22"/>
          </w:rPr>
          <w:t>86.6(1)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subrule 86.6(2)</w:t>
        </w:r>
      </w:hyperlink>
      <w:r>
        <w:rPr>
          <w:rFonts w:ascii="Times New Roman" w:hAnsi="Times New Roman"/>
          <w:b w:val="false"/>
          <w:i w:val="false"/>
          <w:color w:val="000000"/>
          <w:sz w:val="22"/>
        </w:rPr>
        <w:t xml:space="preserve">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86.6(1)</w:t>
      </w:r>
      <w:r>
        <w:rPr>
          <w:rFonts w:ascii="Times New Roman" w:hAnsi="Times New Roman"/>
          <w:b w:val="false"/>
          <w:i w:val="false"/>
          <w:color w:val="000000"/>
          <w:sz w:val="22"/>
        </w:rPr>
        <w:t> </w:t>
      </w:r>
      <w:r>
        <w:rPr>
          <w:rFonts w:ascii="Times New Roman" w:hAnsi="Times New Roman"/>
          <w:b w:val="false"/>
          <w:i/>
          <w:color w:val="000000"/>
          <w:sz w:val="22"/>
        </w:rPr>
        <w:t xml:space="preserve">Period of enrollment. </w:t>
      </w:r>
      <w:r>
        <w:rPr>
          <w:rFonts w:ascii="Times New Roman" w:hAnsi="Times New Roman"/>
          <w:b w:val="false"/>
          <w:i w:val="false"/>
          <w:color w:val="000000"/>
          <w:sz w:val="22"/>
        </w:rPr>
        <w:t>Once enrolled in a health or dental plan, the child shall remain enrolled in the health or dental plan for a period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 child may be enrolled in a plan for less than 12 months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disenrolled in accordance with the provisions of rule </w:t>
      </w:r>
      <w:hyperlink r:id="rId37">
        <w:r>
          <w:rPr>
            <w:rStyle w:val="Hyperlink"/>
            <w:rFonts w:ascii="Times New Roman" w:hAnsi="Times New Roman"/>
            <w:b w:val="false"/>
            <w:i w:val="false"/>
            <w:color w:val="000000"/>
            <w:sz w:val="22"/>
          </w:rPr>
          <w:t>441—86.7</w:t>
        </w:r>
      </w:hyperlink>
      <w:r>
        <w:rPr>
          <w:rFonts w:ascii="Times New Roman" w:hAnsi="Times New Roman"/>
          <w:b w:val="false"/>
          <w:i w:val="false"/>
          <w:color w:val="000000"/>
          <w:sz w:val="22"/>
        </w:rPr>
        <w:t>(514I). If a child is disenrolled from the health or dental plan and subsequently reapplies before the end of the original 12-month enrollment period, the child shall be enrolled in the health or dental plan from which the child was originally disenrolled.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added to an existing enrollment. When a family requests to add an eligible child, the child shall be enrolled for the months remaining in the current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to change plans is accepted in accordance with paragraph 86.6(1)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plan. </w:t>
      </w:r>
      <w:r>
        <w:rPr>
          <w:rFonts w:ascii="Times New Roman" w:hAnsi="Times New Roman"/>
          <w:b w:val="false"/>
          <w:i w:val="false"/>
          <w:color w:val="000000"/>
          <w:sz w:val="22"/>
        </w:rPr>
        <w:t>An enrollee may ask to change the health or dental plan either verbally or in writing to the enrollment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90 days following the date of the enrollee’s initial enrollment with the health or dental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for cause. “Cause” as defined in </w:t>
      </w:r>
      <w:r>
        <w:rPr>
          <w:rFonts w:ascii="Times New Roman" w:hAnsi="Times New Roman"/>
          <w:b w:val="false"/>
          <w:i w:val="false"/>
          <w:color w:val="000000"/>
          <w:sz w:val="22"/>
        </w:rPr>
        <w:t>42 CFR 438.56(d)(2)</w:t>
      </w:r>
      <w:r>
        <w:rPr>
          <w:rFonts w:ascii="Times New Roman" w:hAnsi="Times New Roman"/>
          <w:b w:val="false"/>
          <w:i w:val="false"/>
          <w:color w:val="000000"/>
          <w:sz w:val="22"/>
        </w:rPr>
        <w:t xml:space="preserve"> as amended to May 6, 2016,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enrollee moves out of the plan’s service area.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Because of moral or religious objections, the plan does not cover the services the enrollee seeks.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enrollee needs related services (for example, a cesarean section and a tubal ligation) to be performed at the same time, not all related services are available within the network, and the enrollee’s primary care provider or another provider determines that receiving the services separately would subject the enrollee to unnecessary risk.</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reasons including but not limited to poor quality of care, lack of access to services covered under the contract, or lack of access to providers experienced in dealing with the enrollee’s health care needs.</w:t>
      </w:r>
    </w:p>
    <w:p>
      <w:pPr>
        <w:spacing w:before="0" w:after="0"/>
        <w:ind w:left="120"/>
        <w:jc w:val="both"/>
      </w:pPr>
      <w:r>
        <w:rPr>
          <w:rFonts w:ascii="Times New Roman" w:hAnsi="Times New Roman"/>
          <w:b w:val="false"/>
          <w:i w:val="false"/>
          <w:color w:val="000000"/>
          <w:sz w:val="22"/>
        </w:rPr>
        <w:t>All approved changes shall be made prospectively and shall be effective no later than the first day of the second month beginning after the date on which the change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86.6(2)</w:t>
      </w:r>
      <w:r>
        <w:rPr>
          <w:rFonts w:ascii="Times New Roman" w:hAnsi="Times New Roman"/>
          <w:b w:val="false"/>
          <w:i w:val="false"/>
          <w:color w:val="000000"/>
          <w:sz w:val="22"/>
        </w:rPr>
        <w:t> </w:t>
      </w:r>
      <w:r>
        <w:rPr>
          <w:rFonts w:ascii="Times New Roman" w:hAnsi="Times New Roman"/>
          <w:b w:val="false"/>
          <w:i/>
          <w:color w:val="000000"/>
          <w:sz w:val="22"/>
        </w:rPr>
        <w:t xml:space="preserve">Child moves from the service area. </w:t>
      </w:r>
      <w:r>
        <w:rPr>
          <w:rFonts w:ascii="Times New Roman" w:hAnsi="Times New Roman"/>
          <w:b w:val="false"/>
          <w:i w:val="false"/>
          <w:color w:val="000000"/>
          <w:sz w:val="22"/>
        </w:rPr>
        <w:t>The child may be disenrolled from the health or dental plan when the child moves to an area of the state in which the health or dental plan does not have a provider network established. If the child is disenrolled, the child shall be enrolled in a participating health or dental plan in the new location. The period of enrollment shall be the number of months remaining in the original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86.6(3)</w:t>
      </w:r>
      <w:r>
        <w:rPr>
          <w:rFonts w:ascii="Times New Roman" w:hAnsi="Times New Roman"/>
          <w:b w:val="false"/>
          <w:i w:val="false"/>
          <w:color w:val="000000"/>
          <w:sz w:val="22"/>
        </w:rPr>
        <w:t> </w:t>
      </w:r>
      <w:r>
        <w:rPr>
          <w:rFonts w:ascii="Times New Roman" w:hAnsi="Times New Roman"/>
          <w:b w:val="false"/>
          <w:i/>
          <w:color w:val="000000"/>
          <w:sz w:val="22"/>
        </w:rPr>
        <w:t xml:space="preserve">Change at annual review. </w:t>
      </w:r>
      <w:r>
        <w:rPr>
          <w:rFonts w:ascii="Times New Roman" w:hAnsi="Times New Roman"/>
          <w:b w:val="false"/>
          <w:i w:val="false"/>
          <w:color w:val="000000"/>
          <w:sz w:val="22"/>
        </w:rPr>
        <w:t>If more than one health or dental plan is available at the time of the annual review of eligibility, the family may designate another plan either verbally or in writing to the enrollment broker. The child shall remain enrolled in the current health or dental plan if the family does not notify the enrollment broker of a new health or dental plan choice by the end of the current 12-month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9084B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441—86.7</w:t>
      </w:r>
      <w:r>
        <w:rPr>
          <w:rFonts w:ascii="Times New Roman" w:hAnsi="Times New Roman"/>
          <w:b/>
          <w:i w:val="false"/>
          <w:color w:val="000000"/>
          <w:sz w:val="22"/>
        </w:rPr>
        <w:t xml:space="preserve">(514I) </w:t>
      </w:r>
      <w:r>
        <w:rPr>
          <w:rFonts w:ascii="Times New Roman" w:hAnsi="Times New Roman"/>
          <w:b/>
          <w:i w:val="false"/>
          <w:color w:val="000000"/>
          <w:sz w:val="22"/>
        </w:rPr>
        <w:t xml:space="preserve">Cancellation. </w:t>
      </w:r>
      <w:r>
        <w:rPr>
          <w:rFonts w:ascii="Times New Roman" w:hAnsi="Times New Roman"/>
          <w:b w:val="false"/>
          <w:i w:val="false"/>
          <w:color w:val="000000"/>
          <w:sz w:val="22"/>
        </w:rPr>
        <w:t>The child’s eligibility for the hawki program shall be canceled before the end of the 12-month enrollment period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86.7(1)</w:t>
      </w:r>
      <w:r>
        <w:rPr>
          <w:rFonts w:ascii="Times New Roman" w:hAnsi="Times New Roman"/>
          <w:b w:val="false"/>
          <w:i w:val="false"/>
          <w:color w:val="000000"/>
          <w:sz w:val="22"/>
        </w:rPr>
        <w:t> </w:t>
      </w:r>
      <w:r>
        <w:rPr>
          <w:rFonts w:ascii="Times New Roman" w:hAnsi="Times New Roman"/>
          <w:b w:val="false"/>
          <w:i/>
          <w:color w:val="000000"/>
          <w:sz w:val="22"/>
        </w:rPr>
        <w:t xml:space="preserve">Child moves from the service area.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86.7(2)</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canceled from the hawki program as of the first day of the month following the month in which the child attained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86.7(3)</w:t>
      </w:r>
      <w:r>
        <w:rPr>
          <w:rFonts w:ascii="Times New Roman" w:hAnsi="Times New Roman"/>
          <w:b w:val="false"/>
          <w:i w:val="false"/>
          <w:color w:val="000000"/>
          <w:sz w:val="22"/>
        </w:rPr>
        <w:t> </w:t>
      </w:r>
      <w:r>
        <w:rPr>
          <w:rFonts w:ascii="Times New Roman" w:hAnsi="Times New Roman"/>
          <w:b w:val="false"/>
          <w:i/>
          <w:color w:val="000000"/>
          <w:sz w:val="22"/>
        </w:rPr>
        <w:t xml:space="preserve">Nonpayment of premiums. </w:t>
      </w:r>
      <w:r>
        <w:rPr>
          <w:rFonts w:ascii="Times New Roman" w:hAnsi="Times New Roman"/>
          <w:b w:val="false"/>
          <w:i w:val="false"/>
          <w:color w:val="000000"/>
          <w:sz w:val="22"/>
        </w:rPr>
        <w:t xml:space="preserve">The child shall be canceled from the program as of the first day of the month in which premiums are not paid in accordance with the provisions of subrules </w:t>
      </w:r>
      <w:hyperlink r:id="rId38">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86.8(5)</w:t>
        </w:r>
      </w:hyperlink>
      <w:r>
        <w:rPr>
          <w:rFonts w:ascii="Times New Roman" w:hAnsi="Times New Roman"/>
          <w:b w:val="false"/>
          <w:i w:val="false"/>
          <w:color w:val="000000"/>
          <w:sz w:val="22"/>
        </w:rPr>
        <w:t xml:space="preserve">, unless premiums are subsequently received in accordance with the grace period provisions of </w:t>
      </w:r>
      <w:hyperlink r:id="rId40">
        <w:r>
          <w:rPr>
            <w:rStyle w:val="Hyperlink"/>
            <w:rFonts w:ascii="Times New Roman" w:hAnsi="Times New Roman"/>
            <w:b w:val="false"/>
            <w:i w:val="false"/>
            <w:color w:val="000000"/>
            <w:sz w:val="22"/>
          </w:rPr>
          <w:t>subrule 86.8(4)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86.7(4)</w:t>
      </w:r>
      <w:r>
        <w:rPr>
          <w:rFonts w:ascii="Times New Roman" w:hAnsi="Times New Roman"/>
          <w:b w:val="false"/>
          <w:i w:val="false"/>
          <w:color w:val="000000"/>
          <w:sz w:val="22"/>
        </w:rPr>
        <w:t> </w:t>
      </w:r>
      <w:r>
        <w:rPr>
          <w:rFonts w:ascii="Times New Roman" w:hAnsi="Times New Roman"/>
          <w:b w:val="false"/>
          <w:i/>
          <w:color w:val="000000"/>
          <w:sz w:val="22"/>
        </w:rPr>
        <w:t xml:space="preserve">Iowa residence abandoned. </w:t>
      </w:r>
      <w:r>
        <w:rPr>
          <w:rFonts w:ascii="Times New Roman" w:hAnsi="Times New Roman"/>
          <w:b w:val="false"/>
          <w:i w:val="false"/>
          <w:color w:val="000000"/>
          <w:sz w:val="22"/>
        </w:rPr>
        <w:t xml:space="preserve">The child shall be canceled from the program as of the first day of the month following the month in which the child relocated to another state. Eligibility shall not be canceled when the child is temporarily absent from the state in accordance with the provisions of </w:t>
      </w:r>
      <w:hyperlink r:id="rId41">
        <w:r>
          <w:rPr>
            <w:rStyle w:val="Hyperlink"/>
            <w:rFonts w:ascii="Times New Roman" w:hAnsi="Times New Roman"/>
            <w:b w:val="false"/>
            <w:i w:val="false"/>
            <w:color w:val="000000"/>
            <w:sz w:val="22"/>
          </w:rPr>
          <w:t>441—subrule 75.10(2)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86.7(5)</w:t>
      </w:r>
      <w:r>
        <w:rPr>
          <w:rFonts w:ascii="Times New Roman" w:hAnsi="Times New Roman"/>
          <w:b w:val="false"/>
          <w:i w:val="false"/>
          <w:color w:val="000000"/>
          <w:sz w:val="22"/>
        </w:rPr>
        <w:t> </w:t>
      </w:r>
      <w:r>
        <w:rPr>
          <w:rFonts w:ascii="Times New Roman" w:hAnsi="Times New Roman"/>
          <w:b w:val="false"/>
          <w:i/>
          <w:color w:val="000000"/>
          <w:sz w:val="22"/>
        </w:rPr>
        <w:t xml:space="preserve">Eligible for Medicaid. </w:t>
      </w:r>
      <w:r>
        <w:rPr>
          <w:rFonts w:ascii="Times New Roman" w:hAnsi="Times New Roman"/>
          <w:b w:val="false"/>
          <w:i w:val="false"/>
          <w:color w:val="000000"/>
          <w:sz w:val="22"/>
        </w:rPr>
        <w:t>The child shall be canceled from the program as of the first day of the month following the month in which Medicaid eligibility is obtained. If there are months during which the child is covered by both the Medicaid and hawki programs, the hawki program shall be the primary payor and Medicaid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86.7(6)</w:t>
      </w:r>
      <w:r>
        <w:rPr>
          <w:rFonts w:ascii="Times New Roman" w:hAnsi="Times New Roman"/>
          <w:b w:val="false"/>
          <w:i w:val="false"/>
          <w:color w:val="000000"/>
          <w:sz w:val="22"/>
        </w:rPr>
        <w:t> </w:t>
      </w:r>
      <w:r>
        <w:rPr>
          <w:rFonts w:ascii="Times New Roman" w:hAnsi="Times New Roman"/>
          <w:b w:val="false"/>
          <w:i/>
          <w:color w:val="000000"/>
          <w:sz w:val="22"/>
        </w:rPr>
        <w:t xml:space="preserve">Enrolled in other health insurance coverage. </w:t>
      </w:r>
      <w:r>
        <w:rPr>
          <w:rFonts w:ascii="Times New Roman" w:hAnsi="Times New Roman"/>
          <w:b w:val="false"/>
          <w:i w:val="false"/>
          <w:color w:val="000000"/>
          <w:sz w:val="22"/>
        </w:rPr>
        <w:t>The child shall be canceled from the program as of the first day of the month following the month in which the department is notified that the child has other health insurance coverage. If there are months during which the child is covered by both another insurance plan and the hawki program, the other insurance plan shall be the primary payor and hawki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86.7(7)</w:t>
      </w:r>
      <w:r>
        <w:rPr>
          <w:rFonts w:ascii="Times New Roman" w:hAnsi="Times New Roman"/>
          <w:b w:val="false"/>
          <w:i w:val="false"/>
          <w:color w:val="000000"/>
          <w:sz w:val="22"/>
        </w:rPr>
        <w:t> </w:t>
      </w:r>
      <w:r>
        <w:rPr>
          <w:rFonts w:ascii="Times New Roman" w:hAnsi="Times New Roman"/>
          <w:b w:val="false"/>
          <w:i/>
          <w:color w:val="000000"/>
          <w:sz w:val="22"/>
        </w:rPr>
        <w:t xml:space="preserve">Admission to a public institution. </w:t>
      </w:r>
      <w:r>
        <w:rPr>
          <w:rFonts w:ascii="Times New Roman" w:hAnsi="Times New Roman"/>
          <w:b w:val="false"/>
          <w:i w:val="false"/>
          <w:color w:val="000000"/>
          <w:sz w:val="22"/>
        </w:rPr>
        <w:t>The child shall be canceled from the program if the child is in a public institution at the time of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86.7(8)</w:t>
      </w:r>
      <w:r>
        <w:rPr>
          <w:rFonts w:ascii="Times New Roman" w:hAnsi="Times New Roman"/>
          <w:b w:val="false"/>
          <w:i w:val="false"/>
          <w:color w:val="000000"/>
          <w:sz w:val="22"/>
        </w:rPr>
        <w:t> </w:t>
      </w:r>
      <w:r>
        <w:rPr>
          <w:rFonts w:ascii="Times New Roman" w:hAnsi="Times New Roman"/>
          <w:b w:val="false"/>
          <w:i/>
          <w:color w:val="000000"/>
          <w:sz w:val="22"/>
        </w:rPr>
        <w:t xml:space="preserve">Admission to an institution for mental disease. </w:t>
      </w:r>
      <w:r>
        <w:rPr>
          <w:rFonts w:ascii="Times New Roman" w:hAnsi="Times New Roman"/>
          <w:b w:val="false"/>
          <w:i w:val="false"/>
          <w:color w:val="000000"/>
          <w:sz w:val="22"/>
        </w:rPr>
        <w:t>The child shall be canceled from the program if the child is a patient in an institution for mental disease at the time of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86.7(9)</w:t>
      </w:r>
      <w:r>
        <w:rPr>
          <w:rFonts w:ascii="Times New Roman" w:hAnsi="Times New Roman"/>
          <w:b w:val="false"/>
          <w:i w:val="false"/>
          <w:color w:val="000000"/>
          <w:sz w:val="22"/>
        </w:rPr>
        <w:t> </w:t>
      </w:r>
      <w:r>
        <w:rPr>
          <w:rFonts w:ascii="Times New Roman" w:hAnsi="Times New Roman"/>
          <w:b w:val="false"/>
          <w:i/>
          <w:color w:val="000000"/>
          <w:sz w:val="22"/>
        </w:rPr>
        <w:t xml:space="preserve">Employment with the state of Iowa. </w:t>
      </w:r>
      <w:r>
        <w:rPr>
          <w:rFonts w:ascii="Times New Roman" w:hAnsi="Times New Roman"/>
          <w:b w:val="false"/>
          <w:i w:val="false"/>
          <w:color w:val="000000"/>
          <w:sz w:val="22"/>
        </w:rPr>
        <w:t>The child shall be canceled from the hawki program as of the first day of the month in which the child’s parent became eligible to participate in a health or dental plan available to state of Iowa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441—86.8</w:t>
      </w:r>
      <w:r>
        <w:rPr>
          <w:rFonts w:ascii="Times New Roman" w:hAnsi="Times New Roman"/>
          <w:b/>
          <w:i w:val="false"/>
          <w:color w:val="000000"/>
          <w:sz w:val="22"/>
        </w:rPr>
        <w:t xml:space="preserve">(514I) </w:t>
      </w:r>
      <w:r>
        <w:rPr>
          <w:rFonts w:ascii="Times New Roman" w:hAnsi="Times New Roman"/>
          <w:b/>
          <w:i w:val="false"/>
          <w:color w:val="000000"/>
          <w:sz w:val="22"/>
        </w:rPr>
        <w:t xml:space="preserve">Premiums and copayments.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The income considered in determining the premium amount shall be the family’s countable income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86.8(2)</w:t>
      </w:r>
      <w:r>
        <w:rPr>
          <w:rFonts w:ascii="Times New Roman" w:hAnsi="Times New Roman"/>
          <w:b w:val="false"/>
          <w:i w:val="false"/>
          <w:color w:val="000000"/>
          <w:sz w:val="22"/>
        </w:rPr>
        <w:t> </w:t>
      </w:r>
      <w:r>
        <w:rPr>
          <w:rFonts w:ascii="Times New Roman" w:hAnsi="Times New Roman"/>
          <w:b w:val="false"/>
          <w:i/>
          <w:color w:val="000000"/>
          <w:sz w:val="22"/>
        </w:rPr>
        <w:t xml:space="preserve">Premium amount. </w:t>
      </w:r>
      <w:r>
        <w:rPr>
          <w:rFonts w:ascii="Times New Roman" w:hAnsi="Times New Roman"/>
          <w:b w:val="false"/>
          <w:i w:val="false"/>
          <w:color w:val="000000"/>
          <w:sz w:val="22"/>
        </w:rPr>
        <w:t xml:space="preserve">Except as specified for supplemental dental-only coverage in subrule </w:t>
      </w:r>
      <w:hyperlink r:id="rId42">
        <w:r>
          <w:rPr>
            <w:rStyle w:val="Hyperlink"/>
            <w:rFonts w:ascii="Times New Roman" w:hAnsi="Times New Roman"/>
            <w:b w:val="false"/>
            <w:i w:val="false"/>
            <w:color w:val="000000"/>
            <w:sz w:val="22"/>
          </w:rPr>
          <w:t>86.20(3)</w:t>
        </w:r>
      </w:hyperlink>
      <w:r>
        <w:rPr>
          <w:rFonts w:ascii="Times New Roman" w:hAnsi="Times New Roman"/>
          <w:b w:val="false"/>
          <w:i w:val="false"/>
          <w:color w:val="000000"/>
          <w:sz w:val="22"/>
        </w:rPr>
        <w:t>, premiums under the hawki program shall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eligible child is an American Indian or Alaska 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countable income is less than 181 percent of the federal poverty level for a family of the same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181 percent of the federal poverty level for a family of the same size but does not exceed 242 percent of the federal poverty level for a family of that size, the premium is $10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243 percent of the federal poverty level for a family of the same size, the premium is $20 per child per month with a $40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86.8(3)</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Payment upon initial application. </w:t>
      </w:r>
      <w:r>
        <w:rPr>
          <w:rFonts w:ascii="Times New Roman" w:hAnsi="Times New Roman"/>
          <w:b w:val="false"/>
          <w:i w:val="false"/>
          <w:color w:val="000000"/>
          <w:sz w:val="22"/>
        </w:rPr>
        <w:t>“Initial application” means the first program application or a subsequent application that is not a renewal. Upon approval of an initial application, the first month for which a premium is due is the third month following the month of decision. The due date of the first premium shall be the fifth day of the second month following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upon renewal. </w:t>
      </w:r>
      <w:r>
        <w:rPr>
          <w:rFonts w:ascii="Times New Roman" w:hAnsi="Times New Roman"/>
          <w:b w:val="false"/>
          <w:i w:val="false"/>
          <w:color w:val="000000"/>
          <w:sz w:val="22"/>
        </w:rPr>
        <w:t>“Renewal” means any application used to establish ongoing eligibility, without a break in coverage, for any enrollment period subsequent to an enrollment period established by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approval of a renewal, the first month for which a premium is due is the first month of the enrollment period. The premium for the first month of the enrollment period shall be due by the fifth day of the month before the month of coverage or the tenth business day following the date of decision,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premiums due must be paid before the child will be enrolled for coverage. When the premium is received, the department shall notify the health and dental plans of the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payments. </w:t>
      </w:r>
      <w:r>
        <w:rPr>
          <w:rFonts w:ascii="Times New Roman" w:hAnsi="Times New Roman"/>
          <w:b w:val="false"/>
          <w:i w:val="false"/>
          <w:color w:val="000000"/>
          <w:sz w:val="22"/>
        </w:rPr>
        <w:t>All subsequent premiums are due by the fifth day of each month for the next month’s coverage. Premiums may be paid in advance (e.g., on a quarterly or semiannual basis) rather than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Holiday or weekend. </w:t>
      </w:r>
      <w:r>
        <w:rPr>
          <w:rFonts w:ascii="Times New Roman" w:hAnsi="Times New Roman"/>
          <w:b w:val="false"/>
          <w:i w:val="false"/>
          <w:color w:val="000000"/>
          <w:sz w:val="22"/>
        </w:rPr>
        <w:t>When the premium due date falls on a holiday or weekend, the premium shall be due on the first business day following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86.8(4)</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A grace period shall be allowed on any monthly premium not received as prescribed in paragraph </w:t>
      </w:r>
      <w:hyperlink r:id="rId43">
        <w:r>
          <w:rPr>
            <w:rStyle w:val="Hyperlink"/>
            <w:rFonts w:ascii="Times New Roman" w:hAnsi="Times New Roman"/>
            <w:b w:val="false"/>
            <w:i w:val="false"/>
            <w:color w:val="000000"/>
            <w:sz w:val="22"/>
          </w:rPr>
          <w:t>86.8(3)</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grace period shall be the month immediately following the last month for which the premium has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submit a premium by the last calendar day of the grace period shall result in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premium for the grace period and the premium for the following month’s coverage is subsequently received within 45 calendar days following the last calendar day of the grace period, coverage will be reinstated, effective the first day of the calendar month following the grace period, without the need to reapply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86.8(5)</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Premiums may be submitted in the form of cash, personal checks, electronic funds transfers (EFT), or other methods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86.8(6)</w:t>
      </w:r>
      <w:r>
        <w:rPr>
          <w:rFonts w:ascii="Times New Roman" w:hAnsi="Times New Roman"/>
          <w:b w:val="false"/>
          <w:i w:val="false"/>
          <w:color w:val="000000"/>
          <w:sz w:val="22"/>
        </w:rPr>
        <w:t> </w:t>
      </w:r>
      <w:r>
        <w:rPr>
          <w:rFonts w:ascii="Times New Roman" w:hAnsi="Times New Roman"/>
          <w:b w:val="false"/>
          <w:i/>
          <w:color w:val="000000"/>
          <w:sz w:val="22"/>
        </w:rPr>
        <w:t xml:space="preserve">Failure to pay premium. </w:t>
      </w:r>
      <w:r>
        <w:rPr>
          <w:rFonts w:ascii="Times New Roman" w:hAnsi="Times New Roman"/>
          <w:b w:val="false"/>
          <w:i w:val="false"/>
          <w:color w:val="000000"/>
          <w:sz w:val="22"/>
        </w:rPr>
        <w:t xml:space="preserve">Failure to pay the premium in accordance with subrules </w:t>
      </w:r>
      <w:hyperlink r:id="rId44">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86.8(5)</w:t>
        </w:r>
      </w:hyperlink>
      <w:r>
        <w:rPr>
          <w:rFonts w:ascii="Times New Roman" w:hAnsi="Times New Roman"/>
          <w:b w:val="false"/>
          <w:i w:val="false"/>
          <w:color w:val="000000"/>
          <w:sz w:val="22"/>
        </w:rPr>
        <w:t xml:space="preserve"> shall result in cancellation from the program unless the grace period provisions of subrule </w:t>
      </w:r>
      <w:hyperlink r:id="rId46">
        <w:r>
          <w:rPr>
            <w:rStyle w:val="Hyperlink"/>
            <w:rFonts w:ascii="Times New Roman" w:hAnsi="Times New Roman"/>
            <w:b w:val="false"/>
            <w:i w:val="false"/>
            <w:color w:val="000000"/>
            <w:sz w:val="22"/>
          </w:rPr>
          <w:t>86.8(4)</w:t>
        </w:r>
      </w:hyperlink>
      <w:r>
        <w:rPr>
          <w:rFonts w:ascii="Times New Roman" w:hAnsi="Times New Roman"/>
          <w:b w:val="false"/>
          <w:i w:val="false"/>
          <w:color w:val="000000"/>
          <w:sz w:val="22"/>
        </w:rPr>
        <w:t xml:space="preserve"> apply. Once a child is canceled from the program due to nonpayment of premiums, the family must reapply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86.8(7)</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There shall be a $25 copayment for each emergency room visit if the child’s medical condition does not meet the definition of emergency medical condition.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A copayment shall not be imposed when family income is less than 181 percent of the federal poverty level for a family of the same size or when the child is an eligible American Indian or Alaska 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1287C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2912C</w:t>
      </w:r>
      <w:r>
        <w:rPr>
          <w:rFonts w:ascii="Times New Roman" w:hAnsi="Times New Roman"/>
          <w:b w:val="false"/>
          <w:i w:val="false"/>
          <w:color w:val="000000"/>
          <w:sz w:val="16"/>
        </w:rPr>
        <w:t>, IAB 1/18/17,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441—86.9</w:t>
      </w:r>
      <w:r>
        <w:rPr>
          <w:rFonts w:ascii="Times New Roman" w:hAnsi="Times New Roman"/>
          <w:b/>
          <w:i w:val="false"/>
          <w:color w:val="000000"/>
          <w:sz w:val="22"/>
        </w:rPr>
        <w:t xml:space="preserve">(514I) </w:t>
      </w:r>
      <w:r>
        <w:rPr>
          <w:rFonts w:ascii="Times New Roman" w:hAnsi="Times New Roman"/>
          <w:b/>
          <w:i w:val="false"/>
          <w:color w:val="000000"/>
          <w:sz w:val="22"/>
        </w:rPr>
        <w:t xml:space="preserve">Annual reviews of eligibility. </w:t>
      </w:r>
      <w:r>
        <w:rPr>
          <w:rFonts w:ascii="Times New Roman" w:hAnsi="Times New Roman"/>
          <w:b w:val="false"/>
          <w:i w:val="false"/>
          <w:color w:val="000000"/>
          <w:sz w:val="22"/>
        </w:rPr>
        <w:t>All eligibility factors shall be reviewed at least every 12 months to establish ongoing eligibility for the program. “Month one” shall be the first month in which coverage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86.9(1)</w:t>
      </w:r>
      <w:r>
        <w:rPr>
          <w:rFonts w:ascii="Times New Roman" w:hAnsi="Times New Roman"/>
          <w:b w:val="false"/>
          <w:i w:val="false"/>
          <w:color w:val="000000"/>
          <w:sz w:val="22"/>
        </w:rPr>
        <w:t> </w:t>
      </w:r>
      <w:r>
        <w:rPr>
          <w:rFonts w:ascii="Times New Roman" w:hAnsi="Times New Roman"/>
          <w:b w:val="false"/>
          <w:i/>
          <w:color w:val="000000"/>
          <w:sz w:val="22"/>
        </w:rPr>
        <w:t xml:space="preserve">Review form. </w:t>
      </w:r>
      <w:r>
        <w:rPr>
          <w:rFonts w:ascii="Times New Roman" w:hAnsi="Times New Roman"/>
          <w:b w:val="false"/>
          <w:i w:val="false"/>
          <w:color w:val="000000"/>
          <w:sz w:val="22"/>
        </w:rPr>
        <w:t>A prepopulated review form on which the answers, except for income, have been completed based on the information on file shall be sent to the family. The family shall review the completed information for accuracy and fill in the income section of the form. If family income cannot be verified through electronic data matches, the family shall be required to provide verification of current income. The family shall sign and date the form attesting to its accuracy as part of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86.9(2)</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information. </w:t>
      </w:r>
      <w:r>
        <w:rPr>
          <w:rFonts w:ascii="Times New Roman" w:hAnsi="Times New Roman"/>
          <w:b w:val="false"/>
          <w:i w:val="false"/>
          <w:color w:val="000000"/>
          <w:sz w:val="22"/>
        </w:rPr>
        <w:t>The child shall not be enrolled for the next 12-month period if the family fails to provide information and verification of income or otherwise fails to cooperate in the annual review process. If the completed review form and any information necessary to establish continued eligibility are received within 14 calendar days of the end of an enrollment period, the review form and information shall be acted upon as though they had been received timely. If the fourteenth calendar day falls on a weekend or state holiday, the enrollee shall have until the next business day to provide the review form and any information necessary to establish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86.9(3)</w:t>
      </w:r>
      <w:r>
        <w:rPr>
          <w:rFonts w:ascii="Times New Roman" w:hAnsi="Times New Roman"/>
          <w:b w:val="false"/>
          <w:i w:val="false"/>
          <w:color w:val="000000"/>
          <w:sz w:val="22"/>
        </w:rPr>
        <w:t> </w:t>
      </w:r>
      <w:r>
        <w:rPr>
          <w:rFonts w:ascii="Times New Roman" w:hAnsi="Times New Roman"/>
          <w:b w:val="false"/>
          <w:i/>
          <w:color w:val="000000"/>
          <w:sz w:val="22"/>
        </w:rPr>
        <w:t xml:space="preserve">Change in plan.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1/13/10</w:t>
      </w:r>
      <w:r>
        <w:rPr>
          <w:rFonts w:ascii="Times New Roman" w:hAnsi="Times New Roman"/>
          <w:b w:val="false"/>
          <w:i w:val="false"/>
          <w:color w:val="000000"/>
          <w:sz w:val="22"/>
        </w:rPr>
        <w:t>, effective 3/1/10.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8580B</w:t>
      </w:r>
      <w:r>
        <w:rPr>
          <w:rFonts w:ascii="Times New Roman" w:hAnsi="Times New Roman"/>
          <w:b w:val="false"/>
          <w:i w:val="false"/>
          <w:color w:val="000000"/>
          <w:sz w:val="16"/>
        </w:rPr>
        <w:t>, IAB 3/10/10,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441—86.10</w:t>
      </w:r>
      <w:r>
        <w:rPr>
          <w:rFonts w:ascii="Times New Roman" w:hAnsi="Times New Roman"/>
          <w:b/>
          <w:i w:val="false"/>
          <w:color w:val="000000"/>
          <w:sz w:val="22"/>
        </w:rPr>
        <w:t xml:space="preserve">(514I) </w:t>
      </w:r>
      <w:r>
        <w:rPr>
          <w:rFonts w:ascii="Times New Roman" w:hAnsi="Times New Roman"/>
          <w:b/>
          <w:i w:val="false"/>
          <w:color w:val="000000"/>
          <w:sz w:val="22"/>
        </w:rPr>
        <w:t xml:space="preserve">Reporting changes. </w:t>
      </w:r>
      <w:r>
        <w:rPr>
          <w:rFonts w:ascii="Times New Roman" w:hAnsi="Times New Roman"/>
          <w:b w:val="false"/>
          <w:i w:val="false"/>
          <w:color w:val="000000"/>
          <w:sz w:val="22"/>
        </w:rPr>
        <w:t>Changes that may affect eligibility shall be reported timely to the department. “Timely” shall mean no later than ten working days after the change occurred. The ten working-day period begins the first working day following the date of the change. The parent, guardian, or other adult responsible for the child shall report the change unless the child is emancipated, married, or otherwise in an independent living situation, in which case the child shall be responsible for reporting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is abandoned. </w:t>
      </w:r>
      <w:r>
        <w:rPr>
          <w:rFonts w:ascii="Times New Roman" w:hAnsi="Times New Roman"/>
          <w:b w:val="false"/>
          <w:i w:val="false"/>
          <w:color w:val="000000"/>
          <w:sz w:val="22"/>
        </w:rPr>
        <w:t>The abandonment of Iowa residence shall be reported following the move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86.10(2)</w:t>
      </w:r>
      <w:r>
        <w:rPr>
          <w:rFonts w:ascii="Times New Roman" w:hAnsi="Times New Roman"/>
          <w:b w:val="false"/>
          <w:i w:val="false"/>
          <w:color w:val="000000"/>
          <w:sz w:val="22"/>
        </w:rPr>
        <w:t> </w:t>
      </w:r>
      <w:r>
        <w:rPr>
          <w:rFonts w:ascii="Times New Roman" w:hAnsi="Times New Roman"/>
          <w:b w:val="false"/>
          <w:i/>
          <w:color w:val="000000"/>
          <w:sz w:val="22"/>
        </w:rPr>
        <w:t xml:space="preserve">Other insurance coverage. </w:t>
      </w:r>
      <w:r>
        <w:rPr>
          <w:rFonts w:ascii="Times New Roman" w:hAnsi="Times New Roman"/>
          <w:b w:val="false"/>
          <w:i w:val="false"/>
          <w:color w:val="000000"/>
          <w:sz w:val="22"/>
        </w:rPr>
        <w:t>Enrollment of the child in other health insurance coverage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86.10(3)</w:t>
      </w:r>
      <w:r>
        <w:rPr>
          <w:rFonts w:ascii="Times New Roman" w:hAnsi="Times New Roman"/>
          <w:b w:val="false"/>
          <w:i w:val="false"/>
          <w:color w:val="000000"/>
          <w:sz w:val="22"/>
        </w:rPr>
        <w:t> </w:t>
      </w:r>
      <w:r>
        <w:rPr>
          <w:rFonts w:ascii="Times New Roman" w:hAnsi="Times New Roman"/>
          <w:b w:val="false"/>
          <w:i/>
          <w:color w:val="000000"/>
          <w:sz w:val="22"/>
        </w:rPr>
        <w:t xml:space="preserve">Decrease in income. </w:t>
      </w:r>
      <w:r>
        <w:rPr>
          <w:rFonts w:ascii="Times New Roman" w:hAnsi="Times New Roman"/>
          <w:b w:val="false"/>
          <w:i w:val="false"/>
          <w:color w:val="000000"/>
          <w:sz w:val="22"/>
        </w:rPr>
        <w:t xml:space="preserve">If the family reports a decrease in income, the department shall ascertain whether the change affects the premium obligation of the family. If the change is such that the family is no longer required to pay a premium in accordance with the provisions of rule </w:t>
      </w:r>
      <w:hyperlink r:id="rId47">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 premiums will no longer be charged beginning with the month following the month of the report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86.10(4)</w:t>
      </w:r>
      <w:r>
        <w:rPr>
          <w:rFonts w:ascii="Times New Roman" w:hAnsi="Times New Roman"/>
          <w:b w:val="false"/>
          <w:i w:val="false"/>
          <w:color w:val="000000"/>
          <w:sz w:val="22"/>
        </w:rPr>
        <w:t> </w:t>
      </w:r>
      <w:r>
        <w:rPr>
          <w:rFonts w:ascii="Times New Roman" w:hAnsi="Times New Roman"/>
          <w:b w:val="false"/>
          <w:i/>
          <w:color w:val="000000"/>
          <w:sz w:val="22"/>
        </w:rPr>
        <w:t xml:space="preserve">Decrease in income. </w:t>
      </w:r>
      <w:r>
        <w:rPr>
          <w:rFonts w:ascii="Times New Roman" w:hAnsi="Times New Roman"/>
          <w:b w:val="false"/>
          <w:i w:val="false"/>
          <w:color w:val="000000"/>
          <w:sz w:val="22"/>
        </w:rPr>
        <w:t xml:space="preserve">If the family reports a decrease in income, the department shall ascertain whether the change affects the premium obligation of the family. If the change is such that the family is no longer required to pay a premium in accordance with the provisions of rule </w:t>
      </w:r>
      <w:hyperlink r:id="rId48">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 premiums will no longer be charged beginning with the month following the month of the report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86.10(5)</w:t>
      </w:r>
      <w:r>
        <w:rPr>
          <w:rFonts w:ascii="Times New Roman" w:hAnsi="Times New Roman"/>
          <w:b w:val="false"/>
          <w:i w:val="false"/>
          <w:color w:val="000000"/>
          <w:sz w:val="22"/>
        </w:rPr>
        <w:t> </w:t>
      </w:r>
      <w:r>
        <w:rPr>
          <w:rFonts w:ascii="Times New Roman" w:hAnsi="Times New Roman"/>
          <w:b w:val="false"/>
          <w:i/>
          <w:color w:val="000000"/>
          <w:sz w:val="22"/>
        </w:rPr>
        <w:t xml:space="preserve">Information reported by a third party. </w:t>
      </w:r>
      <w:r>
        <w:rPr>
          <w:rFonts w:ascii="Times New Roman" w:hAnsi="Times New Roman"/>
          <w:b w:val="false"/>
          <w:i w:val="false"/>
          <w:color w:val="000000"/>
          <w:sz w:val="22"/>
        </w:rPr>
        <w:t xml:space="preserve">Information reported by a third party shall not be acted upon until the information is verified in accordance with subrule </w:t>
      </w:r>
      <w:hyperlink r:id="rId49">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86.10(6)</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The provisions of subrule </w:t>
      </w:r>
      <w:hyperlink r:id="rId50">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 xml:space="preserve"> shall apply when a request for information or verification is made due to a change. In addition, failure of the enrollee or of the person acting on behalf of the enrollee to provide requested information or verification that may affect eligibility for the program shall result in cancellation and recoupment of all payments made by the department on behalf of the enrollee during the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86.10(7)</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change in circumstances has a positive effect on eligibility, the change in eligibility shall be effective no earlier than the month following the month in which the change in circumstances was reported, regardless of when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has an adverse effect on eligibility, the change in eligibility shall be effective no earlier than the month following the issuance of a timely notification, in accordance with the provisions of rule </w:t>
      </w:r>
      <w:hyperlink r:id="rId51">
        <w:r>
          <w:rPr>
            <w:rStyle w:val="Hyperlink"/>
            <w:rFonts w:ascii="Times New Roman" w:hAnsi="Times New Roman"/>
            <w:b w:val="false"/>
            <w:i w:val="false"/>
            <w:color w:val="000000"/>
            <w:sz w:val="22"/>
          </w:rPr>
          <w:t>441—86.11</w:t>
        </w:r>
      </w:hyperlink>
      <w:r>
        <w:rPr>
          <w:rFonts w:ascii="Times New Roman" w:hAnsi="Times New Roman"/>
          <w:b w:val="false"/>
          <w:i w:val="false"/>
          <w:color w:val="000000"/>
          <w:sz w:val="22"/>
        </w:rPr>
        <w:t>(514I). When the change in circumstances was not reported timely, as defined in this rule, benefits shall be recouped beginning with the month following the month in which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anticipated change in circumstances is reported before the change occurs, no action shall be taken until the change actually occurs and is verified in accordance with the provisions of subrule </w:t>
      </w:r>
      <w:hyperlink r:id="rId52">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441—86.11</w:t>
      </w:r>
      <w:r>
        <w:rPr>
          <w:rFonts w:ascii="Times New Roman" w:hAnsi="Times New Roman"/>
          <w:b/>
          <w:i w:val="false"/>
          <w:color w:val="000000"/>
          <w:sz w:val="22"/>
        </w:rPr>
        <w:t xml:space="preserve">(514I)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 xml:space="preserve">The applicant shall be provided an adequate written notice of the decision regarding the applicant’s eligibility for the hawki program. The enrollee shall be notified in writing of any decision that adversely affects the enrollee’s eligibility or the amount of benefits. The notice shall be timely and adequate as provided in rule </w:t>
      </w:r>
      <w:hyperlink r:id="rId53">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441—86.12</w:t>
      </w:r>
      <w:r>
        <w:rPr>
          <w:rFonts w:ascii="Times New Roman" w:hAnsi="Times New Roman"/>
          <w:b/>
          <w:i w:val="false"/>
          <w:color w:val="000000"/>
          <w:sz w:val="22"/>
        </w:rPr>
        <w:t xml:space="preserve">(514I) </w:t>
      </w:r>
      <w:r>
        <w:rPr>
          <w:rFonts w:ascii="Times New Roman" w:hAnsi="Times New Roman"/>
          <w:b/>
          <w:i w:val="false"/>
          <w:color w:val="000000"/>
          <w:sz w:val="22"/>
        </w:rPr>
        <w:t xml:space="preserve">Appeals and fair hearings. </w:t>
      </w:r>
      <w:r>
        <w:rPr>
          <w:rFonts w:ascii="Times New Roman" w:hAnsi="Times New Roman"/>
          <w:b w:val="false"/>
          <w:i w:val="false"/>
          <w:color w:val="000000"/>
          <w:sz w:val="22"/>
        </w:rPr>
        <w:t xml:space="preserve">If the applicant or enrollee disputes a decision to reduce, cancel or deny participation in the hawki program, the applicant or enrollee may appeal the decision in accordance with </w:t>
      </w:r>
      <w:hyperlink r:id="rId5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441—86.13</w:t>
      </w:r>
      <w:r>
        <w:rPr>
          <w:rFonts w:ascii="Times New Roman" w:hAnsi="Times New Roman"/>
          <w:b/>
          <w:i w:val="false"/>
          <w:color w:val="000000"/>
          <w:sz w:val="22"/>
        </w:rPr>
        <w:t xml:space="preserve">(514I) </w:t>
      </w:r>
      <w:r>
        <w:rPr>
          <w:rFonts w:ascii="Times New Roman" w:hAnsi="Times New Roman"/>
          <w:b/>
          <w:i w:val="false"/>
          <w:color w:val="000000"/>
          <w:sz w:val="22"/>
        </w:rPr>
        <w:t xml:space="preserve">Third-party administrator. </w:t>
      </w:r>
      <w:r>
        <w:rPr>
          <w:rFonts w:ascii="Times New Roman" w:hAnsi="Times New Roman"/>
          <w:b w:val="false"/>
          <w:i w:val="false"/>
          <w:color w:val="000000"/>
          <w:sz w:val="22"/>
        </w:rPr>
        <w:t xml:space="preserve">Rescinded </w:t>
      </w:r>
      <w:r>
        <w:rPr>
          <w:rFonts w:ascii="Times New Roman" w:hAnsi="Times New Roman"/>
          <w:b/>
          <w:i w:val="false"/>
          <w:color w:val="000000"/>
          <w:sz w:val="22"/>
        </w:rPr>
        <w:t>ARC 5141C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8/12/20</w:t>
      </w:r>
      <w:r>
        <w:rPr>
          <w:rFonts w:ascii="Times New Roman" w:hAnsi="Times New Roman"/>
          <w:b w:val="false"/>
          <w:i w:val="false"/>
          <w:color w:val="000000"/>
          <w:sz w:val="22"/>
        </w:rPr>
        <w:t xml:space="preserve">, effective 12/1/20. </w:t>
      </w:r>
    </w:p>
    <w:p>
      <w:pPr>
        <w:spacing w:before="0" w:after="0"/>
        <w:ind w:left="120"/>
        <w:jc w:val="both"/>
      </w:pPr>
      <w:r>
        <w:rPr>
          <w:rFonts w:ascii="Times New Roman" w:hAnsi="Times New Roman"/>
          <w:b/>
          <w:i w:val="false"/>
          <w:color w:val="000000"/>
          <w:sz w:val="22"/>
        </w:rPr>
        <w:t>441—86.14</w:t>
      </w:r>
      <w:r>
        <w:rPr>
          <w:rFonts w:ascii="Times New Roman" w:hAnsi="Times New Roman"/>
          <w:b/>
          <w:i w:val="false"/>
          <w:color w:val="000000"/>
          <w:sz w:val="22"/>
        </w:rPr>
        <w:t xml:space="preserve">(514I) </w:t>
      </w:r>
      <w:r>
        <w:rPr>
          <w:rFonts w:ascii="Times New Roman" w:hAnsi="Times New Roman"/>
          <w:b/>
          <w:i w:val="false"/>
          <w:color w:val="000000"/>
          <w:sz w:val="22"/>
        </w:rPr>
        <w:t xml:space="preserve">Covered services. </w:t>
      </w:r>
      <w:r>
        <w:rPr>
          <w:rFonts w:ascii="Times New Roman" w:hAnsi="Times New Roman"/>
          <w:b w:val="false"/>
          <w:i w:val="false"/>
          <w:color w:val="000000"/>
          <w:sz w:val="22"/>
        </w:rPr>
        <w:t>The benefits provided under the hawki program shall meet a benchmark, benchmark equivalent, or benefit plan that complies with Title XXI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color w:val="000000"/>
          <w:sz w:val="22"/>
        </w:rPr>
        <w:t xml:space="preserve">Required medical services. </w:t>
      </w:r>
      <w:r>
        <w:rPr>
          <w:rFonts w:ascii="Times New Roman" w:hAnsi="Times New Roman"/>
          <w:b w:val="false"/>
          <w:i w:val="false"/>
          <w:color w:val="000000"/>
          <w:sz w:val="22"/>
        </w:rPr>
        <w:t>The participating health plan shall cover at a minimum the following medically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hospital services (including medical, surgical, intensive care unit, mental health, and substance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 services (including surgical and medical, and including office visits, newborn care, well-baby and well-child care, immunizations, urgent care, specialist care, allergy testing and treatment, mental health visits, and substance abuse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(including emergency room, surgery, lab, and x-ray services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care services (including skilled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Speech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Home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Hearing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Vision services (including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Translation and interpreter services as specified pursuant to 42 U.S.C. Section 1397ee(a)(1).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Payment for abortion shall only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enrollee suffers from a physical disorder, physical injury, or physical illness, including a life-endangering physical condition caused by or arising from the pregnancy itself, that would place the enrollee in danger of death unless an abortion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an act of rape or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86.14(3)</w:t>
      </w:r>
      <w:r>
        <w:rPr>
          <w:rFonts w:ascii="Times New Roman" w:hAnsi="Times New Roman"/>
          <w:b w:val="false"/>
          <w:i w:val="false"/>
          <w:color w:val="000000"/>
          <w:sz w:val="22"/>
        </w:rPr>
        <w:t> </w:t>
      </w:r>
      <w:r>
        <w:rPr>
          <w:rFonts w:ascii="Times New Roman" w:hAnsi="Times New Roman"/>
          <w:b w:val="false"/>
          <w:i/>
          <w:color w:val="000000"/>
          <w:sz w:val="22"/>
        </w:rPr>
        <w:t xml:space="preserve">Required dental services. </w:t>
      </w:r>
      <w:r>
        <w:rPr>
          <w:rFonts w:ascii="Times New Roman" w:hAnsi="Times New Roman"/>
          <w:b w:val="false"/>
          <w:i w:val="false"/>
          <w:color w:val="000000"/>
          <w:sz w:val="22"/>
        </w:rPr>
        <w:t>Participating dental plans shall cover at a minimum the following necessary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Diagnostic and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and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Prosthetics.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2912C</w:t>
      </w:r>
      <w:r>
        <w:rPr>
          <w:rFonts w:ascii="Times New Roman" w:hAnsi="Times New Roman"/>
          <w:b w:val="false"/>
          <w:i w:val="false"/>
          <w:color w:val="000000"/>
          <w:sz w:val="16"/>
        </w:rPr>
        <w:t>, IAB 1/18/17,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441—86.15</w:t>
      </w:r>
      <w:r>
        <w:rPr>
          <w:rFonts w:ascii="Times New Roman" w:hAnsi="Times New Roman"/>
          <w:b/>
          <w:i w:val="false"/>
          <w:color w:val="000000"/>
          <w:sz w:val="22"/>
        </w:rPr>
        <w:t xml:space="preserve">(514I) </w:t>
      </w:r>
      <w:r>
        <w:rPr>
          <w:rFonts w:ascii="Times New Roman" w:hAnsi="Times New Roman"/>
          <w:b/>
          <w:i w:val="false"/>
          <w:color w:val="000000"/>
          <w:sz w:val="22"/>
        </w:rPr>
        <w:t xml:space="preserve">Participating health and dental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The participating health or dental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by the division of insurance of the department of commerce to provide health or dental care coverage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an organized delivery system licensed by the director of public health to provide health or dental care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The participating health or dental plan shall provide coverage for the services specified in rule </w:t>
      </w:r>
      <w:hyperlink r:id="rId55">
        <w:r>
          <w:rPr>
            <w:rStyle w:val="Hyperlink"/>
            <w:rFonts w:ascii="Times New Roman" w:hAnsi="Times New Roman"/>
            <w:b w:val="false"/>
            <w:i w:val="false"/>
            <w:color w:val="000000"/>
            <w:sz w:val="22"/>
          </w:rPr>
          <w:t>441—86.14</w:t>
        </w:r>
      </w:hyperlink>
      <w:r>
        <w:rPr>
          <w:rFonts w:ascii="Times New Roman" w:hAnsi="Times New Roman"/>
          <w:b w:val="false"/>
          <w:i w:val="false"/>
          <w:color w:val="000000"/>
          <w:sz w:val="22"/>
        </w:rPr>
        <w:t>(514I) to all children determined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shall make services it provides to hawki enrollees at least as accessible to the enrollees (in terms of timeliness, duration and scope) as those services are accessible to other commercial enrollees in the area served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health plans shall ensure that emergency services (inpatient and outpatient) are available for treatment of an emergency medical condition 24 hours a day, seven days a week, either through the health plan’s own providers or through arrangements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participating health or dental plan does not provide statewide coverage, the health or dental plan shall participate in every county in which it is licensed and in which a provider network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86.15(3)</w:t>
      </w:r>
      <w:r>
        <w:rPr>
          <w:rFonts w:ascii="Times New Roman" w:hAnsi="Times New Roman"/>
          <w:b w:val="false"/>
          <w:i w:val="false"/>
          <w:color w:val="000000"/>
          <w:sz w:val="22"/>
        </w:rPr>
        <w:t> </w:t>
      </w:r>
      <w:r>
        <w:rPr>
          <w:rFonts w:ascii="Times New Roman" w:hAnsi="Times New Roman"/>
          <w:b w:val="false"/>
          <w:i/>
          <w:color w:val="000000"/>
          <w:sz w:val="22"/>
        </w:rPr>
        <w:t xml:space="preserve">Premium tax. </w:t>
      </w:r>
      <w:r>
        <w:rPr>
          <w:rFonts w:ascii="Times New Roman" w:hAnsi="Times New Roman"/>
          <w:b w:val="false"/>
          <w:i w:val="false"/>
          <w:color w:val="000000"/>
          <w:sz w:val="22"/>
        </w:rPr>
        <w:t>Premiums paid to participating health and dental plans by the department are exempt from premium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86.15(4)</w:t>
      </w:r>
      <w:r>
        <w:rPr>
          <w:rFonts w:ascii="Times New Roman" w:hAnsi="Times New Roman"/>
          <w:b w:val="false"/>
          <w:i w:val="false"/>
          <w:color w:val="000000"/>
          <w:sz w:val="22"/>
        </w:rPr>
        <w:t>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The participating health or dental plan shall establish a network of providers. Providers contracting with the participating health or dental plan shall comply with hawki requirements, which shall include collecting copayments,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Identification cards shall be issued by the participating health or dental plan to the enrollees for use in securing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86.15(6)</w:t>
      </w:r>
      <w:r>
        <w:rPr>
          <w:rFonts w:ascii="Times New Roman" w:hAnsi="Times New Roman"/>
          <w:b w:val="false"/>
          <w:i w:val="false"/>
          <w:color w:val="000000"/>
          <w:sz w:val="22"/>
        </w:rPr>
        <w:t> </w:t>
      </w:r>
      <w:r>
        <w:rPr>
          <w:rFonts w:ascii="Times New Roman" w:hAnsi="Times New Roman"/>
          <w:b w:val="false"/>
          <w:i/>
          <w:color w:val="000000"/>
          <w:sz w:val="22"/>
        </w:rPr>
        <w:t xml:space="preserve">Marketing.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health and dental plans may not distribute directly or through an agent or independent contractor any marketing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marketing materials require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participating health and dental plans must provide the following material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member handbook that fully explains the services available, how and when to obtain them, and special factors applicable to the hawki enrollees. At a minimum the handbook shall include covered services, network providers, exclusions, emergency services procedures, 24-hour toll-free number for certification of services, daytime number to call for assistance, appeal procedures, enrollee rights and responsibilities, and definitions of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available in English and any other language when enrollment in the health or dental plan by enrollees who speak the same non-English language equals or exceeds 10 percent of all enrollees in the health or dental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and dental plans shall not, directly or indirectly, conduct door-to-door, telephonic, or other “cold-call”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may make marketing presentations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86.15(7)</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participating health or dental plan shall have a written procedure by which enrollees may appeal issues concerning the health or dental care services provided through providers contracted with the health or dental plan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approved by the department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Acknowledges receipt of the appeal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Establishes time frames which ensure that appeals be resolved within 45 days, except for appeals which involve emergency medical conditions, which shall be resolved within time frames appropriate to the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participation of persons with authority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the decision be made by a physician, dentist, or clinical peer not previously involved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the confidentiality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issuance of a written decision to the enrollee for each appeal which shall contain an adequate explanation of the action taken and the reason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Maintains a log of the appeals which is made available to the department at its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Ensures that the participating health or dental plan’s written appeal procedures be provided to each newly covered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Requires that the participating health or dental plan make quarterly reports to the department summarizing appeals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86.15(8)</w:t>
      </w:r>
      <w:r>
        <w:rPr>
          <w:rFonts w:ascii="Times New Roman" w:hAnsi="Times New Roman"/>
          <w:b w:val="false"/>
          <w:i w:val="false"/>
          <w:color w:val="000000"/>
          <w:sz w:val="22"/>
        </w:rPr>
        <w:t> </w:t>
      </w:r>
      <w:r>
        <w:rPr>
          <w:rFonts w:ascii="Times New Roman" w:hAnsi="Times New Roman"/>
          <w:b w:val="false"/>
          <w:i/>
          <w:color w:val="000000"/>
          <w:sz w:val="22"/>
        </w:rPr>
        <w:t xml:space="preserve">Appeals to the department.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1/13/99</w:t>
      </w:r>
      <w:r>
        <w:rPr>
          <w:rFonts w:ascii="Times New Roman" w:hAnsi="Times New Roman"/>
          <w:b w:val="false"/>
          <w:i w:val="false"/>
          <w:color w:val="000000"/>
          <w:sz w:val="22"/>
        </w:rPr>
        <w:t>, effective 1/1/99.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86.15(9)</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w:t>
      </w:r>
      <w:r>
        <w:rPr>
          <w:rFonts w:ascii="Times New Roman" w:hAnsi="Times New Roman"/>
          <w:b w:val="false"/>
          <w:i w:val="false"/>
          <w:color w:val="000000"/>
          <w:sz w:val="22"/>
        </w:rPr>
        <w:t>The participating health and dental plans shall maintain records and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or dental plan shall comply with the provisions of rule </w:t>
      </w:r>
      <w:hyperlink r:id="rId5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regarding maintenance and retention of clinical and fiscal records and shall file a letter with the commissioner of insurance as described in Iowa Code section </w:t>
      </w:r>
      <w:hyperlink r:id="rId57">
        <w:r>
          <w:rPr>
            <w:rStyle w:val="Hyperlink"/>
            <w:rFonts w:ascii="Times New Roman" w:hAnsi="Times New Roman"/>
            <w:b w:val="false"/>
            <w:i w:val="false"/>
            <w:color w:val="000000"/>
            <w:sz w:val="22"/>
          </w:rPr>
          <w:t>228.7</w:t>
        </w:r>
      </w:hyperlink>
      <w:r>
        <w:rPr>
          <w:rFonts w:ascii="Times New Roman" w:hAnsi="Times New Roman"/>
          <w:b w:val="false"/>
          <w:i w:val="false"/>
          <w:color w:val="000000"/>
          <w:sz w:val="22"/>
        </w:rPr>
        <w:t>. In addition, the health or dental plan or subcontractor of the health or dental plan, as appropriate, must maintain a medical or dental records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each medical or dental record by hawki enrollee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complete medical or dental record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a specific medical or dental record on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Meets state and federal reporting requirements applicable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the confidentiality of medical or dental records information and releases the information only in accordance with established policy below: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medical and dental records of the enrollee shall be confidential and shall not be released without the written consent of the enrollee or responsible party.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Written consent is not required for the transmission of medical or dental records information to physicians, dentists, other practitioners, or facilities that are providing services to enrollees under a subcontract with the health or dental plan. This provision also applies to specialty providers who are retained by the health or dental plan to provide services which are infrequently used, which provide a support system service to the operation of the health or dental plan, or which are of an unusual nature. This provision is also intended to waive the need for written consent for department staff assisting in the administration of the program, reviewers from the peer review organization (PRO), monitoring authorities from the Centers for Medicare and Medicaid Services (CMS), the health or dental plan itself, and other subcontractors which require information as described under numbered paragraph “5” below.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Written consent is not required for the transmission of medical or dental records information to physicians, dentists, or facilities providing emergency care pursuant to paragraph </w:t>
      </w:r>
      <w:hyperlink r:id="rId58">
        <w:r>
          <w:rPr>
            <w:rStyle w:val="Hyperlink"/>
            <w:rFonts w:ascii="Times New Roman" w:hAnsi="Times New Roman"/>
            <w:b w:val="false"/>
            <w:i w:val="false"/>
            <w:color w:val="000000"/>
            <w:sz w:val="22"/>
          </w:rPr>
          <w:t>86.15(2)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Written consent is required for the transmission of the medical or dental records information of a former enrollee to any physician or dentist not connected with the health or dental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extent of medical or dental records information to be released in each instance shall be based upon a test of medical or dental necessity and a “need to know” on the part of the practitioner or a facility requesting the information.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Medical and dental records maintained by subcontractors shall meet the requirements of this rule.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Written consent is required for the transmission of medical records relating to substance abuse, HIV, or mental health treatment in accordance with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provide at a minimum reports and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providers of services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Encounter data on a monthly basis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at a minimum provide reports and health or dental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plan’s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a health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Periodic financial, utilization and statistical reports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Time-specific reports which define activity for child health care, appeals and other designated activities which may, at the department’s discretion, vary among plans, depending on the services covered or other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86.15(10)</w:t>
      </w:r>
      <w:r>
        <w:rPr>
          <w:rFonts w:ascii="Times New Roman" w:hAnsi="Times New Roman"/>
          <w:b w:val="false"/>
          <w:i w:val="false"/>
          <w:color w:val="000000"/>
          <w:sz w:val="22"/>
        </w:rPr>
        <w:t> </w:t>
      </w:r>
      <w:r>
        <w:rPr>
          <w:rFonts w:ascii="Times New Roman" w:hAnsi="Times New Roman"/>
          <w:b w:val="false"/>
          <w:i/>
          <w:color w:val="000000"/>
          <w:sz w:val="22"/>
        </w:rPr>
        <w:t xml:space="preserve"> System. </w:t>
      </w:r>
      <w:r>
        <w:rPr>
          <w:rFonts w:ascii="Times New Roman" w:hAnsi="Times New Roman"/>
          <w:b w:val="false"/>
          <w:i w:val="false"/>
          <w:color w:val="000000"/>
          <w:sz w:val="22"/>
        </w:rPr>
        <w:t>The participating health or dental plan shall maintain data files that are compatible with the department’s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86.15(11)</w:t>
      </w:r>
      <w:r>
        <w:rPr>
          <w:rFonts w:ascii="Times New Roman" w:hAnsi="Times New Roman"/>
          <w:b w:val="false"/>
          <w:i w:val="false"/>
          <w:color w:val="000000"/>
          <w:sz w:val="22"/>
        </w:rPr>
        <w:t> </w:t>
      </w:r>
      <w:r>
        <w:rPr>
          <w:rFonts w:ascii="Times New Roman" w:hAnsi="Times New Roman"/>
          <w:b w:val="false"/>
          <w:i/>
          <w:color w:val="000000"/>
          <w:sz w:val="22"/>
        </w:rPr>
        <w:t xml:space="preserve">Payment to the participating health or dental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consideration for all services rendered by a health or dental plan, the health or dental plan shall receive a payment each month for each enrollee. This capitation rate represents the total obligation of the department with respect to the costs of medical or dental care and services provided to the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capitation rate shall be actuarially determined by the department July of 2000 and each fiscal year thereafter using statistics and data assumptions and relevant experience derived from similar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capitation rate does not include any amounts for the recoupment of losses suffered by the health or dental plan for risks assumed under the current or any previous contract. The health or dental plan accepts the rate as payment in full for the contracted services. Any savings realized by the health or dental plan due to lower utilization from a less frequent incidence of health or dental problems among the enrolled population shall be wholly retained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enrollee has third-party coverage or a responsible party other than the hawki program available for purposes of payment for medical or dental expenses, it is the right and responsibility of the health or dental plan to investigate these third-party resources and attempt to obtain payment. The health or dental plan shall retain all funds collected through third-party sources. A complete record of all income from these sources must be maintained and made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86.15(12)</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The health or dental plan shall have in effect an internal quality assurance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441—86.16</w:t>
      </w:r>
      <w:r>
        <w:rPr>
          <w:rFonts w:ascii="Times New Roman" w:hAnsi="Times New Roman"/>
          <w:b/>
          <w:i w:val="false"/>
          <w:color w:val="000000"/>
          <w:sz w:val="22"/>
        </w:rPr>
        <w:t xml:space="preserve">(514I) </w:t>
      </w:r>
      <w:r>
        <w:rPr>
          <w:rFonts w:ascii="Times New Roman" w:hAnsi="Times New Roman"/>
          <w:b/>
          <w:i w:val="false"/>
          <w:color w:val="000000"/>
          <w:sz w:val="22"/>
        </w:rPr>
        <w:t xml:space="preserve">Clinical advisory committee. </w:t>
      </w:r>
      <w:r>
        <w:rPr>
          <w:rFonts w:ascii="Times New Roman" w:hAnsi="Times New Roman"/>
          <w:b w:val="false"/>
          <w:i w:val="false"/>
          <w:color w:val="000000"/>
          <w:sz w:val="22"/>
        </w:rPr>
        <w:t xml:space="preserve">Members of the clinical advisory committee established in accordance with the provisions of </w:t>
      </w:r>
      <w:hyperlink r:id="rId59">
        <w:r>
          <w:rPr>
            <w:rStyle w:val="Hyperlink"/>
            <w:rFonts w:ascii="Times New Roman" w:hAnsi="Times New Roman"/>
            <w:b w:val="false"/>
            <w:i w:val="false"/>
            <w:color w:val="000000"/>
            <w:sz w:val="22"/>
          </w:rPr>
          <w:t>441—paragraph 1.10(2)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appointed to three-year terms. Members may be appointed for more than one term. No more than one-third of the membership of the committee shall rotate off the committee in any given calendar year.</w:t>
      </w:r>
    </w:p>
    <w:p>
      <w:pPr>
        <w:spacing w:before="0" w:after="0"/>
        <w:ind w:left="120"/>
        <w:jc w:val="both"/>
      </w:pPr>
      <w:r>
        <w:rPr>
          <w:rFonts w:ascii="Times New Roman" w:hAnsi="Times New Roman"/>
          <w:b/>
          <w:i w:val="false"/>
          <w:color w:val="000000"/>
          <w:sz w:val="22"/>
        </w:rPr>
        <w:t>441—86.17</w:t>
      </w:r>
      <w:r>
        <w:rPr>
          <w:rFonts w:ascii="Times New Roman" w:hAnsi="Times New Roman"/>
          <w:b/>
          <w:i w:val="false"/>
          <w:color w:val="000000"/>
          <w:sz w:val="22"/>
        </w:rPr>
        <w:t xml:space="preserve">(514I) </w:t>
      </w:r>
      <w:r>
        <w:rPr>
          <w:rFonts w:ascii="Times New Roman" w:hAnsi="Times New Roman"/>
          <w:b/>
          <w:i w:val="false"/>
          <w:color w:val="000000"/>
          <w:sz w:val="22"/>
        </w:rPr>
        <w:t xml:space="preserve">Use of donations to the hawki program. </w:t>
      </w:r>
      <w:r>
        <w:rPr>
          <w:rFonts w:ascii="Times New Roman" w:hAnsi="Times New Roman"/>
          <w:b w:val="false"/>
          <w:i w:val="false"/>
          <w:color w:val="000000"/>
          <w:sz w:val="22"/>
        </w:rPr>
        <w:t>If an individual or other entity makes a monetary donation to the hawki program, the department shall deposit the donation into the hawki trust fund. The department shall track all donations separately and shall not commingle the donations with other moneys in the trust fund. The department shall report the receipt of all donations to the hawki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val="false"/>
          <w:color w:val="000000"/>
          <w:sz w:val="22"/>
        </w:rPr>
        <w:t>If the donor specifically identifies the purpose of the donation, regardless of the amount, the donation shall be used as specified by the donor as long as the identified purpose is permissible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val="false"/>
          <w:color w:val="000000"/>
          <w:sz w:val="22"/>
        </w:rPr>
        <w:t>If the donation is less than $5,000 and the donor does not specifically identify how it is to be used, the department shall use the moneys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direct benefit of enrollees (e.g.,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outreach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other purposes as determined by the hawki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val="false"/>
          <w:color w:val="000000"/>
          <w:sz w:val="22"/>
        </w:rPr>
        <w:t>If the donation is more than $5,000 and the donor does not specify how the funds are to be used, the hawki board shall determine how the funds are to be used.</w:t>
      </w:r>
    </w:p>
    <w:p>
      <w:pPr>
        <w:spacing w:before="0" w:after="0"/>
        <w:ind w:left="120"/>
        <w:jc w:val="both"/>
      </w:pPr>
      <w:r>
        <w:rPr>
          <w:rFonts w:ascii="Times New Roman" w:hAnsi="Times New Roman"/>
          <w:b/>
          <w:i w:val="false"/>
          <w:color w:val="000000"/>
          <w:sz w:val="22"/>
        </w:rPr>
        <w:t>441—86.18</w:t>
      </w:r>
      <w:r>
        <w:rPr>
          <w:rFonts w:ascii="Times New Roman" w:hAnsi="Times New Roman"/>
          <w:b/>
          <w:i w:val="false"/>
          <w:color w:val="000000"/>
          <w:sz w:val="22"/>
        </w:rPr>
        <w:t xml:space="preserve">(505) </w:t>
      </w:r>
      <w:r>
        <w:rPr>
          <w:rFonts w:ascii="Times New Roman" w:hAnsi="Times New Roman"/>
          <w:b/>
          <w:i w:val="false"/>
          <w:color w:val="000000"/>
          <w:sz w:val="22"/>
        </w:rPr>
        <w:t xml:space="preserve">Health insurance data match program. </w:t>
      </w:r>
      <w:r>
        <w:rPr>
          <w:rFonts w:ascii="Times New Roman" w:hAnsi="Times New Roman"/>
          <w:b w:val="false"/>
          <w:i w:val="false"/>
          <w:color w:val="000000"/>
          <w:sz w:val="22"/>
        </w:rPr>
        <w:t xml:space="preserve">All carriers, as defined in Iowa Code section </w:t>
      </w:r>
      <w:hyperlink r:id="rId60">
        <w:r>
          <w:rPr>
            <w:rStyle w:val="Hyperlink"/>
            <w:rFonts w:ascii="Times New Roman" w:hAnsi="Times New Roman"/>
            <w:b w:val="false"/>
            <w:i w:val="false"/>
            <w:color w:val="000000"/>
            <w:sz w:val="22"/>
          </w:rPr>
          <w:t>514C.13</w:t>
        </w:r>
      </w:hyperlink>
      <w:r>
        <w:rPr>
          <w:rFonts w:ascii="Times New Roman" w:hAnsi="Times New Roman"/>
          <w:b w:val="false"/>
          <w:i w:val="false"/>
          <w:color w:val="000000"/>
          <w:sz w:val="22"/>
        </w:rPr>
        <w:t xml:space="preserve">, shall enter into an agreement with the department to provide data necessary to allow the department to comply with the mandate of Iowa Code section </w:t>
      </w:r>
      <w:hyperlink r:id="rId61">
        <w:r>
          <w:rPr>
            <w:rStyle w:val="Hyperlink"/>
            <w:rFonts w:ascii="Times New Roman" w:hAnsi="Times New Roman"/>
            <w:b w:val="false"/>
            <w:i w:val="false"/>
            <w:color w:val="000000"/>
            <w:sz w:val="22"/>
          </w:rPr>
          <w:t>505.25</w:t>
        </w:r>
      </w:hyperlink>
      <w:r>
        <w:rPr>
          <w:rFonts w:ascii="Times New Roman" w:hAnsi="Times New Roman"/>
          <w:b w:val="false"/>
          <w:i w:val="false"/>
          <w:color w:val="000000"/>
          <w:sz w:val="22"/>
        </w:rPr>
        <w:t>. Each carrier shall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Enter into and maintain an agreement with the department on Form 470-4435, Hawki Data Use Agreement;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proof of an existing agreement with the department or the department’s designee.</w:t>
      </w:r>
    </w:p>
    <w:p>
      <w:pPr>
        <w:spacing w:before="0" w:after="0"/>
        <w:ind w:left="120"/>
        <w:jc w:val="both"/>
      </w:pPr>
      <w:r>
        <w:rPr>
          <w:rFonts w:ascii="Times New Roman" w:hAnsi="Times New Roman"/>
          <w:b/>
          <w:i w:val="false"/>
          <w:color w:val="000000"/>
          <w:sz w:val="22"/>
        </w:rPr>
        <w:t>441—86.19</w:t>
      </w:r>
      <w:r>
        <w:rPr>
          <w:rFonts w:ascii="Times New Roman" w:hAnsi="Times New Roman"/>
          <w:b/>
          <w:i w:val="false"/>
          <w:color w:val="000000"/>
          <w:sz w:val="22"/>
        </w:rPr>
        <w:t xml:space="preserve">(514I)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error” </w:t>
      </w:r>
      <w:r>
        <w:rPr>
          <w:rFonts w:ascii="Times New Roman" w:hAnsi="Times New Roman"/>
          <w:b w:val="false"/>
          <w:i w:val="false"/>
          <w:color w:val="000000"/>
          <w:sz w:val="22"/>
        </w:rPr>
        <w:t>means an action of the department that results in incorrect payment of benefits, including premiums paid to a health or dental plan, due to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Misfiled or lost form or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request essential verification necessary to make an accurate eligibility determination.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make timely revision in eligibility following a change in policy requiring application of the policy change as of a specific date.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issue timely notice to cancel benefits that results in benefits continuing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any action or inaction of the enrollee or the enrollee’s representative that results in incorrect payment of benefits, including premiums paid to a health or dental plan, because at least one of the following occurred: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enrollee or the enrollee’s representative failed to disclose information or gave a false or misleading statement, oral or written, regarding income or another eligibility factor;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enrollee or the enrollee’s representative failed to timely report a change as defined in rule </w:t>
      </w:r>
      <w:hyperlink r:id="rId62">
        <w:r>
          <w:rPr>
            <w:rStyle w:val="Hyperlink"/>
            <w:rFonts w:ascii="Times New Roman" w:hAnsi="Times New Roman"/>
            <w:b w:val="false"/>
            <w:i w:val="false"/>
            <w:color w:val="000000"/>
            <w:sz w:val="22"/>
          </w:rPr>
          <w:t>441—86.10</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86.19(2)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from the enrollee or representative. </w:t>
      </w:r>
      <w:r>
        <w:rPr>
          <w:rFonts w:ascii="Times New Roman" w:hAnsi="Times New Roman"/>
          <w:b w:val="false"/>
          <w:i w:val="false"/>
          <w:color w:val="000000"/>
          <w:sz w:val="22"/>
        </w:rPr>
        <w:t xml:space="preserve">The department may recover from the enrollee or the enrollee’s representative the amount of premiums incorrectly paid to a health or dental plan on behalf of the enrollee due to client error, minus any premium payments made by the enrollee, in accordance with </w:t>
      </w:r>
      <w:hyperlink r:id="rId63">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Premiums incorrectly paid to a health or dental plan on behalf of an enrollee due to an administrative error are not subject to recovery from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by a health or dental plan to a provider of medical or dental services are not subject to recovery from the enrollee regardless of the 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86.19(3)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enrollee shall be promptly notified when it is determined that funds were incorrectly paid due to a client error.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for whom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86.19(4)</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Recovery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the enrollee when the enrollee completed the application and had responsibility for reporting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enrollee’s representative (i.e., the parent, guardian, or other responsible person acting on behalf of an enrollee who is under the age of 19) when the representative completed the application and had responsibility for reporting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or representative shall repay to the department the funds incorrectly expended on behalf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Recovery may come from income, income tax refunds, lottery winnings, or other resources of the enrollee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86.19(5)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enrollee shall have the right to appeal a decision to recover benefits under the provisions of </w:t>
      </w:r>
      <w:hyperlink r:id="rId6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8839B</w:t>
      </w:r>
      <w:r>
        <w:rPr>
          <w:rFonts w:ascii="Times New Roman" w:hAnsi="Times New Roman"/>
          <w:b w:val="false"/>
          <w:i w:val="false"/>
          <w:color w:val="000000"/>
          <w:sz w:val="16"/>
        </w:rPr>
        <w:t>, IAB 6/16/10, effective 8/1/10</w:t>
      </w:r>
      <w:r>
        <w:rPr>
          <w:rFonts w:ascii="Times New Roman" w:hAnsi="Times New Roman"/>
          <w:b w:val="false"/>
          <w:i w:val="false"/>
          <w:color w:val="000000"/>
          <w:sz w:val="16"/>
        </w:rPr>
        <w:t xml:space="preserve">; </w:t>
      </w:r>
      <w:r>
        <w:rPr>
          <w:rFonts w:ascii="Times New Roman" w:hAnsi="Times New Roman"/>
          <w:b/>
          <w:i w:val="false"/>
          <w:color w:val="000000"/>
          <w:sz w:val="16"/>
        </w:rPr>
        <w:t>ARC 0552C</w:t>
      </w:r>
      <w:r>
        <w:rPr>
          <w:rFonts w:ascii="Times New Roman" w:hAnsi="Times New Roman"/>
          <w:b w:val="false"/>
          <w:i w:val="false"/>
          <w:color w:val="000000"/>
          <w:sz w:val="16"/>
        </w:rPr>
        <w:t>, IAB 1/9/13,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441—86.20</w:t>
      </w:r>
      <w:r>
        <w:rPr>
          <w:rFonts w:ascii="Times New Roman" w:hAnsi="Times New Roman"/>
          <w:b/>
          <w:i w:val="false"/>
          <w:color w:val="000000"/>
          <w:sz w:val="22"/>
        </w:rPr>
        <w:t xml:space="preserve">(514I) </w:t>
      </w:r>
      <w:r>
        <w:rPr>
          <w:rFonts w:ascii="Times New Roman" w:hAnsi="Times New Roman"/>
          <w:b/>
          <w:i w:val="false"/>
          <w:color w:val="000000"/>
          <w:sz w:val="22"/>
        </w:rPr>
        <w:t xml:space="preserve">Supplemental dental-only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86.20(1)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dental-only coverage” </w:t>
      </w:r>
      <w:r>
        <w:rPr>
          <w:rFonts w:ascii="Times New Roman" w:hAnsi="Times New Roman"/>
          <w:b w:val="false"/>
          <w:i w:val="false"/>
          <w:color w:val="000000"/>
          <w:sz w:val="22"/>
        </w:rPr>
        <w:t>means dental care coverage provided to a child who meets the eligibility requirements for the hawki program except that the child is covered by health insurance through an individual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86.20(2)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Unless otherwise specified, eligibility for supplemental dental-only coverage shall be determined in accordance with the provisions of rules 441—86.2(514I) through 441— 86.12(514I) and </w:t>
      </w:r>
      <w:hyperlink r:id="rId65">
        <w:r>
          <w:rPr>
            <w:rStyle w:val="Hyperlink"/>
            <w:rFonts w:ascii="Times New Roman" w:hAnsi="Times New Roman"/>
            <w:b w:val="false"/>
            <w:i w:val="false"/>
            <w:color w:val="000000"/>
            <w:sz w:val="22"/>
          </w:rPr>
          <w:t>441—86.19</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86.20(3)</w:t>
      </w:r>
      <w:r>
        <w:rPr>
          <w:rFonts w:ascii="Times New Roman" w:hAnsi="Times New Roman"/>
          <w:b w:val="false"/>
          <w:i w:val="false"/>
          <w:color w:val="000000"/>
          <w:sz w:val="22"/>
        </w:rPr>
        <w:t> </w:t>
      </w:r>
      <w:r>
        <w:rPr>
          <w:rFonts w:ascii="Times New Roman" w:hAnsi="Times New Roman"/>
          <w:b w:val="false"/>
          <w:i/>
          <w:color w:val="000000"/>
          <w:sz w:val="22"/>
        </w:rPr>
        <w:t xml:space="preserve">Premiums. </w:t>
      </w:r>
      <w:r>
        <w:rPr>
          <w:rFonts w:ascii="Times New Roman" w:hAnsi="Times New Roman"/>
          <w:b w:val="false"/>
          <w:i w:val="false"/>
          <w:color w:val="000000"/>
          <w:sz w:val="22"/>
        </w:rPr>
        <w:t>Premiums for participation in the supplemental dental-only plan are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to families whose countable income is less than or equal to 167 percent of the federal poverty level for a family of the same size using the modified adjusted gross income methodology or to an eligible child who is an 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168 percent of the federal poverty level but does not exceed 203 percent of the federal poverty level for a family of the same size, the premium is $5 per child per month with a $10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203 percent of the federal poverty level but does not exceed 254 percent of the federal poverty level for a family of the same size, the premium is $10 per child per month with a $15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254 percent of the federal poverty level for a family of the same size, the premium is $15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family includes uninsured children who are eligible for both medical and dental coverage under hawki and insured children who are eligible only for dental coverage, the premium shall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premium shall be no more than the amount that the family would pay if all the children were eligible for both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family has one child eligible for both medical and dental coverage and one child eligible for dental coverage only, the premium shall be the total of the health and dental premium for one child and the dental premium for one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family has two or more children eligible for both medical and dental coverage, no additional premium shall be assessed for dental-only coverage for the children who do not qualify for medical coverage under hawki because they are covered by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66">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to </w:t>
      </w:r>
      <w:hyperlink r:id="rId67">
        <w:r>
          <w:rPr>
            <w:rStyle w:val="Hyperlink"/>
            <w:rFonts w:ascii="Times New Roman" w:hAnsi="Times New Roman"/>
            <w:b w:val="false"/>
            <w:i w:val="false"/>
            <w:color w:val="000000"/>
            <w:sz w:val="22"/>
          </w:rPr>
          <w:t>86.8(6)</w:t>
        </w:r>
      </w:hyperlink>
      <w:r>
        <w:rPr>
          <w:rFonts w:ascii="Times New Roman" w:hAnsi="Times New Roman"/>
          <w:b w:val="false"/>
          <w:i w:val="false"/>
          <w:color w:val="000000"/>
          <w:sz w:val="22"/>
        </w:rPr>
        <w:t xml:space="preserve"> apply to premiums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86.20(4)</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 xml:space="preserve">Before the provisions of subrule </w:t>
      </w:r>
      <w:hyperlink r:id="rId68">
        <w:r>
          <w:rPr>
            <w:rStyle w:val="Hyperlink"/>
            <w:rFonts w:ascii="Times New Roman" w:hAnsi="Times New Roman"/>
            <w:b w:val="false"/>
            <w:i w:val="false"/>
            <w:color w:val="000000"/>
            <w:sz w:val="22"/>
          </w:rPr>
          <w:t>86.3(10)</w:t>
        </w:r>
      </w:hyperlink>
      <w:r>
        <w:rPr>
          <w:rFonts w:ascii="Times New Roman" w:hAnsi="Times New Roman"/>
          <w:b w:val="false"/>
          <w:i w:val="false"/>
          <w:color w:val="000000"/>
          <w:sz w:val="22"/>
        </w:rPr>
        <w:t xml:space="preserve"> are implemented, all children enrolled in supplemental dental-only coverage shall be disenrolled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8478B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9083B</w:t>
      </w:r>
      <w:r>
        <w:rPr>
          <w:rFonts w:ascii="Times New Roman" w:hAnsi="Times New Roman"/>
          <w:b w:val="false"/>
          <w:i w:val="false"/>
          <w:color w:val="000000"/>
          <w:sz w:val="16"/>
        </w:rPr>
        <w:t>, IAB 9/22/10,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0837C</w:t>
      </w:r>
      <w:r>
        <w:rPr>
          <w:rFonts w:ascii="Times New Roman" w:hAnsi="Times New Roman"/>
          <w:b w:val="false"/>
          <w:i w:val="false"/>
          <w:color w:val="000000"/>
          <w:sz w:val="16"/>
        </w:rPr>
        <w:t>, IAB 7/24/13,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1287C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2912C</w:t>
      </w:r>
      <w:r>
        <w:rPr>
          <w:rFonts w:ascii="Times New Roman" w:hAnsi="Times New Roman"/>
          <w:b w:val="false"/>
          <w:i w:val="false"/>
          <w:color w:val="000000"/>
          <w:sz w:val="16"/>
        </w:rPr>
        <w:t>, IAB 1/18/17,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4779C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5141C</w:t>
      </w:r>
      <w:r>
        <w:rPr>
          <w:rFonts w:ascii="Times New Roman" w:hAnsi="Times New Roman"/>
          <w:b w:val="false"/>
          <w:i w:val="false"/>
          <w:color w:val="000000"/>
          <w:sz w:val="16"/>
        </w:rPr>
        <w:t>, IAB 8/12/20, effective 12/1/20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9">
        <w:r>
          <w:rPr>
            <w:rStyle w:val="Hyperlink"/>
            <w:rFonts w:ascii="Times New Roman" w:hAnsi="Times New Roman"/>
            <w:b w:val="false"/>
            <w:i w:val="false"/>
            <w:color w:val="000000"/>
            <w:sz w:val="22"/>
          </w:rPr>
          <w:t>514I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389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12/23/98—published 1/13/99, effective 1/1/99]</w:t>
      </w:r>
    </w:p>
    <w:p>
      <w:pPr>
        <w:spacing w:before="0" w:after="0"/>
        <w:ind w:left="120"/>
        <w:jc w:val="center"/>
      </w:pPr>
      <w:r>
        <w:rPr>
          <w:rFonts w:ascii="Times New Roman" w:hAnsi="Times New Roman"/>
          <w:b w:val="false"/>
          <w:i w:val="false"/>
          <w:color w:val="000000"/>
          <w:sz w:val="21"/>
        </w:rPr>
        <w:t>[Filed 2/17/99, Notice 1/13/99—published 3/10/99, effective 5/1/99]</w:t>
      </w:r>
    </w:p>
    <w:p>
      <w:pPr>
        <w:spacing w:before="0" w:after="0"/>
        <w:ind w:left="120"/>
        <w:jc w:val="center"/>
      </w:pPr>
      <w:r>
        <w:rPr>
          <w:rFonts w:ascii="Times New Roman" w:hAnsi="Times New Roman"/>
          <w:b w:val="false"/>
          <w:i w:val="false"/>
          <w:color w:val="000000"/>
          <w:sz w:val="21"/>
        </w:rPr>
        <w:t>[Filed emergency 3/22/99—published 4/7/99, effective 4/1/99]</w:t>
      </w:r>
    </w:p>
    <w:p>
      <w:pPr>
        <w:spacing w:before="0" w:after="0"/>
        <w:ind w:left="120"/>
        <w:jc w:val="center"/>
      </w:pPr>
      <w:r>
        <w:rPr>
          <w:rFonts w:ascii="Times New Roman" w:hAnsi="Times New Roman"/>
          <w:b w:val="false"/>
          <w:i w:val="false"/>
          <w:color w:val="000000"/>
          <w:sz w:val="21"/>
        </w:rPr>
        <w:t>[Filed 5/21/99, Notice 4/7/99—published 6/16/99, effective 8/1/99]</w:t>
      </w:r>
    </w:p>
    <w:p>
      <w:pPr>
        <w:spacing w:before="0" w:after="0"/>
        <w:ind w:left="120"/>
        <w:jc w:val="center"/>
      </w:pPr>
      <w:r>
        <w:rPr>
          <w:rFonts w:ascii="Times New Roman" w:hAnsi="Times New Roman"/>
          <w:b w:val="false"/>
          <w:i w:val="false"/>
          <w:color w:val="000000"/>
          <w:sz w:val="21"/>
        </w:rPr>
        <w:t>[Filed 9/21/99, Notice 8/11/99—published 10/20/99, effective 12/1/99]</w:t>
      </w:r>
    </w:p>
    <w:p>
      <w:pPr>
        <w:spacing w:before="0" w:after="0"/>
        <w:ind w:left="120"/>
        <w:jc w:val="center"/>
      </w:pPr>
      <w:r>
        <w:rPr>
          <w:rFonts w:ascii="Times New Roman" w:hAnsi="Times New Roman"/>
          <w:b w:val="false"/>
          <w:i w:val="false"/>
          <w:color w:val="000000"/>
          <w:sz w:val="21"/>
        </w:rPr>
        <w:t>[Filed emergency 1/31/00 after Notice 12/15/99—published 2/23/00, effective 2/1/00]</w:t>
      </w:r>
    </w:p>
    <w:p>
      <w:pPr>
        <w:spacing w:before="0" w:after="0"/>
        <w:ind w:left="120"/>
        <w:jc w:val="center"/>
      </w:pPr>
      <w:r>
        <w:rPr>
          <w:rFonts w:ascii="Times New Roman" w:hAnsi="Times New Roman"/>
          <w:b w:val="false"/>
          <w:i w:val="false"/>
          <w:color w:val="000000"/>
          <w:sz w:val="21"/>
        </w:rPr>
        <w:t>[Filed emergency 5/23/00—published 6/14/00, effective 7/1/00]</w:t>
      </w:r>
    </w:p>
    <w:p>
      <w:pPr>
        <w:spacing w:before="0" w:after="0"/>
        <w:ind w:left="120"/>
        <w:jc w:val="center"/>
      </w:pPr>
      <w:r>
        <w:rPr>
          <w:rFonts w:ascii="Times New Roman" w:hAnsi="Times New Roman"/>
          <w:b w:val="false"/>
          <w:i w:val="false"/>
          <w:color w:val="000000"/>
          <w:sz w:val="21"/>
        </w:rPr>
        <w:t>[Filed 8/30/00, Notice 6/14/00—published 9/20/00, effective 11/1/00]</w:t>
      </w:r>
    </w:p>
    <w:p>
      <w:pPr>
        <w:spacing w:before="0" w:after="0"/>
        <w:ind w:left="120"/>
        <w:jc w:val="center"/>
      </w:pPr>
      <w:r>
        <w:rPr>
          <w:rFonts w:ascii="Times New Roman" w:hAnsi="Times New Roman"/>
          <w:b w:val="false"/>
          <w:i w:val="false"/>
          <w:color w:val="000000"/>
          <w:sz w:val="21"/>
        </w:rPr>
        <w:t>[Filed 12/20/00, Notice 10/18/00—published 1/10/01, effective 3/1/01]</w:t>
      </w:r>
    </w:p>
    <w:p>
      <w:pPr>
        <w:spacing w:before="0" w:after="0"/>
        <w:ind w:left="120"/>
        <w:jc w:val="center"/>
      </w:pPr>
      <w:r>
        <w:rPr>
          <w:rFonts w:ascii="Times New Roman" w:hAnsi="Times New Roman"/>
          <w:b w:val="false"/>
          <w:i w:val="false"/>
          <w:color w:val="000000"/>
          <w:sz w:val="21"/>
        </w:rPr>
        <w:t>[Filed 9/19/01, Notice 8/8/01—published 10/17/01, effective 12/1/01]</w:t>
      </w:r>
    </w:p>
    <w:p>
      <w:pPr>
        <w:spacing w:before="0" w:after="0"/>
        <w:ind w:left="120"/>
        <w:jc w:val="center"/>
      </w:pPr>
      <w:r>
        <w:rPr>
          <w:rFonts w:ascii="Times New Roman" w:hAnsi="Times New Roman"/>
          <w:b w:val="false"/>
          <w:i w:val="false"/>
          <w:color w:val="000000"/>
          <w:sz w:val="21"/>
        </w:rPr>
        <w:t>[Filed 10/23/02, Notice 9/4/02—published 11/13/02, effective 1/1/03]</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7/1/04, Notice 5/12/04—published 7/21/04, effective 9/1/04]</w:t>
      </w:r>
    </w:p>
    <w:p>
      <w:pPr>
        <w:spacing w:before="0" w:after="0"/>
        <w:ind w:left="120"/>
        <w:jc w:val="center"/>
      </w:pPr>
      <w:r>
        <w:rPr>
          <w:rFonts w:ascii="Times New Roman" w:hAnsi="Times New Roman"/>
          <w:b w:val="false"/>
          <w:i w:val="false"/>
          <w:color w:val="000000"/>
          <w:sz w:val="21"/>
        </w:rPr>
        <w:t>[Filed emergency 10/19/04 after Notice 7/21/04—published 11/10/04,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12/22/05, Notice 9/14/05—published 1/18/06, effective 3/1/06]</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2/20/08, Notice 11/21/07—published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7770B</w:t>
      </w:r>
      <w:r>
        <w:rPr>
          <w:rFonts w:ascii="Times New Roman" w:hAnsi="Times New Roman"/>
          <w:b w:val="false"/>
          <w:i w:val="false"/>
          <w:color w:val="000000"/>
          <w:sz w:val="21"/>
        </w:rPr>
        <w:t xml:space="preserve"> (Notice ARC 7635B,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7881B, IAB 7/1/09, effective 7/1/09]</w:t>
      </w:r>
    </w:p>
    <w:p>
      <w:pPr>
        <w:spacing w:before="0" w:after="0"/>
        <w:ind w:left="120"/>
        <w:jc w:val="center"/>
      </w:pPr>
      <w:r>
        <w:rPr>
          <w:rFonts w:ascii="Times New Roman" w:hAnsi="Times New Roman"/>
          <w:b w:val="false"/>
          <w:i w:val="false"/>
          <w:color w:val="000000"/>
          <w:sz w:val="21"/>
        </w:rPr>
        <w:t>[Filed Emergency ARC 8127B, IAB 9/9/09, effective 9/1/09]</w:t>
      </w:r>
      <w:r>
        <w:rPr>
          <w:rFonts w:ascii="Times New Roman" w:hAnsi="Times New Roman"/>
          <w:b w:val="false"/>
          <w:i w:val="false"/>
          <w:color w:val="000000"/>
          <w:sz w:val="21"/>
        </w:rPr>
        <w:t>[Filed ARC 8109B</w:t>
      </w:r>
      <w:r>
        <w:rPr>
          <w:rFonts w:ascii="Times New Roman" w:hAnsi="Times New Roman"/>
          <w:b w:val="false"/>
          <w:i w:val="false"/>
          <w:color w:val="000000"/>
          <w:sz w:val="21"/>
        </w:rPr>
        <w:t xml:space="preserve"> (Notice ARC 7882B,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8281B</w:t>
      </w:r>
      <w:r>
        <w:rPr>
          <w:rFonts w:ascii="Times New Roman" w:hAnsi="Times New Roman"/>
          <w:b w:val="false"/>
          <w:i w:val="false"/>
          <w:color w:val="000000"/>
          <w:sz w:val="21"/>
        </w:rPr>
        <w:t xml:space="preserve"> (Notice ARC 8128B, IAB 9/9/09)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ARC 8280B</w:t>
      </w:r>
      <w:r>
        <w:rPr>
          <w:rFonts w:ascii="Times New Roman" w:hAnsi="Times New Roman"/>
          <w:b w:val="false"/>
          <w:i w:val="false"/>
          <w:color w:val="000000"/>
          <w:sz w:val="21"/>
        </w:rPr>
        <w:t xml:space="preserve"> (Notice ARC 8110B, IAB 9/9/09)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8478B</w:t>
      </w:r>
      <w:r>
        <w:rPr>
          <w:rFonts w:ascii="Times New Roman" w:hAnsi="Times New Roman"/>
          <w:b w:val="false"/>
          <w:i w:val="false"/>
          <w:color w:val="000000"/>
          <w:sz w:val="21"/>
        </w:rPr>
        <w:t xml:space="preserve"> (Notice ARC 8112B, IAB 9/9/09)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8580B</w:t>
      </w:r>
      <w:r>
        <w:rPr>
          <w:rFonts w:ascii="Times New Roman" w:hAnsi="Times New Roman"/>
          <w:b w:val="false"/>
          <w:i w:val="false"/>
          <w:color w:val="000000"/>
          <w:sz w:val="21"/>
        </w:rPr>
        <w:t xml:space="preserve"> (Notice ARC 8279B, IAB 11/18/09)</w:t>
      </w:r>
      <w:r>
        <w:rPr>
          <w:rFonts w:ascii="Times New Roman" w:hAnsi="Times New Roman"/>
          <w:b w:val="false"/>
          <w:i w:val="false"/>
          <w:color w:val="000000"/>
          <w:sz w:val="21"/>
        </w:rPr>
        <w:t>, IAB 3/10/10, effective 3/1/10]</w:t>
      </w:r>
    </w:p>
    <w:p>
      <w:pPr>
        <w:spacing w:before="0" w:after="0"/>
        <w:ind w:left="120"/>
        <w:jc w:val="center"/>
      </w:pPr>
      <w:r>
        <w:rPr>
          <w:rFonts w:ascii="Times New Roman" w:hAnsi="Times New Roman"/>
          <w:b w:val="false"/>
          <w:i w:val="false"/>
          <w:color w:val="000000"/>
          <w:sz w:val="21"/>
        </w:rPr>
        <w:t>[Filed Emergency After Notice ARC 8838B</w:t>
      </w:r>
      <w:r>
        <w:rPr>
          <w:rFonts w:ascii="Times New Roman" w:hAnsi="Times New Roman"/>
          <w:b w:val="false"/>
          <w:i w:val="false"/>
          <w:color w:val="000000"/>
          <w:sz w:val="21"/>
        </w:rPr>
        <w:t xml:space="preserve"> (Notice ARC 8479B, IAB 1/13/10)</w:t>
      </w:r>
      <w:r>
        <w:rPr>
          <w:rFonts w:ascii="Times New Roman" w:hAnsi="Times New Roman"/>
          <w:b w:val="false"/>
          <w:i w:val="false"/>
          <w:color w:val="000000"/>
          <w:sz w:val="21"/>
        </w:rPr>
        <w:t>, IAB 6/16/10, effective 6/1/10]</w:t>
      </w:r>
      <w:r>
        <w:br/>
      </w:r>
      <w:r>
        <w:rPr>
          <w:rFonts w:ascii="Times New Roman" w:hAnsi="Times New Roman"/>
          <w:b w:val="false"/>
          <w:i w:val="false"/>
          <w:color w:val="000000"/>
          <w:sz w:val="21"/>
        </w:rPr>
        <w:t>[Filed ARC 8839B</w:t>
      </w:r>
      <w:r>
        <w:rPr>
          <w:rFonts w:ascii="Times New Roman" w:hAnsi="Times New Roman"/>
          <w:b w:val="false"/>
          <w:i w:val="false"/>
          <w:color w:val="000000"/>
          <w:sz w:val="21"/>
        </w:rPr>
        <w:t xml:space="preserve"> (Notice ARC 8581B, IAB 3/10/10)</w:t>
      </w:r>
      <w:r>
        <w:rPr>
          <w:rFonts w:ascii="Times New Roman" w:hAnsi="Times New Roman"/>
          <w:b w:val="false"/>
          <w:i w:val="false"/>
          <w:color w:val="000000"/>
          <w:sz w:val="21"/>
        </w:rPr>
        <w:t>, IAB 6/16/10, effective 8/1/10]</w:t>
      </w:r>
    </w:p>
    <w:p>
      <w:pPr>
        <w:spacing w:before="0" w:after="0"/>
        <w:ind w:left="120"/>
        <w:jc w:val="center"/>
      </w:pPr>
      <w:r>
        <w:rPr>
          <w:rFonts w:ascii="Times New Roman" w:hAnsi="Times New Roman"/>
          <w:b w:val="false"/>
          <w:i w:val="false"/>
          <w:color w:val="000000"/>
          <w:sz w:val="21"/>
        </w:rPr>
        <w:t>[Filed Emergency After Notice ARC 9083B</w:t>
      </w:r>
      <w:r>
        <w:rPr>
          <w:rFonts w:ascii="Times New Roman" w:hAnsi="Times New Roman"/>
          <w:b w:val="false"/>
          <w:i w:val="false"/>
          <w:color w:val="000000"/>
          <w:sz w:val="21"/>
        </w:rPr>
        <w:t xml:space="preserve"> (Notice ARC 8840B, IAB 6/16/10)</w:t>
      </w:r>
      <w:r>
        <w:rPr>
          <w:rFonts w:ascii="Times New Roman" w:hAnsi="Times New Roman"/>
          <w:b w:val="false"/>
          <w:i w:val="false"/>
          <w:color w:val="000000"/>
          <w:sz w:val="21"/>
        </w:rPr>
        <w:t>, IAB 9/22/10, effective 9/1/10]</w:t>
      </w:r>
      <w:r>
        <w:br/>
      </w:r>
      <w:r>
        <w:rPr>
          <w:rFonts w:ascii="Times New Roman" w:hAnsi="Times New Roman"/>
          <w:b w:val="false"/>
          <w:i w:val="false"/>
          <w:color w:val="000000"/>
          <w:sz w:val="21"/>
        </w:rPr>
        <w:t>[Filed Emergency After Notice ARC 9084B</w:t>
      </w:r>
      <w:r>
        <w:rPr>
          <w:rFonts w:ascii="Times New Roman" w:hAnsi="Times New Roman"/>
          <w:b w:val="false"/>
          <w:i w:val="false"/>
          <w:color w:val="000000"/>
          <w:sz w:val="21"/>
        </w:rPr>
        <w:t xml:space="preserve"> (Notice ARC 8841B, IAB 6/16/10)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ARC 0552C</w:t>
      </w:r>
      <w:r>
        <w:rPr>
          <w:rFonts w:ascii="Times New Roman" w:hAnsi="Times New Roman"/>
          <w:b w:val="false"/>
          <w:i w:val="false"/>
          <w:color w:val="000000"/>
          <w:sz w:val="21"/>
        </w:rPr>
        <w:t xml:space="preserve"> (Notice ARC 0332C, IAB 9/19/12)</w:t>
      </w:r>
      <w:r>
        <w:rPr>
          <w:rFonts w:ascii="Times New Roman" w:hAnsi="Times New Roman"/>
          <w:b w:val="false"/>
          <w:i w:val="false"/>
          <w:color w:val="000000"/>
          <w:sz w:val="21"/>
        </w:rPr>
        <w:t>, IAB 1/9/13, effective 4/1/13]</w:t>
      </w:r>
    </w:p>
    <w:p>
      <w:pPr>
        <w:spacing w:before="0" w:after="0"/>
        <w:ind w:left="120"/>
        <w:jc w:val="center"/>
      </w:pPr>
      <w:r>
        <w:rPr>
          <w:rFonts w:ascii="Times New Roman" w:hAnsi="Times New Roman"/>
          <w:b w:val="false"/>
          <w:i w:val="false"/>
          <w:color w:val="000000"/>
          <w:sz w:val="21"/>
        </w:rPr>
        <w:t>[Filed ARC 0837C</w:t>
      </w:r>
      <w:r>
        <w:rPr>
          <w:rFonts w:ascii="Times New Roman" w:hAnsi="Times New Roman"/>
          <w:b w:val="false"/>
          <w:i w:val="false"/>
          <w:color w:val="000000"/>
          <w:sz w:val="21"/>
        </w:rPr>
        <w:t xml:space="preserve"> (Notice ARC 0747C, IAB 5/15/13)</w:t>
      </w:r>
      <w:r>
        <w:rPr>
          <w:rFonts w:ascii="Times New Roman" w:hAnsi="Times New Roman"/>
          <w:b w:val="false"/>
          <w:i w:val="false"/>
          <w:color w:val="000000"/>
          <w:sz w:val="21"/>
        </w:rPr>
        <w:t>, IAB 7/24/13, effective 10/1/13]</w:t>
      </w:r>
    </w:p>
    <w:p>
      <w:pPr>
        <w:spacing w:before="0" w:after="0"/>
        <w:ind w:left="120"/>
        <w:jc w:val="center"/>
      </w:pPr>
      <w:r>
        <w:rPr>
          <w:rFonts w:ascii="Times New Roman" w:hAnsi="Times New Roman"/>
          <w:b w:val="false"/>
          <w:i w:val="false"/>
          <w:color w:val="000000"/>
          <w:sz w:val="21"/>
        </w:rPr>
        <w:t>[Filed Emergency After Notice ARC 1287C</w:t>
      </w:r>
      <w:r>
        <w:rPr>
          <w:rFonts w:ascii="Times New Roman" w:hAnsi="Times New Roman"/>
          <w:b w:val="false"/>
          <w:i w:val="false"/>
          <w:color w:val="000000"/>
          <w:sz w:val="21"/>
        </w:rPr>
        <w:t xml:space="preserve"> (Notice ARC 1183C, IAB 11/13/13)</w:t>
      </w:r>
      <w:r>
        <w:rPr>
          <w:rFonts w:ascii="Times New Roman" w:hAnsi="Times New Roman"/>
          <w:b w:val="false"/>
          <w:i w:val="false"/>
          <w:color w:val="000000"/>
          <w:sz w:val="21"/>
        </w:rPr>
        <w:t>, IAB 1/8/14, effective 1/1/14]</w:t>
      </w:r>
    </w:p>
    <w:p>
      <w:pPr>
        <w:spacing w:before="0" w:after="0"/>
        <w:ind w:left="120"/>
        <w:jc w:val="center"/>
      </w:pPr>
      <w:r>
        <w:rPr>
          <w:rFonts w:ascii="Times New Roman" w:hAnsi="Times New Roman"/>
          <w:b w:val="false"/>
          <w:i w:val="false"/>
          <w:color w:val="000000"/>
          <w:sz w:val="21"/>
        </w:rPr>
        <w:t>[Filed ARC 2912C</w:t>
      </w:r>
      <w:r>
        <w:rPr>
          <w:rFonts w:ascii="Times New Roman" w:hAnsi="Times New Roman"/>
          <w:b w:val="false"/>
          <w:i w:val="false"/>
          <w:color w:val="000000"/>
          <w:sz w:val="21"/>
        </w:rPr>
        <w:t xml:space="preserve"> (Notice ARC 2784C, IAB 10/26/16)</w:t>
      </w:r>
      <w:r>
        <w:rPr>
          <w:rFonts w:ascii="Times New Roman" w:hAnsi="Times New Roman"/>
          <w:b w:val="false"/>
          <w:i w:val="false"/>
          <w:color w:val="000000"/>
          <w:sz w:val="21"/>
        </w:rPr>
        <w:t>, IAB 1/18/17, effective 3/1/17]</w:t>
      </w:r>
    </w:p>
    <w:p>
      <w:pPr>
        <w:spacing w:before="0" w:after="0"/>
        <w:ind w:left="120"/>
        <w:jc w:val="center"/>
      </w:pPr>
      <w:r>
        <w:rPr>
          <w:rFonts w:ascii="Times New Roman" w:hAnsi="Times New Roman"/>
          <w:b w:val="false"/>
          <w:i w:val="false"/>
          <w:color w:val="000000"/>
          <w:sz w:val="21"/>
        </w:rPr>
        <w:t>[Filed ARC 4779C</w:t>
      </w:r>
      <w:r>
        <w:rPr>
          <w:rFonts w:ascii="Times New Roman" w:hAnsi="Times New Roman"/>
          <w:b w:val="false"/>
          <w:i w:val="false"/>
          <w:color w:val="000000"/>
          <w:sz w:val="21"/>
        </w:rPr>
        <w:t xml:space="preserve"> (Notice ARC 4627C, IAB 8/28/19)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5141C</w:t>
      </w:r>
      <w:r>
        <w:rPr>
          <w:rFonts w:ascii="Times New Roman" w:hAnsi="Times New Roman"/>
          <w:b w:val="false"/>
          <w:i w:val="false"/>
          <w:color w:val="000000"/>
          <w:sz w:val="21"/>
        </w:rPr>
        <w:t xml:space="preserve"> (Notice ARC 4912C, IAB 2/12/20)</w:t>
      </w:r>
      <w:r>
        <w:rPr>
          <w:rFonts w:ascii="Times New Roman" w:hAnsi="Times New Roman"/>
          <w:b w:val="false"/>
          <w:i w:val="false"/>
          <w:color w:val="000000"/>
          <w:sz w:val="21"/>
        </w:rPr>
        <w:t>, IAB 8/12/20, effective 12/1/20]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I.10.pdf" Type="http://schemas.openxmlformats.org/officeDocument/2006/relationships/hyperlink" Id="rId5"/>
    <Relationship TargetMode="External" Target="https://www.legis.iowa.gov/docs/iac/rule/441.86.14.pdf" Type="http://schemas.openxmlformats.org/officeDocument/2006/relationships/hyperlink" Id="rId6"/>
    <Relationship TargetMode="External" Target="https://www.legis.iowa.gov/docs/iac/rule/441.86.2.pdf" Type="http://schemas.openxmlformats.org/officeDocument/2006/relationships/hyperlink" Id="rId7"/>
    <Relationship TargetMode="External" Target="https://www.legis.iowa.gov/docs/ico/chapter/135.1.pdf" Type="http://schemas.openxmlformats.org/officeDocument/2006/relationships/hyperlink" Id="rId8"/>
    <Relationship TargetMode="External" Target="https://www.legis.iowa.gov/docs/iac/rule/441.86.8.pdf" Type="http://schemas.openxmlformats.org/officeDocument/2006/relationships/hyperlink" Id="rId9"/>
    <Relationship TargetMode="External" Target="https://www.legis.iowa.gov/docs/iac/rule/441.86.5.pdf" Type="http://schemas.openxmlformats.org/officeDocument/2006/relationships/hyperlink" Id="rId10"/>
    <Relationship TargetMode="External" Target="https://www.legis.iowa.gov/docs/iac/rule/441.86.8.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10.pdf" Type="http://schemas.openxmlformats.org/officeDocument/2006/relationships/hyperlink" Id="rId13"/>
    <Relationship TargetMode="External" Target="https://www.legis.iowa.gov/docs/iac/rule/441.75.11.pdf" Type="http://schemas.openxmlformats.org/officeDocument/2006/relationships/hyperlink" Id="rId14"/>
    <Relationship TargetMode="External" Target="https://www.legis.iowa.gov/docs/iac/rule/441.75.11.pdf" Type="http://schemas.openxmlformats.org/officeDocument/2006/relationships/hyperlink" Id="rId15"/>
    <Relationship TargetMode="External" Target="https://www.legis.iowa.gov/docs/iac/rule/441.86.2.pdf" Type="http://schemas.openxmlformats.org/officeDocument/2006/relationships/hyperlink" Id="rId16"/>
    <Relationship TargetMode="External" Target="https://www.legis.iowa.gov/docs/iac/rule/441.75.11.pdf" Type="http://schemas.openxmlformats.org/officeDocument/2006/relationships/hyperlink" Id="rId17"/>
    <Relationship TargetMode="External" Target="https://www.legis.iowa.gov/docs/iac/rule/441.75.7.pdf" Type="http://schemas.openxmlformats.org/officeDocument/2006/relationships/hyperlink" Id="rId18"/>
    <Relationship TargetMode="External" Target="https://www.legis.iowa.gov/docs/iac/rule/441.76.1.pdf" Type="http://schemas.openxmlformats.org/officeDocument/2006/relationships/hyperlink" Id="rId19"/>
    <Relationship TargetMode="External" Target="https://www.legis.iowa.gov/docs/iac/rule/441.76.1.pdf" Type="http://schemas.openxmlformats.org/officeDocument/2006/relationships/hyperlink" Id="rId20"/>
    <Relationship TargetMode="External" Target="https://www.legis.iowa.gov/docs/iac/rule/441.76.1.pdf" Type="http://schemas.openxmlformats.org/officeDocument/2006/relationships/hyperlink" Id="rId21"/>
    <Relationship TargetMode="External" Target="https://www.legis.iowa.gov/docs/iac/rule/441.86.20.pdf" Type="http://schemas.openxmlformats.org/officeDocument/2006/relationships/hyperlink" Id="rId22"/>
    <Relationship TargetMode="External" Target="https://www.legis.iowa.gov/docs/iac/rule/441.76.1.pdf" Type="http://schemas.openxmlformats.org/officeDocument/2006/relationships/hyperlink" Id="rId23"/>
    <Relationship TargetMode="External" Target="https://www.legis.iowa.gov/docs/iac/rule/441.75.1.pdf" Type="http://schemas.openxmlformats.org/officeDocument/2006/relationships/hyperlink" Id="rId24"/>
    <Relationship TargetMode="External" Target="https://www.legis.iowa.gov/docs/iac/rule/441.75.1.pdf" Type="http://schemas.openxmlformats.org/officeDocument/2006/relationships/hyperlink" Id="rId25"/>
    <Relationship TargetMode="External" Target="https://www.legis.iowa.gov/docs/iac/rule/441.75.1.pdf" Type="http://schemas.openxmlformats.org/officeDocument/2006/relationships/hyperlink" Id="rId26"/>
    <Relationship TargetMode="External" Target="https://www.legis.iowa.gov/docs/iac/rule/441.75.1.pdf" Type="http://schemas.openxmlformats.org/officeDocument/2006/relationships/hyperlink" Id="rId27"/>
    <Relationship TargetMode="External" Target="https://www.legis.iowa.gov/docs/iac/rule/441.75.1.pdf" Type="http://schemas.openxmlformats.org/officeDocument/2006/relationships/hyperlink" Id="rId28"/>
    <Relationship TargetMode="External" Target="https://www.legis.iowa.gov/docs/iac/rule/441.75.1.pdf" Type="http://schemas.openxmlformats.org/officeDocument/2006/relationships/hyperlink" Id="rId29"/>
    <Relationship TargetMode="External" Target="https://www.legis.iowa.gov/docs/iac/rule/441.86.2.pdf" Type="http://schemas.openxmlformats.org/officeDocument/2006/relationships/hyperlink" Id="rId30"/>
    <Relationship TargetMode="External" Target="https://www.legis.iowa.gov/docs/iac/rule/441.86.8.pdf" Type="http://schemas.openxmlformats.org/officeDocument/2006/relationships/hyperlink" Id="rId31"/>
    <Relationship TargetMode="External" Target="https://www.legis.iowa.gov/docs/iac/rule/441.86.2.pdf" Type="http://schemas.openxmlformats.org/officeDocument/2006/relationships/hyperlink" Id="rId32"/>
    <Relationship TargetMode="External" Target="https://www.legis.iowa.gov/docs/iac/rule/441.86.2.pdf" Type="http://schemas.openxmlformats.org/officeDocument/2006/relationships/hyperlink" Id="rId33"/>
    <Relationship TargetMode="External" Target="https://www.legis.iowa.gov/docs/iac/rule/441.86.2.pdf" Type="http://schemas.openxmlformats.org/officeDocument/2006/relationships/hyperlink" Id="rId34"/>
    <Relationship TargetMode="External" Target="https://www.legis.iowa.gov/docs/iac/rule/441.86.6.pdf" Type="http://schemas.openxmlformats.org/officeDocument/2006/relationships/hyperlink" Id="rId35"/>
    <Relationship TargetMode="External" Target="https://www.legis.iowa.gov/docs/iac/rule/441.86.6.pdf" Type="http://schemas.openxmlformats.org/officeDocument/2006/relationships/hyperlink" Id="rId36"/>
    <Relationship TargetMode="External" Target="https://www.legis.iowa.gov/docs/iac/rule/441.86.7.pdf" Type="http://schemas.openxmlformats.org/officeDocument/2006/relationships/hyperlink" Id="rId37"/>
    <Relationship TargetMode="External" Target="https://www.legis.iowa.gov/docs/iac/rule/441.86.8.pdf" Type="http://schemas.openxmlformats.org/officeDocument/2006/relationships/hyperlink" Id="rId38"/>
    <Relationship TargetMode="External" Target="https://www.legis.iowa.gov/docs/iac/rule/441.86.8.pdf" Type="http://schemas.openxmlformats.org/officeDocument/2006/relationships/hyperlink" Id="rId39"/>
    <Relationship TargetMode="External" Target="https://www.legis.iowa.gov/docs/iac/rule/441.86.8.pdf" Type="http://schemas.openxmlformats.org/officeDocument/2006/relationships/hyperlink" Id="rId40"/>
    <Relationship TargetMode="External" Target="https://www.legis.iowa.gov/docs/iac/rule/441.75.10.pdf" Type="http://schemas.openxmlformats.org/officeDocument/2006/relationships/hyperlink" Id="rId41"/>
    <Relationship TargetMode="External" Target="https://www.legis.iowa.gov/docs/iac/rule/441.86.20.pdf" Type="http://schemas.openxmlformats.org/officeDocument/2006/relationships/hyperlink" Id="rId42"/>
    <Relationship TargetMode="External" Target="https://www.legis.iowa.gov/docs/iac/rule/441.86.8.pdf" Type="http://schemas.openxmlformats.org/officeDocument/2006/relationships/hyperlink" Id="rId43"/>
    <Relationship TargetMode="External" Target="https://www.legis.iowa.gov/docs/iac/rule/441.86.8.pdf" Type="http://schemas.openxmlformats.org/officeDocument/2006/relationships/hyperlink" Id="rId44"/>
    <Relationship TargetMode="External" Target="https://www.legis.iowa.gov/docs/iac/rule/441.86.8.pdf" Type="http://schemas.openxmlformats.org/officeDocument/2006/relationships/hyperlink" Id="rId45"/>
    <Relationship TargetMode="External" Target="https://www.legis.iowa.gov/docs/iac/rule/441.86.8.pdf" Type="http://schemas.openxmlformats.org/officeDocument/2006/relationships/hyperlink" Id="rId46"/>
    <Relationship TargetMode="External" Target="https://www.legis.iowa.gov/docs/iac/rule/441.86.8.pdf" Type="http://schemas.openxmlformats.org/officeDocument/2006/relationships/hyperlink" Id="rId47"/>
    <Relationship TargetMode="External" Target="https://www.legis.iowa.gov/docs/iac/rule/441.86.8.pdf" Type="http://schemas.openxmlformats.org/officeDocument/2006/relationships/hyperlink" Id="rId48"/>
    <Relationship TargetMode="External" Target="https://www.legis.iowa.gov/docs/iac/rule/441.86.3.pdf" Type="http://schemas.openxmlformats.org/officeDocument/2006/relationships/hyperlink" Id="rId49"/>
    <Relationship TargetMode="External" Target="https://www.legis.iowa.gov/docs/iac/rule/441.86.3.pdf" Type="http://schemas.openxmlformats.org/officeDocument/2006/relationships/hyperlink" Id="rId50"/>
    <Relationship TargetMode="External" Target="https://www.legis.iowa.gov/docs/iac/rule/441.86.11.pdf" Type="http://schemas.openxmlformats.org/officeDocument/2006/relationships/hyperlink" Id="rId51"/>
    <Relationship TargetMode="External" Target="https://www.legis.iowa.gov/docs/iac/rule/441.86.3.pdf" Type="http://schemas.openxmlformats.org/officeDocument/2006/relationships/hyperlink" Id="rId52"/>
    <Relationship TargetMode="External" Target="https://www.legis.iowa.gov/docs/iac/rule/441.16.3.pdf" Type="http://schemas.openxmlformats.org/officeDocument/2006/relationships/hyperlink" Id="rId53"/>
    <Relationship TargetMode="External" Target="https://www.legis.iowa.gov/docs/iac/chapter/441.7.pdf" Type="http://schemas.openxmlformats.org/officeDocument/2006/relationships/hyperlink" Id="rId54"/>
    <Relationship TargetMode="External" Target="https://www.legis.iowa.gov/docs/iac/rule/441.86.14.pdf" Type="http://schemas.openxmlformats.org/officeDocument/2006/relationships/hyperlink" Id="rId55"/>
    <Relationship TargetMode="External" Target="https://www.legis.iowa.gov/docs/iac/rule/441.79.3.pdf" Type="http://schemas.openxmlformats.org/officeDocument/2006/relationships/hyperlink" Id="rId56"/>
    <Relationship TargetMode="External" Target="https://www.legis.iowa.gov/docs/ico/chapter/228.7.pdf" Type="http://schemas.openxmlformats.org/officeDocument/2006/relationships/hyperlink" Id="rId57"/>
    <Relationship TargetMode="External" Target="https://www.legis.iowa.gov/docs/iac/rule/441.86.15.pdf" Type="http://schemas.openxmlformats.org/officeDocument/2006/relationships/hyperlink" Id="rId58"/>
    <Relationship TargetMode="External" Target="https://www.legis.iowa.gov/docs/iac/rule/441.1.10.pdf" Type="http://schemas.openxmlformats.org/officeDocument/2006/relationships/hyperlink" Id="rId59"/>
    <Relationship TargetMode="External" Target="https://www.legis.iowa.gov/docs/ico/chapter/514C.13.pdf" Type="http://schemas.openxmlformats.org/officeDocument/2006/relationships/hyperlink" Id="rId60"/>
    <Relationship TargetMode="External" Target="https://www.legis.iowa.gov/docs/ico/chapter/505.25.pdf" Type="http://schemas.openxmlformats.org/officeDocument/2006/relationships/hyperlink" Id="rId61"/>
    <Relationship TargetMode="External" Target="https://www.legis.iowa.gov/docs/iac/rule/441.86.10.pdf" Type="http://schemas.openxmlformats.org/officeDocument/2006/relationships/hyperlink" Id="rId62"/>
    <Relationship TargetMode="External" Target="https://www.legis.iowa.gov/docs/iac/chapter/441.11.pdf" Type="http://schemas.openxmlformats.org/officeDocument/2006/relationships/hyperlink" Id="rId63"/>
    <Relationship TargetMode="External" Target="https://www.legis.iowa.gov/docs/iac/chapter/441.7.pdf" Type="http://schemas.openxmlformats.org/officeDocument/2006/relationships/hyperlink" Id="rId64"/>
    <Relationship TargetMode="External" Target="https://www.legis.iowa.gov/docs/iac/rule/441.86.19.pdf" Type="http://schemas.openxmlformats.org/officeDocument/2006/relationships/hyperlink" Id="rId65"/>
    <Relationship TargetMode="External" Target="https://www.legis.iowa.gov/docs/iac/rule/441.86.8.pdf" Type="http://schemas.openxmlformats.org/officeDocument/2006/relationships/hyperlink" Id="rId66"/>
    <Relationship TargetMode="External" Target="https://www.legis.iowa.gov/docs/iac/rule/441.86.8.pdf" Type="http://schemas.openxmlformats.org/officeDocument/2006/relationships/hyperlink" Id="rId67"/>
    <Relationship TargetMode="External" Target="https://www.legis.iowa.gov/docs/iac/rule/441.86.3.pdf" Type="http://schemas.openxmlformats.org/officeDocument/2006/relationships/hyperlink" Id="rId68"/>
    <Relationship TargetMode="External" Target="https://www.legis.iowa.gov/docs/ico/chapter/514I.pdf" Type="http://schemas.openxmlformats.org/officeDocument/2006/relationships/hyperlink"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