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PROCEDURE AND METHOD OF PAYMENT</w:t>
      </w:r>
    </w:p>
    <w:p>
      <w:pPr>
        <w:spacing w:before="0" w:after="0"/>
        <w:ind w:left="120"/>
        <w:jc w:val="center"/>
      </w:pPr>
      <w:r>
        <w:rPr>
          <w:rFonts w:ascii="Times New Roman" w:hAnsi="Times New Roman"/>
          <w:b w:val="false"/>
          <w:i w:val="false"/>
          <w:color w:val="000000"/>
          <w:sz w:val="14"/>
        </w:rPr>
        <w:t>[Prior to 7/1/83, Social Services[770] Ch 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441—80.1</w:t>
      </w:r>
      <w:r>
        <w:rPr>
          <w:rFonts w:ascii="Times New Roman" w:hAnsi="Times New Roman"/>
          <w:b/>
          <w:i w:val="false"/>
          <w:color w:val="000000"/>
          <w:sz w:val="22"/>
        </w:rPr>
        <w:t xml:space="preserve">(249A) </w:t>
      </w:r>
      <w:r>
        <w:rPr>
          <w:rFonts w:ascii="Times New Roman" w:hAnsi="Times New Roman"/>
          <w:b/>
          <w:i w:val="false"/>
          <w:color w:val="000000"/>
          <w:sz w:val="22"/>
        </w:rPr>
        <w:t xml:space="preserve">The fiscal agent function in medical assistance.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5/25/05</w:t>
      </w:r>
      <w:r>
        <w:rPr>
          <w:rFonts w:ascii="Times New Roman" w:hAnsi="Times New Roman"/>
          <w:b w:val="false"/>
          <w:i w:val="false"/>
          <w:color w:val="000000"/>
          <w:sz w:val="22"/>
        </w:rPr>
        <w:t>, effective 7/1/05.</w:t>
      </w:r>
    </w:p>
    <w:p>
      <w:pPr>
        <w:spacing w:before="0" w:after="0"/>
        <w:ind w:left="120"/>
        <w:jc w:val="both"/>
      </w:pPr>
      <w:r>
        <w:rPr>
          <w:rFonts w:ascii="Times New Roman" w:hAnsi="Times New Roman"/>
          <w:b/>
          <w:i w:val="false"/>
          <w:color w:val="000000"/>
          <w:sz w:val="22"/>
        </w:rPr>
        <w:t>441—80.2</w:t>
      </w:r>
      <w:r>
        <w:rPr>
          <w:rFonts w:ascii="Times New Roman" w:hAnsi="Times New Roman"/>
          <w:b/>
          <w:i w:val="false"/>
          <w:color w:val="000000"/>
          <w:sz w:val="22"/>
        </w:rPr>
        <w:t xml:space="preserve">(249A) </w:t>
      </w:r>
      <w:r>
        <w:rPr>
          <w:rFonts w:ascii="Times New Roman" w:hAnsi="Times New Roman"/>
          <w:b/>
          <w:i w:val="false"/>
          <w:color w:val="000000"/>
          <w:sz w:val="22"/>
        </w:rPr>
        <w:t xml:space="preserve">Submission of claims. </w:t>
      </w:r>
      <w:r>
        <w:rPr>
          <w:rFonts w:ascii="Times New Roman" w:hAnsi="Times New Roman"/>
          <w:b w:val="false"/>
          <w:i w:val="false"/>
          <w:color w:val="000000"/>
          <w:sz w:val="22"/>
        </w:rPr>
        <w:t>Providers of medical and remedial care participating in the program shall submit claims for services rendered to the Iowa Medicaid enterprise on at least a monthly basis. All nursing facilities and providers of home- and community-based services shall submit claims for services after the end of the calendar month in which the services are provided. Following audit of the claim, Iowa Medicaid will make payment to the provider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val="false"/>
          <w:color w:val="000000"/>
          <w:sz w:val="22"/>
        </w:rPr>
        <w:t>Electronic submission. Providers are required to submit claims electronically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filing electronic claims, pharmacies shall use the format prescribed by the National Council for Prescription Drug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submitted electronically shall be filed on the American National Standards Institute (ANSI) Accredited Standards Committee (ASC) X12N 837 transaction, Health Care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listed as filing claims on Form CMS-1500 or on the Claim for Targeted Medical Care shall file claims on the professional version of the 837 Health Care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listed as filing claims on Form CMS-1450 or UB04 shall file the institutional version of the 837 Health Care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Dentists shall file the dental version of the 837 Health Care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Pharmacists providing drugs and injections shall use the format prescribed by the National Council for Prescription Drug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claim submitted electronically requires attachments or supporting clinical documentation and a national electronic attachment has not been adopted,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the Iowa Medicaid portal access (IMPA) system to submit supporting documents when billing Medicaid fee for service claims;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the attachment control number submitted on the ASC X12N 837 electronic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val="false"/>
          <w:color w:val="000000"/>
          <w:sz w:val="22"/>
        </w:rPr>
        <w:t>Claim forms. Claims for payment for services provided recipients shall be submitted on Form CMS-1500, Health Insurance Claim Form, except as noted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shall submit claims on Form UB-04, CMS-1450: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providing services other than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Hospitals providing inpatient care or outpatient services, including inpatient psychiatric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Rehabilitation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Hospice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Medicare-certified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Nursing facilities for the mentally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population nursing facilities as defined in </w:t>
      </w:r>
      <w:hyperlink r:id="rId5">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Out-of-state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payment (HIPP)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nursing facilities and intermediate care facilities for persons with an intellectual disability shall file claims using an electronic version of Form UB-04 CMS-1450.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Pharmacies shall submit claims on the Universal Pharmacy Claim Form when filing paper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Dentists shall submit claims on the dental claim form approved by the American Dental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Providers of home- and community-based waiver services, including home health agencies, shall submit claims on Form 470-2486. In the event of the death of the member, the case manager or service worker shall sign and date the claim form if the services were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providers billing services provided pursuant to </w:t>
      </w:r>
      <w:hyperlink r:id="rId6">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 fee-for-service members shall submit claims using a HIPAA-compliant electronic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fee-for-service members, providers billing claims for Medicare beneficiaries that do not cross over electronically to Iowa Medicaid must submit the following electronically, in accordance with the All Providers, IV. Billing Iowa Medicaid manual, located at </w:t>
      </w:r>
      <w:hyperlink r:id="rId7">
        <w:r>
          <w:rPr>
            <w:rStyle w:val="Hyperlink"/>
            <w:rFonts w:ascii="Times New Roman" w:hAnsi="Times New Roman"/>
            <w:b w:val="false"/>
            <w:i w:val="false"/>
            <w:color w:val="000000"/>
            <w:sz w:val="22"/>
            <w:u w:val="single"/>
          </w:rPr>
          <w:t>dhs.iowa.gov/sites/default/files/All-IV.pdf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UB-04.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CMS-1500. The Explanation of Medicare Benefits (EOMB) is only required when requested by Iowa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managed care members, providers billing claims for Medicare beneficiaries that do not cross over electronically must submit the following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UB-04 and the Explanation of Medicare Benefits (EOMB);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CMS-1500 and the Explanation of Medicare Benefits (EOMB).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payment (HIPP) providers shall submit Form 470-5475 along with an explanation of benefits (EOB).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80.2(3)</w:t>
      </w:r>
      <w:r>
        <w:rPr>
          <w:rFonts w:ascii="Times New Roman" w:hAnsi="Times New Roman"/>
          <w:b w:val="false"/>
          <w:i w:val="false"/>
          <w:color w:val="000000"/>
          <w:sz w:val="22"/>
        </w:rPr>
        <w:t> </w:t>
      </w:r>
      <w:r>
        <w:rPr>
          <w:rFonts w:ascii="Times New Roman" w:hAnsi="Times New Roman"/>
          <w:b w:val="false"/>
          <w:i w:val="false"/>
          <w:color w:val="000000"/>
          <w:sz w:val="22"/>
        </w:rPr>
        <w:t>Providers shall purchase their supplies of forms CMS-1450 and CMS-1500 for use in billing.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9724B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2165C</w:t>
      </w:r>
      <w:r>
        <w:rPr>
          <w:rFonts w:ascii="Times New Roman" w:hAnsi="Times New Roman"/>
          <w:b w:val="false"/>
          <w:i w:val="false"/>
          <w:color w:val="000000"/>
          <w:sz w:val="16"/>
        </w:rPr>
        <w:t>, IAB 9/30/15, effective 12/1/15</w:t>
      </w:r>
      <w:r>
        <w:rPr>
          <w:rFonts w:ascii="Times New Roman" w:hAnsi="Times New Roman"/>
          <w:b w:val="false"/>
          <w:i w:val="false"/>
          <w:color w:val="000000"/>
          <w:sz w:val="16"/>
        </w:rPr>
        <w:t xml:space="preserve">; </w:t>
      </w:r>
      <w:r>
        <w:rPr>
          <w:rFonts w:ascii="Times New Roman" w:hAnsi="Times New Roman"/>
          <w:b/>
          <w:i w:val="false"/>
          <w:color w:val="000000"/>
          <w:sz w:val="16"/>
        </w:rPr>
        <w:t>ARC 3159C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3296C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4751C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6851C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441—80.3</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from other sources. </w:t>
      </w:r>
      <w:r>
        <w:rPr>
          <w:rFonts w:ascii="Times New Roman" w:hAnsi="Times New Roman"/>
          <w:b w:val="false"/>
          <w:i w:val="false"/>
          <w:color w:val="000000"/>
          <w:sz w:val="22"/>
        </w:rPr>
        <w:t xml:space="preserve">This rule applies to claims for the department, managed care organizations, and the Public Health Associate Program (PHAP).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color w:val="000000"/>
          <w:sz w:val="22"/>
        </w:rPr>
        <w:t xml:space="preserve">Payments deducted. </w:t>
      </w:r>
      <w:r>
        <w:rPr>
          <w:rFonts w:ascii="Times New Roman" w:hAnsi="Times New Roman"/>
          <w:b w:val="false"/>
          <w:i w:val="false"/>
          <w:color w:val="000000"/>
          <w:sz w:val="22"/>
        </w:rPr>
        <w:t>The amount of any payment made directly to the provider of care by the recipient, relatives, or any source shall be deducted from the established cost standard for the service provided to establish the amount of payment to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third-party liability for medical expenses exists, this resource shall be utilized for payment of a claim before the Medicaid program makes payment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pays the total amount allowed under the Medicaid payment schedule and then seeks reimbursement from the liable third party. This “pay and chase” provision applies to claims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pediatric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claims must be clean claims. A clean claim is defined as a claim that has no defect or impropriety (including any lack of required substantiating documentation) or particular circumstance requiring special treatment that prevents timely payment of the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color w:val="000000"/>
          <w:sz w:val="22"/>
        </w:rPr>
        <w:t xml:space="preserve">Recovery from third parties legally responsible to pay for health care. </w:t>
      </w:r>
      <w:r>
        <w:rPr>
          <w:rFonts w:ascii="Times New Roman" w:hAnsi="Times New Roman"/>
          <w:b w:val="false"/>
          <w:i w:val="false"/>
          <w:color w:val="000000"/>
          <w:sz w:val="22"/>
        </w:rPr>
        <w:t>Parties that are, by statute, contract, or agreement, legally responsible for payment of a claim for a health care item or service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60 days after receiving any inquiry by the state regarding a claim for payment for any health care item or service that is submitted no later than three years after the date of the provision of the item or service, respond to such inquiry,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1396a(25)(I)(iii), effective March 13,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not to deny any claim submitted by the state solely because of the date of submission of the claim, the type or format of the claim form, a failure to present proper documentation at the point of sale that is the basis of the claim, or, in the case of a responsible third party (other than the original Medicare fee-for-service program under Parts A and B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Subchapter XVIII, a Medicare Advantage plan offered by a Medicare Advantage organization under Part C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Subchapter XVIII, a reasonable cost of reimbursement plan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1395mm, a health care prepayment plan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1395l, or a prescription drug plan (PDP) offered by a PDP sponsor under Part D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Subchapter XVIII), a failure to obtain a prior authorization for the item or service for which the claim is being submitted,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is submitted to the entity by the state within the three-year period beginning on the date on which the item or service was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action by the state to enforce its rights with respect to the claim is commenced within six years of the date that the claim was submitted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 the Medicaid program within 90 days of the request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 not to deny any claim submitted by the state solely because of lack of prior authorization.</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7547B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6022C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6851C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441—80.4</w:t>
      </w:r>
      <w:r>
        <w:rPr>
          <w:rFonts w:ascii="Times New Roman" w:hAnsi="Times New Roman"/>
          <w:b/>
          <w:i w:val="false"/>
          <w:color w:val="000000"/>
          <w:sz w:val="22"/>
        </w:rPr>
        <w:t xml:space="preserve">(249A) </w:t>
      </w:r>
      <w:r>
        <w:rPr>
          <w:rFonts w:ascii="Times New Roman" w:hAnsi="Times New Roman"/>
          <w:b/>
          <w:i w:val="false"/>
          <w:color w:val="000000"/>
          <w:sz w:val="22"/>
        </w:rPr>
        <w:t xml:space="preserve">Time limit for submission of claims and claim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w:t>
      </w:r>
      <w:r>
        <w:rPr>
          <w:rFonts w:ascii="Times New Roman" w:hAnsi="Times New Roman"/>
          <w:b w:val="false"/>
          <w:i w:val="false"/>
          <w:color w:val="000000"/>
          <w:sz w:val="22"/>
        </w:rPr>
        <w:t>Payment will not be made on any claim when the amount of time that has elapsed between the date the service was rendered and the date the initial claim is received by Iowa Medicaid exceeds 365 days. The department shall consider claims submitted beyond the 365-day limit for payment only if retroactive eligibility on newly approved cases is made that exceeds 365 days or if attempts to collect from a third-party payer delay the submission of a claim. In the case of retroactive eligibility, the claim must be received within 365 days of the first notice of eligibility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color w:val="000000"/>
          <w:sz w:val="22"/>
        </w:rPr>
        <w:t xml:space="preserve">Claim adjustments and resubmissions. </w:t>
      </w:r>
      <w:r>
        <w:rPr>
          <w:rFonts w:ascii="Times New Roman" w:hAnsi="Times New Roman"/>
          <w:b w:val="false"/>
          <w:i w:val="false"/>
          <w:color w:val="000000"/>
          <w:sz w:val="22"/>
        </w:rPr>
        <w:t>A provider’s request for an adjustment to a paid claim or resubmission of a denied claim must be received by Iowa Medicaid within 365 days from the date the claim was last adjudicated in order to have the adjustment or resubmission considered. In no case will a claim be paid if the claim is received beyond two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a claim is “received” when entered into the department’s payment system with an action of pay, deny, or suspend. Any claim returned to the provider without such action is not “received.”</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6851C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441—80.5</w:t>
      </w:r>
      <w:r>
        <w:rPr>
          <w:rFonts w:ascii="Times New Roman" w:hAnsi="Times New Roman"/>
          <w:b/>
          <w:i w:val="false"/>
          <w:color w:val="000000"/>
          <w:sz w:val="22"/>
        </w:rPr>
        <w:t xml:space="preserve">(249A) </w:t>
      </w:r>
      <w:r>
        <w:rPr>
          <w:rFonts w:ascii="Times New Roman" w:hAnsi="Times New Roman"/>
          <w:b/>
          <w:i w:val="false"/>
          <w:color w:val="000000"/>
          <w:sz w:val="22"/>
        </w:rPr>
        <w:t xml:space="preserve">Authorization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 xml:space="preserve">The department shall issue a Medical Assistance Eligibility Card to members for use in securing medical and health services available under the program except as provided in </w:t>
      </w:r>
      <w:hyperlink r:id="rId8">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the Medical Assistance Eligibility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member’s eligibility is initially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the member’s request for replacement of a lost, stolen, or damaged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Assistance Eligibility Card is valid only for months in which the member has established eligibility, as indicated on the department’s eligibility verification system (ELVS). Payment will be made for services provided to an ineligible person when ELVS indicates that the person was eligible for the period in which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2/11/09</w:t>
      </w:r>
      <w:r>
        <w:rPr>
          <w:rFonts w:ascii="Times New Roman" w:hAnsi="Times New Roman"/>
          <w:b w:val="false"/>
          <w:i w:val="false"/>
          <w:color w:val="000000"/>
          <w:sz w:val="22"/>
        </w:rPr>
        <w:t>, effective 3/18/09.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7547B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6851C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441—80.6</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to provider—exception. </w:t>
      </w:r>
      <w:r>
        <w:rPr>
          <w:rFonts w:ascii="Times New Roman" w:hAnsi="Times New Roman"/>
          <w:b w:val="false"/>
          <w:i w:val="false"/>
          <w:color w:val="000000"/>
          <w:sz w:val="22"/>
        </w:rPr>
        <w:t>Payments for medical services may be made only to the provider of the services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w:t>
      </w:r>
      <w:r>
        <w:rPr>
          <w:rFonts w:ascii="Times New Roman" w:hAnsi="Times New Roman"/>
          <w:b w:val="false"/>
          <w:i w:val="false"/>
          <w:color w:val="000000"/>
          <w:sz w:val="22"/>
        </w:rPr>
        <w:t> </w:t>
      </w:r>
      <w:r>
        <w:rPr>
          <w:rFonts w:ascii="Times New Roman" w:hAnsi="Times New Roman"/>
          <w:b w:val="false"/>
          <w:i/>
          <w:color w:val="000000"/>
          <w:sz w:val="22"/>
        </w:rPr>
        <w:t xml:space="preserve">Medical assistance corrective payments. </w:t>
      </w:r>
      <w:r>
        <w:rPr>
          <w:rFonts w:ascii="Times New Roman" w:hAnsi="Times New Roman"/>
          <w:b w:val="false"/>
          <w:i w:val="false"/>
          <w:color w:val="000000"/>
          <w:sz w:val="22"/>
        </w:rPr>
        <w:t xml:space="preserve">Payment may be made to the client or county relief agency in accordance with </w:t>
      </w:r>
      <w:hyperlink r:id="rId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Payment may be made in accordance with an assignment to a county for medical services received while the recipient was receiving interim assistance or while an appeal of a denial of medical assistance was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w:t>
      </w:r>
      <w:r>
        <w:rPr>
          <w:rFonts w:ascii="Times New Roman" w:hAnsi="Times New Roman"/>
          <w:b w:val="false"/>
          <w:i w:val="false"/>
          <w:color w:val="000000"/>
          <w:sz w:val="22"/>
        </w:rPr>
        <w:t> </w:t>
      </w:r>
      <w:r>
        <w:rPr>
          <w:rFonts w:ascii="Times New Roman" w:hAnsi="Times New Roman"/>
          <w:b w:val="false"/>
          <w:i/>
          <w:color w:val="000000"/>
          <w:sz w:val="22"/>
        </w:rPr>
        <w:t xml:space="preserve">Business agent of provider. </w:t>
      </w:r>
      <w:r>
        <w:rPr>
          <w:rFonts w:ascii="Times New Roman" w:hAnsi="Times New Roman"/>
          <w:b w:val="false"/>
          <w:i w:val="false"/>
          <w:color w:val="000000"/>
          <w:sz w:val="22"/>
        </w:rPr>
        <w:t>Payment may be made to a business agent that furnishes statements and receives payments in the name of the provider if the agent’s compensation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Related to the cost of processing the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related on a percentage or other basis to the amount that is billed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dependent upon the collection of the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6851C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441—80.7</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care data match program. </w:t>
      </w:r>
      <w:r>
        <w:rPr>
          <w:rFonts w:ascii="Times New Roman" w:hAnsi="Times New Roman"/>
          <w:b w:val="false"/>
          <w:i w:val="false"/>
          <w:color w:val="000000"/>
          <w:sz w:val="22"/>
        </w:rPr>
        <w:t>As a condition of doing business in Iowa, health insurers shall provide, upon the request of the state, information with respect to individuals who are eligible for or are provided medical assistance under the state’s medical assistance state plan to determine (1) during what period the member or the member’s spouse or dependents may be or may have been covered by a health insurer and (2) the nature of the coverage that is or was provided by the health insurer. This requirement applies to self-insured plans, group health plans as defined in the federal Employee Retirement Income Security Act of 1974 (Public Law 93-406), service benefit plans, managed care organizations, pharmacy benefits managers, and other parties that are, by statute, contract, or agreement, legally responsible for payment of a claim for a health care item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80.7(1)</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 </w:t>
      </w:r>
      <w:r>
        <w:rPr>
          <w:rFonts w:ascii="Times New Roman" w:hAnsi="Times New Roman"/>
          <w:b w:val="false"/>
          <w:i w:val="false"/>
          <w:color w:val="000000"/>
          <w:sz w:val="22"/>
        </w:rPr>
        <w:t>The parties shall sign a data use agreement for the purposes of this rule. A data use agreement shall prescribe the specific detail elements required, in addition to any privacy protections, in the manner in which information shall be provided to the department of human services, or its designee, and the acceptable uses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provision of data shall include the data necessary to enable the department or its designee to match covered persons and identify third-party payers for the two-year period before the initial provision of the data. The data shall include the name, address, and identifying number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monthly matches may be limited to changes in the data previously provided, including additional covered persons, with the effective dates of the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data. </w:t>
      </w:r>
      <w:r>
        <w:rPr>
          <w:rFonts w:ascii="Times New Roman" w:hAnsi="Times New Roman"/>
          <w:b w:val="false"/>
          <w:i w:val="false"/>
          <w:color w:val="000000"/>
          <w:sz w:val="22"/>
        </w:rPr>
        <w:t>The exchange of information carried out under this rule shall be consistent with all laws, regulations, and rules relating to the confidentiality or privacy of personal information or medical records,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Health Insurance Portability and Accountability Act of 1996, Public Law 104-191;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Regulations promulgated in accordance with that Act and published in </w:t>
      </w:r>
      <w:r>
        <w:rPr>
          <w:rFonts w:ascii="Times New Roman" w:hAnsi="Times New Roman"/>
          <w:b w:val="false"/>
          <w:i w:val="false"/>
          <w:color w:val="000000"/>
          <w:sz w:val="22"/>
        </w:rPr>
        <w:t>45 CFR Parts 160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164</w:t>
      </w:r>
      <w:r>
        <w:rPr>
          <w:rFonts w:ascii="Times New Roman" w:hAnsi="Times New Roman"/>
          <w:b w:val="false"/>
          <w:i w:val="false"/>
          <w:color w:val="000000"/>
          <w:sz w:val="22"/>
        </w:rPr>
        <w:t xml:space="preserve"> as amended to April 11,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1070C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6851C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11, 1970; amended September 5, 1973]</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5/31/84 after Notice 4/11/84—published 6/20/84, effective 7/1/84]</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4/28/86, Notice 2/26/86—published 5/21/86,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1/1/89]</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4/13/90, Notice 11/29/90—published 5/2/90, effective 8/1/90]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1/16/92 after Notice 11/29/91—published 2/5/92, effective 3/1/92]</w:t>
      </w:r>
    </w:p>
    <w:p>
      <w:pPr>
        <w:spacing w:before="0" w:after="0"/>
        <w:ind w:left="120"/>
        <w:jc w:val="center"/>
      </w:pPr>
      <w:r>
        <w:rPr>
          <w:rFonts w:ascii="Times New Roman" w:hAnsi="Times New Roman"/>
          <w:b w:val="false"/>
          <w:i w:val="false"/>
          <w:color w:val="000000"/>
          <w:sz w:val="21"/>
        </w:rPr>
        <w:t>[Filed 3/12/92, Notice 2/5/92—published 4/1/92, effective 7/1/92]</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5/16/03, Notice 4/2/03—published 6/11/03, effective 7/16/03]</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ARC 7547B</w:t>
      </w:r>
      <w:r>
        <w:rPr>
          <w:rFonts w:ascii="Times New Roman" w:hAnsi="Times New Roman"/>
          <w:b w:val="false"/>
          <w:i w:val="false"/>
          <w:color w:val="000000"/>
          <w:sz w:val="21"/>
        </w:rPr>
        <w:t xml:space="preserve"> (Notice ARC 7355B,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Emergency ARC 9724B, IAB 9/7/11, effective 9/1/11]</w:t>
      </w:r>
    </w:p>
    <w:p>
      <w:pPr>
        <w:spacing w:before="0" w:after="0"/>
        <w:ind w:left="120"/>
        <w:jc w:val="center"/>
      </w:pPr>
      <w:r>
        <w:rPr>
          <w:rFonts w:ascii="Times New Roman" w:hAnsi="Times New Roman"/>
          <w:b w:val="false"/>
          <w:i w:val="false"/>
          <w:color w:val="000000"/>
          <w:sz w:val="21"/>
        </w:rPr>
        <w:t>[Filed ARC 9889B</w:t>
      </w:r>
      <w:r>
        <w:rPr>
          <w:rFonts w:ascii="Times New Roman" w:hAnsi="Times New Roman"/>
          <w:b w:val="false"/>
          <w:i w:val="false"/>
          <w:color w:val="000000"/>
          <w:sz w:val="21"/>
        </w:rPr>
        <w:t xml:space="preserve"> (Notice ARC 9725B,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1070C</w:t>
      </w:r>
      <w:r>
        <w:rPr>
          <w:rFonts w:ascii="Times New Roman" w:hAnsi="Times New Roman"/>
          <w:b w:val="false"/>
          <w:i w:val="false"/>
          <w:color w:val="000000"/>
          <w:sz w:val="21"/>
        </w:rPr>
        <w:t xml:space="preserve"> (Notice ARC 0909C, IAB 8/7/13)</w:t>
      </w:r>
      <w:r>
        <w:rPr>
          <w:rFonts w:ascii="Times New Roman" w:hAnsi="Times New Roman"/>
          <w:b w:val="false"/>
          <w:i w:val="false"/>
          <w:color w:val="000000"/>
          <w:sz w:val="21"/>
        </w:rPr>
        <w:t>, IAB 10/2/13, effective 10/1/13]</w:t>
      </w:r>
    </w:p>
    <w:p>
      <w:pPr>
        <w:spacing w:before="0" w:after="0"/>
        <w:ind w:left="120"/>
        <w:jc w:val="center"/>
      </w:pPr>
      <w:r>
        <w:rPr>
          <w:rFonts w:ascii="Times New Roman" w:hAnsi="Times New Roman"/>
          <w:b w:val="false"/>
          <w:i w:val="false"/>
          <w:color w:val="000000"/>
          <w:sz w:val="21"/>
        </w:rPr>
        <w:t>[Filed ARC 1155C</w:t>
      </w:r>
      <w:r>
        <w:rPr>
          <w:rFonts w:ascii="Times New Roman" w:hAnsi="Times New Roman"/>
          <w:b w:val="false"/>
          <w:i w:val="false"/>
          <w:color w:val="000000"/>
          <w:sz w:val="21"/>
        </w:rPr>
        <w:t xml:space="preserve"> (Notice ARC 0912C,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2165C</w:t>
      </w:r>
      <w:r>
        <w:rPr>
          <w:rFonts w:ascii="Times New Roman" w:hAnsi="Times New Roman"/>
          <w:b w:val="false"/>
          <w:i w:val="false"/>
          <w:color w:val="000000"/>
          <w:sz w:val="21"/>
        </w:rPr>
        <w:t xml:space="preserve"> (Notice ARC 2061C, IAB 7/22/15)</w:t>
      </w:r>
      <w:r>
        <w:rPr>
          <w:rFonts w:ascii="Times New Roman" w:hAnsi="Times New Roman"/>
          <w:b w:val="false"/>
          <w:i w:val="false"/>
          <w:color w:val="000000"/>
          <w:sz w:val="21"/>
        </w:rPr>
        <w:t>, IAB 9/30/15, effective 12/1/15]</w:t>
      </w:r>
    </w:p>
    <w:p>
      <w:pPr>
        <w:spacing w:before="0" w:after="0"/>
        <w:ind w:left="120"/>
        <w:jc w:val="center"/>
      </w:pPr>
      <w:r>
        <w:rPr>
          <w:rFonts w:ascii="Times New Roman" w:hAnsi="Times New Roman"/>
          <w:b w:val="false"/>
          <w:i w:val="false"/>
          <w:color w:val="000000"/>
          <w:sz w:val="21"/>
        </w:rPr>
        <w:t>[Filed Emergency ARC 3159C, IAB 7/5/17, effective 7/1/17]</w:t>
      </w:r>
    </w:p>
    <w:p>
      <w:pPr>
        <w:spacing w:before="0" w:after="0"/>
        <w:ind w:left="120"/>
        <w:jc w:val="center"/>
      </w:pPr>
      <w:r>
        <w:rPr>
          <w:rFonts w:ascii="Times New Roman" w:hAnsi="Times New Roman"/>
          <w:b w:val="false"/>
          <w:i w:val="false"/>
          <w:color w:val="000000"/>
          <w:sz w:val="21"/>
        </w:rPr>
        <w:t>[Filed ARC 3296C</w:t>
      </w:r>
      <w:r>
        <w:rPr>
          <w:rFonts w:ascii="Times New Roman" w:hAnsi="Times New Roman"/>
          <w:b w:val="false"/>
          <w:i w:val="false"/>
          <w:color w:val="000000"/>
          <w:sz w:val="21"/>
        </w:rPr>
        <w:t xml:space="preserve"> (Notice ARC 3163C,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6851C</w:t>
      </w:r>
      <w:r>
        <w:rPr>
          <w:rFonts w:ascii="Times New Roman" w:hAnsi="Times New Roman"/>
          <w:b w:val="false"/>
          <w:i w:val="false"/>
          <w:color w:val="000000"/>
          <w:sz w:val="21"/>
        </w:rPr>
        <w:t xml:space="preserve"> (Notice ARC 6641C, IAB 11/16/22)</w:t>
      </w:r>
      <w:r>
        <w:rPr>
          <w:rFonts w:ascii="Times New Roman" w:hAnsi="Times New Roman"/>
          <w:b w:val="false"/>
          <w:i w:val="false"/>
          <w:color w:val="000000"/>
          <w:sz w:val="21"/>
        </w:rPr>
        <w:t>, IAB 2/8/23, effective 4/1/23]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81.pdf" Type="http://schemas.openxmlformats.org/officeDocument/2006/relationships/hyperlink" Id="rId5"/>
    <Relationship TargetMode="External" Target="https://www.legis.iowa.gov/docs/iac/chapter/441.90.pdf" Type="http://schemas.openxmlformats.org/officeDocument/2006/relationships/hyperlink" Id="rId6"/>
    <Relationship TargetMode="External" Target="http://dhs.iowa.gov/sites/default/files/All-IV.pdf" Type="http://schemas.openxmlformats.org/officeDocument/2006/relationships/hyperlink" Id="rId7"/>
    <Relationship TargetMode="External" Target="https://www.legis.iowa.gov/docs/iac/chapter/441.76.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co/chapter/249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