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OTHER POLICIES RELATING TO PROVIDERS OF</w:t>
      </w:r>
      <w:r>
        <w:br/>
      </w:r>
      <w:r>
        <w:rPr>
          <w:rFonts w:ascii="Times New Roman" w:hAnsi="Times New Roman"/>
          <w:b w:val="false"/>
          <w:i w:val="false"/>
          <w:color w:val="000000"/>
          <w:sz w:val="21"/>
        </w:rPr>
        <w:t>MEDICAL AND REMEDIAL CARE</w:t>
      </w:r>
    </w:p>
    <w:p>
      <w:pPr>
        <w:spacing w:before="0" w:after="0"/>
        <w:ind w:left="120"/>
        <w:jc w:val="center"/>
      </w:pPr>
      <w:r>
        <w:rPr>
          <w:rFonts w:ascii="Times New Roman" w:hAnsi="Times New Roman"/>
          <w:b w:val="false"/>
          <w:i w:val="false"/>
          <w:color w:val="000000"/>
          <w:sz w:val="14"/>
        </w:rPr>
        <w:t>[Prior to 7/1/83, Social Services[770] 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441—79.1</w:t>
      </w:r>
      <w:r>
        <w:rPr>
          <w:rFonts w:ascii="Times New Roman" w:hAnsi="Times New Roman"/>
          <w:b/>
          <w:i w:val="false"/>
          <w:color w:val="000000"/>
          <w:sz w:val="22"/>
        </w:rPr>
        <w:t xml:space="preserve">(249A) </w:t>
      </w:r>
      <w:r>
        <w:rPr>
          <w:rFonts w:ascii="Times New Roman" w:hAnsi="Times New Roman"/>
          <w:b/>
          <w:i w:val="false"/>
          <w:color w:val="000000"/>
          <w:sz w:val="22"/>
        </w:rPr>
        <w:t xml:space="preserve">Principles governing reimbursement of providers of medical and health services. </w:t>
      </w:r>
      <w:r>
        <w:rPr>
          <w:rFonts w:ascii="Times New Roman" w:hAnsi="Times New Roman"/>
          <w:b w:val="false"/>
          <w:i w:val="false"/>
          <w:color w:val="000000"/>
          <w:sz w:val="22"/>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ind w:left="120"/>
        <w:jc w:val="both"/>
      </w:pPr>
      <w:r>
        <w:rPr>
          <w:rFonts w:ascii="Times New Roman" w:hAnsi="Times New Roman"/>
          <w:b w:val="false"/>
          <w:i w:val="false"/>
          <w:color w:val="000000"/>
          <w:sz w:val="22"/>
        </w:rPr>
        <w:t xml:space="preserve">For purposes of this chapter, “managed care organization” 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w:t>
      </w:r>
      <w:r>
        <w:rPr>
          <w:rFonts w:ascii="Times New Roman" w:hAnsi="Times New Roman"/>
          <w:b w:val="false"/>
          <w:i w:val="false"/>
          <w:color w:val="000000"/>
          <w:sz w:val="22"/>
        </w:rPr>
        <w:t> </w:t>
      </w:r>
      <w:r>
        <w:rPr>
          <w:rFonts w:ascii="Times New Roman" w:hAnsi="Times New Roman"/>
          <w:b w:val="false"/>
          <w:i/>
          <w:color w:val="000000"/>
          <w:sz w:val="22"/>
        </w:rPr>
        <w:t xml:space="preserve">Types of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Prospective cost-related. </w:t>
      </w:r>
      <w:r>
        <w:rPr>
          <w:rFonts w:ascii="Times New Roman" w:hAnsi="Times New Roman"/>
          <w:b w:val="false"/>
          <w:i w:val="false"/>
          <w:color w:val="000000"/>
          <w:sz w:val="22"/>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Retrospective cost-related. </w:t>
      </w:r>
      <w:r>
        <w:rPr>
          <w:rFonts w:ascii="Times New Roman" w:hAnsi="Times New Roman"/>
          <w:b w:val="false"/>
          <w:i w:val="false"/>
          <w:color w:val="000000"/>
          <w:sz w:val="22"/>
        </w:rPr>
        <w:t>Providers are reimbursed on the basis of a per diem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schedules. </w:t>
      </w:r>
      <w:r>
        <w:rPr>
          <w:rFonts w:ascii="Times New Roman" w:hAnsi="Times New Roman"/>
          <w:b w:val="false"/>
          <w:i w:val="false"/>
          <w:color w:val="000000"/>
          <w:sz w:val="22"/>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charge made by the provider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maximum allowance under the fee schedule for the item of service in question.</w:t>
      </w:r>
    </w:p>
    <w:p>
      <w:pPr>
        <w:spacing w:before="0" w:after="0"/>
        <w:ind w:left="120"/>
        <w:jc w:val="both"/>
      </w:pPr>
      <w:r>
        <w:rPr>
          <w:rFonts w:ascii="Times New Roman" w:hAnsi="Times New Roman"/>
          <w:b w:val="false"/>
          <w:i w:val="false"/>
          <w:color w:val="000000"/>
          <w:sz w:val="22"/>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beginning July 1, 1988.</w:t>
      </w:r>
    </w:p>
    <w:p>
      <w:pPr>
        <w:spacing w:before="0" w:after="0"/>
        <w:ind w:left="120"/>
        <w:jc w:val="both"/>
      </w:pPr>
      <w:r>
        <w:rPr>
          <w:rFonts w:ascii="Times New Roman" w:hAnsi="Times New Roman"/>
          <w:b w:val="false"/>
          <w:i w:val="false"/>
          <w:color w:val="000000"/>
          <w:sz w:val="22"/>
        </w:rPr>
        <w:t xml:space="preserve">There are some variations in this methodology which are applicable to certain providers. These are set forth below in subrules </w:t>
      </w:r>
      <w:hyperlink r:id="rId6">
        <w:r>
          <w:rPr>
            <w:rStyle w:val="Hyperlink"/>
            <w:rFonts w:ascii="Times New Roman" w:hAnsi="Times New Roman"/>
            <w:b w:val="false"/>
            <w:i w:val="false"/>
            <w:color w:val="000000"/>
            <w:sz w:val="22"/>
          </w:rPr>
          <w:t>79.1(3)</w:t>
        </w:r>
      </w:hyperlink>
      <w:r>
        <w:rPr>
          <w:rFonts w:ascii="Times New Roman" w:hAnsi="Times New Roman"/>
          <w:b w:val="false"/>
          <w:i w:val="false"/>
          <w:color w:val="000000"/>
          <w:sz w:val="22"/>
        </w:rPr>
        <w:t xml:space="preserve"> to </w:t>
      </w:r>
      <w:hyperlink r:id="rId7">
        <w:r>
          <w:rPr>
            <w:rStyle w:val="Hyperlink"/>
            <w:rFonts w:ascii="Times New Roman" w:hAnsi="Times New Roman"/>
            <w:b w:val="false"/>
            <w:i w:val="false"/>
            <w:color w:val="000000"/>
            <w:sz w:val="22"/>
          </w:rPr>
          <w:t>79.1(9)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Fee schedules in effect for the providers covered by fee schedules can be obtained from the department’s website at: </w:t>
      </w:r>
      <w:hyperlink r:id="rId9">
        <w:r>
          <w:rPr>
            <w:rStyle w:val="Hyperlink"/>
            <w:rFonts w:ascii="Times New Roman" w:hAnsi="Times New Roman"/>
            <w:b w:val="false"/>
            <w:i w:val="false"/>
            <w:color w:val="000000"/>
            <w:sz w:val="22"/>
            <w:u w:val="single"/>
          </w:rPr>
          <w:t>dhs.iowa.gov/ime/providers/csrp/fee-schedule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 for service with cost settlement.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10/10/18</w:t>
      </w:r>
      <w:r>
        <w:rPr>
          <w:rFonts w:ascii="Times New Roman" w:hAnsi="Times New Roman"/>
          <w:b w:val="false"/>
          <w:i w:val="false"/>
          <w:color w:val="000000"/>
          <w:sz w:val="22"/>
        </w:rPr>
        <w:t>, effective 12/1/18.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limited prospective rates. </w:t>
      </w:r>
      <w:r>
        <w:rPr>
          <w:rFonts w:ascii="Times New Roman" w:hAnsi="Times New Roman"/>
          <w:b w:val="false"/>
          <w:i w:val="false"/>
          <w:color w:val="000000"/>
          <w:sz w:val="22"/>
        </w:rPr>
        <w:t xml:space="preserve">Providers are reimbursed on the basis of a rate for a unit of service calculated prospectively for each participating provider (and, for supported community living daily rates, for each consumer or site) based on projected or historical costs of operation subject to the maximums listed in subrule </w:t>
      </w:r>
      <w:hyperlink r:id="rId10">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subparagraph </w:t>
      </w:r>
      <w:hyperlink r:id="rId11">
        <w:r>
          <w:rPr>
            <w:rStyle w:val="Hyperlink"/>
            <w:rFonts w:ascii="Times New Roman" w:hAnsi="Times New Roman"/>
            <w:b w:val="false"/>
            <w:i w:val="false"/>
            <w:color w:val="000000"/>
            <w:sz w:val="22"/>
          </w:rPr>
          <w:t>79.1(1)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prospective rates for new providers who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rates paid established providers who have submitted an annual report with a minimum of a six-month history are based on reasonable and proper costs in a base period and are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prospective rates paid to both new and established providers are subject to the maximums listed in subrule </w:t>
      </w:r>
      <w:hyperlink r:id="rId12">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paragraph </w:t>
      </w:r>
      <w:hyperlink r:id="rId13">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rate. </w:t>
      </w:r>
      <w:r>
        <w:rPr>
          <w:rFonts w:ascii="Times New Roman" w:hAnsi="Times New Roman"/>
          <w:b w:val="false"/>
          <w:i w:val="false"/>
          <w:color w:val="000000"/>
          <w:sz w:val="22"/>
        </w:rPr>
        <w:t>Providers are reimbursed on a basis of costs incurred pursuant to a contract between the provider and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adjusted prospective rates. </w:t>
      </w:r>
      <w:r>
        <w:rPr>
          <w:rFonts w:ascii="Times New Roman" w:hAnsi="Times New Roman"/>
          <w:b w:val="false"/>
          <w:i w:val="false"/>
          <w:color w:val="000000"/>
          <w:sz w:val="22"/>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shall be recovered by the department. See paragraphs </w:t>
      </w:r>
      <w:hyperlink r:id="rId14">
        <w:r>
          <w:rPr>
            <w:rStyle w:val="Hyperlink"/>
            <w:rFonts w:ascii="Times New Roman" w:hAnsi="Times New Roman"/>
            <w:b w:val="false"/>
            <w:i w:val="false"/>
            <w:color w:val="000000"/>
            <w:sz w:val="22"/>
          </w:rPr>
          <w:t>79.1(5)</w:t>
        </w:r>
        <w:r>
          <w:rPr>
            <w:rFonts w:ascii="Times New Roman" w:hAnsi="Times New Roman"/>
            <w:b w:val="false"/>
            <w:i/>
            <w:color w:val="000000"/>
            <w:sz w:val="22"/>
          </w:rPr>
          <w:t>“aa”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79.1(16)</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Indian health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6">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For services provided to American Indians or Alaskan natives, Indian health facilities may bill for one visit per patient per calendar day for medical services (at the “outpatient per visit rate (excluding Medicare)”), which shall constitute payment in full for all medical services provided on that day, except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services provided to American Indians or Alaskan natives, Indian health facilities may also bill for one visit per patient per calendar day for outpatient prescribed drugs provided by the facility (at the “outpatient per visit rate (excluding Medicare)”), which shall constitute payment in full for all outpatient prescribed drugs provided on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When the department’s reimbursement methodology for any provider includes an inflation factor, this inflation factor shall not exceed the amount by which the consumer price index for all urban consumers increased during the calendar year ending December 31,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w:t>
      </w:r>
      <w:r>
        <w:rPr>
          <w:rFonts w:ascii="Times New Roman" w:hAnsi="Times New Roman"/>
          <w:b w:val="false"/>
          <w:i w:val="false"/>
          <w:color w:val="000000"/>
          <w:sz w:val="22"/>
        </w:rPr>
        <w:t> </w:t>
      </w:r>
      <w:r>
        <w:rPr>
          <w:rFonts w:ascii="Times New Roman" w:hAnsi="Times New Roman"/>
          <w:b w:val="false"/>
          <w:i/>
          <w:color w:val="000000"/>
          <w:sz w:val="22"/>
        </w:rPr>
        <w:t xml:space="preserve">Basis of reimbursement of specific provider categories. </w:t>
      </w:r>
    </w:p>
    <w:tbl>
      <w:tblPr>
        <w:tblW w:w="5000" w:type="pct"/>
        <w:tblCellSpacing w:w="0" w:type="auto"/>
        <w:tblBorders>
          <w:top w:val="none"/>
          <w:left w:val="none"/>
          <w:bottom w:val="none"/>
          <w:right w:val="none"/>
          <w:insideH w:val="none"/>
          <w:insideV w:val="none"/>
        </w:tblBorders>
        <w:tblLayout w:type="fixed"/>
      </w:tblPr>
      <w:tblGrid>
        <w:gridCol w:w="4202"/>
        <w:gridCol w:w="3584"/>
        <w:gridCol w:w="3404"/>
      </w:tblGrid>
      <w:tr>
        <w:trPr>
          <w:trHeight w:val="21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Provider category</w:t>
            </w:r>
          </w:p>
        </w:tc>
        <w:tc>
          <w:tcPr>
            <w:tcW w:w="358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Basis of reimbursement</w:t>
            </w:r>
          </w:p>
        </w:tc>
        <w:tc>
          <w:tcPr>
            <w:tcW w:w="3404"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Upper limit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Advanced registered nurse</w:t>
            </w:r>
          </w:p>
          <w:p>
            <w:pPr>
              <w:spacing w:before="0" w:after="0"/>
              <w:ind w:left="304"/>
              <w:jc w:val="left"/>
            </w:pPr>
            <w:r>
              <w:rPr>
                <w:rFonts w:ascii="Times New Roman" w:hAnsi="Times New Roman"/>
                <w:b w:val="false"/>
                <w:i w:val="false"/>
                <w:color w:val="000000"/>
                <w:sz w:val="16"/>
              </w:rPr>
              <w:t>practitioners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Ambulance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Ground ambulance: Fee schedule in effect 6/30/14</w:t>
            </w:r>
          </w:p>
          <w:p>
            <w:pPr>
              <w:spacing w:before="0" w:after="0"/>
              <w:ind w:left="160"/>
              <w:jc w:val="left"/>
            </w:pPr>
            <w:r>
              <w:rPr>
                <w:rFonts w:ascii="Times New Roman" w:hAnsi="Times New Roman"/>
                <w:b w:val="false"/>
                <w:i w:val="false"/>
                <w:color w:val="000000"/>
                <w:sz w:val="16"/>
              </w:rPr>
              <w:t>plus 10%.</w:t>
            </w:r>
          </w:p>
          <w:p>
            <w:pPr>
              <w:spacing w:before="0" w:after="0"/>
              <w:ind w:left="160"/>
              <w:jc w:val="left"/>
            </w:pPr>
            <w:r>
              <w:rPr>
                <w:rFonts w:ascii="Times New Roman" w:hAnsi="Times New Roman"/>
                <w:b w:val="false"/>
                <w:i w:val="false"/>
                <w:color w:val="000000"/>
                <w:sz w:val="16"/>
              </w:rPr>
              <w:t>Air ambulance: Fee schedule in effect 7/1/21.</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surgical centers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Base rate fee schedule as determined by Medicare.</w:t>
            </w:r>
          </w:p>
          <w:p>
            <w:pPr>
              <w:spacing w:before="0" w:after="0"/>
              <w:ind w:left="160"/>
              <w:jc w:val="left"/>
            </w:pPr>
            <w:r>
              <w:rPr>
                <w:rFonts w:ascii="Times New Roman" w:hAnsi="Times New Roman"/>
                <w:b w:val="false"/>
                <w:i w:val="false"/>
                <w:color w:val="000000"/>
                <w:sz w:val="16"/>
              </w:rPr>
              <w:t xml:space="preserve">See </w:t>
            </w:r>
            <w:hyperlink r:id="rId17">
              <w:r>
                <w:rPr>
                  <w:rStyle w:val="Hyperlink"/>
                  <w:rFonts w:ascii="Times New Roman" w:hAnsi="Times New Roman"/>
                  <w:b w:val="false"/>
                  <w:i w:val="false"/>
                  <w:color w:val="000000"/>
                  <w:sz w:val="16"/>
                </w:rPr>
                <w:t>79.1(3)</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Applied behavior analysis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Area education agencies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6/30/00 plus 0.7%.</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Assertive community treatment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7/1/19. Maximum of 5 days per week.</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Audiologists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intervention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Birth centers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care medical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Chiropractors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physician reimbursement rate.</w:t>
            </w:r>
          </w:p>
        </w:tc>
      </w:tr>
      <w:tr>
        <w:trPr>
          <w:trHeight w:val="102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Community-based neurobehavioral </w:t>
            </w:r>
          </w:p>
          <w:p>
            <w:pPr>
              <w:spacing w:before="0" w:after="0"/>
              <w:ind w:left="304"/>
              <w:jc w:val="left"/>
            </w:pPr>
            <w:r>
              <w:rPr>
                <w:rFonts w:ascii="Times New Roman" w:hAnsi="Times New Roman"/>
                <w:b w:val="false"/>
                <w:i w:val="false"/>
                <w:color w:val="000000"/>
                <w:sz w:val="16"/>
              </w:rPr>
              <w:t>rehabilitation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18">
              <w:r>
                <w:rPr>
                  <w:rStyle w:val="Hyperlink"/>
                  <w:rFonts w:ascii="Times New Roman" w:hAnsi="Times New Roman"/>
                  <w:b w:val="false"/>
                  <w:i w:val="false"/>
                  <w:color w:val="000000"/>
                  <w:sz w:val="16"/>
                </w:rPr>
                <w:t>79.1(28)</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Limit in effect as of June 30 each year plus CPI-U for the preceding 12-month period ending June 30. Intermittent: $21.11 per 15-minute unit.</w:t>
            </w:r>
          </w:p>
        </w:tc>
      </w:tr>
      <w:tr>
        <w:trPr>
          <w:trHeight w:val="93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 mental health </w:t>
            </w:r>
          </w:p>
          <w:p>
            <w:pPr>
              <w:spacing w:before="0" w:after="0"/>
              <w:ind w:left="304"/>
              <w:jc w:val="left"/>
            </w:pPr>
            <w:r>
              <w:rPr>
                <w:rFonts w:ascii="Times New Roman" w:hAnsi="Times New Roman"/>
                <w:b w:val="false"/>
                <w:i w:val="false"/>
                <w:color w:val="000000"/>
                <w:sz w:val="16"/>
              </w:rPr>
              <w:t xml:space="preserve">centers and providers of mental health services to county residents pursuant to a waiver approved under Iowa Code section </w:t>
            </w:r>
            <w:hyperlink r:id="rId19">
              <w:r>
                <w:rPr>
                  <w:rStyle w:val="Hyperlink"/>
                  <w:rFonts w:ascii="Times New Roman" w:hAnsi="Times New Roman"/>
                  <w:b w:val="false"/>
                  <w:i w:val="false"/>
                  <w:color w:val="000000"/>
                  <w:sz w:val="16"/>
                </w:rPr>
                <w:t>225C.7(3)</w:t>
              </w:r>
            </w:hyperlink>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20">
              <w:r>
                <w:rPr>
                  <w:rStyle w:val="Hyperlink"/>
                  <w:rFonts w:ascii="Times New Roman" w:hAnsi="Times New Roman"/>
                  <w:b w:val="false"/>
                  <w:i w:val="false"/>
                  <w:color w:val="000000"/>
                  <w:sz w:val="16"/>
                </w:rPr>
                <w:t>79.1(25)</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reasonable Medicaid cost as determined by Medicare cost reimbursement principles.</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response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community-based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residential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Drug and alcohol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 prosthetic</w:t>
            </w:r>
          </w:p>
          <w:p>
            <w:pPr>
              <w:spacing w:before="0" w:after="0"/>
              <w:ind w:left="304"/>
              <w:jc w:val="left"/>
            </w:pPr>
            <w:r>
              <w:rPr>
                <w:rFonts w:ascii="Times New Roman" w:hAnsi="Times New Roman"/>
                <w:b w:val="false"/>
                <w:i w:val="false"/>
                <w:color w:val="000000"/>
                <w:sz w:val="16"/>
              </w:rPr>
              <w:t>devices and medical supply dealers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p>
            <w:pPr>
              <w:spacing w:before="0" w:after="0"/>
              <w:ind w:left="160"/>
              <w:jc w:val="left"/>
            </w:pPr>
            <w:r>
              <w:rPr>
                <w:rFonts w:ascii="Times New Roman" w:hAnsi="Times New Roman"/>
                <w:b w:val="false"/>
                <w:i w:val="false"/>
                <w:color w:val="000000"/>
                <w:sz w:val="16"/>
              </w:rPr>
              <w:t xml:space="preserve">See </w:t>
            </w:r>
            <w:hyperlink r:id="rId21">
              <w:r>
                <w:rPr>
                  <w:rStyle w:val="Hyperlink"/>
                  <w:rFonts w:ascii="Times New Roman" w:hAnsi="Times New Roman"/>
                  <w:b w:val="false"/>
                  <w:i w:val="false"/>
                  <w:color w:val="000000"/>
                  <w:sz w:val="16"/>
                </w:rPr>
                <w:t>79.1(4)</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Emergency psychiatric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Family planning clinics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1275"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Federally qualified health</w:t>
            </w:r>
          </w:p>
          <w:p>
            <w:pPr>
              <w:spacing w:before="0" w:after="0"/>
              <w:ind w:left="304"/>
              <w:jc w:val="left"/>
            </w:pPr>
            <w:r>
              <w:rPr>
                <w:rFonts w:ascii="Times New Roman" w:hAnsi="Times New Roman"/>
                <w:b w:val="false"/>
                <w:i w:val="false"/>
                <w:color w:val="000000"/>
                <w:sz w:val="16"/>
              </w:rPr>
              <w:t>centers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22">
              <w:r>
                <w:rPr>
                  <w:rStyle w:val="Hyperlink"/>
                  <w:rFonts w:ascii="Times New Roman" w:hAnsi="Times New Roman"/>
                  <w:b w:val="false"/>
                  <w:i w:val="false"/>
                  <w:color w:val="000000"/>
                  <w:sz w:val="16"/>
                </w:rPr>
                <w:t>441—Chapter 73</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Prospective payment rate as required by the Medicare, Medicaid, and SCHIP Benefits Improvement and Protection Act of 2000 (BIPA 2000) or an alternative methodology allowed thereunder, as specified in “2” below.</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100% of reasonable cost as determined by Medicare cost reimbursement principles.</w:t>
            </w:r>
          </w:p>
        </w:tc>
      </w:tr>
      <w:tr>
        <w:trPr>
          <w:trHeight w:val="11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In the case of services provided pursuant to a contract between an FQHC and a managed care organization (MCO), reimbursement from the MCO shall be supplemented to achieve “1” or “2” above.</w:t>
            </w:r>
          </w:p>
        </w:tc>
      </w:tr>
      <w:tr>
        <w:trPr>
          <w:trHeight w:val="57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HCBS waiver service providers,</w:t>
            </w:r>
          </w:p>
          <w:p>
            <w:pPr>
              <w:spacing w:before="0" w:after="0"/>
              <w:ind w:left="304"/>
              <w:jc w:val="left"/>
            </w:pPr>
            <w:r>
              <w:rPr>
                <w:rFonts w:ascii="Times New Roman" w:hAnsi="Times New Roman"/>
                <w:b w:val="false"/>
                <w:i w:val="false"/>
                <w:color w:val="000000"/>
                <w:sz w:val="16"/>
              </w:rPr>
              <w:t>including: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Except as noted, limits apply to all waivers that cover the named provider.</w:t>
            </w:r>
          </w:p>
        </w:tc>
      </w:tr>
      <w:tr>
        <w:trPr>
          <w:trHeight w:val="1995" w:hRule="atLeast"/>
        </w:trPr>
        <w:tc>
          <w:tcPr>
            <w:tcW w:w="4202"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Adult day care</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AIDS/HIV, brain injury, elderly, and health and disability waivers:</w:t>
            </w:r>
          </w:p>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for AIDS/HIV, brain injury, elderly, and health and disability waivers: Provider’s rate in effect 6/30/22 plus 4.25%, converted to a 15-minute, half-day, full-day, or extended-day rate. If no 6/30/22 rate: Veterans Administration contract rate or $1.58 per 15-minute unit, $25.33 per half day, $50.44 per full day, or $75.63 per extended day if no Veterans Administration contract.</w:t>
            </w:r>
          </w:p>
        </w:tc>
      </w:tr>
      <w:tr>
        <w:trPr>
          <w:trHeight w:val="1995" w:hRule="atLeast"/>
        </w:trPr>
        <w:tc>
          <w:tcPr>
            <w:tcW w:w="0" w:type="auto"/>
            <w:vMerge/>
            <w:tcBorders>
              <w:top w:val="nil"/>
            </w:tcBorders>
          </w:tcP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intellectual disability waiver:</w:t>
            </w:r>
          </w:p>
          <w:p>
            <w:pPr>
              <w:spacing w:before="0" w:after="0"/>
              <w:ind w:left="160"/>
              <w:jc w:val="left"/>
            </w:pPr>
            <w:r>
              <w:rPr>
                <w:rFonts w:ascii="Times New Roman" w:hAnsi="Times New Roman"/>
                <w:b w:val="false"/>
                <w:i w:val="false"/>
                <w:color w:val="000000"/>
                <w:sz w:val="16"/>
              </w:rPr>
              <w:t xml:space="preserve">Fee schedule for the member’s acuity tier, determined pursuant to </w:t>
            </w:r>
            <w:hyperlink r:id="rId23">
              <w:r>
                <w:rPr>
                  <w:rStyle w:val="Hyperlink"/>
                  <w:rFonts w:ascii="Times New Roman" w:hAnsi="Times New Roman"/>
                  <w:b w:val="false"/>
                  <w:i w:val="false"/>
                  <w:color w:val="000000"/>
                  <w:sz w:val="16"/>
                </w:rPr>
                <w:t>79.1(30)</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for intellectual disability waiver: The provider’s rate in effect 6/30/22 plus 4.25%, converted to a 15-minute or half-day rate. If no 6/30/22 rate, $2.12 per 15-minute unit or $33.76 per half day.</w:t>
            </w:r>
          </w:p>
          <w:p>
            <w:pPr>
              <w:spacing w:before="0" w:after="0"/>
              <w:ind w:left="160"/>
              <w:jc w:val="left"/>
            </w:pPr>
          </w:p>
          <w:p>
            <w:pPr>
              <w:spacing w:before="0" w:after="0"/>
              <w:ind w:left="160"/>
              <w:jc w:val="left"/>
            </w:pPr>
            <w:r>
              <w:rPr>
                <w:rFonts w:ascii="Times New Roman" w:hAnsi="Times New Roman"/>
                <w:b w:val="false"/>
                <w:i w:val="false"/>
                <w:color w:val="000000"/>
                <w:sz w:val="16"/>
              </w:rPr>
              <w:t xml:space="preserve">For daily services, the fee schedule rate published on the department’s website, pursuant to </w:t>
            </w:r>
            <w:hyperlink r:id="rId24">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25">
              <w:r>
                <w:rPr>
                  <w:rStyle w:val="Hyperlink"/>
                  <w:rFonts w:ascii="Times New Roman" w:hAnsi="Times New Roman"/>
                  <w:b w:val="false"/>
                  <w:i w:val="false"/>
                  <w:color w:val="000000"/>
                  <w:sz w:val="16"/>
                </w:rPr>
                <w:t>79.1(30)</w:t>
              </w:r>
            </w:hyperlink>
            <w:r>
              <w:rPr>
                <w:rFonts w:ascii="Times New Roman" w:hAnsi="Times New Roman"/>
                <w:b w:val="false"/>
                <w:i w:val="false"/>
                <w:color w:val="000000"/>
                <w:sz w:val="16"/>
              </w:rPr>
              <w:t>.</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Emergency response system:</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82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Personal response system</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If no 6/30/22 rate: Initial one-time fee: $56.18. Ongoing monthly fee: $43.69.</w:t>
            </w:r>
          </w:p>
        </w:tc>
      </w:tr>
      <w:tr>
        <w:trPr>
          <w:trHeight w:val="75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Portable locator system</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If no 6/30/22 rate: Initial one-time fee: $56.18. Ongoing monthly fee: $43.69.</w:t>
            </w:r>
          </w:p>
        </w:tc>
      </w:tr>
      <w:tr>
        <w:trPr>
          <w:trHeight w:val="2295"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Home health aides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AIDS/HIV, elderly, and health and disability waivers effective 7/1/22: Lesser of maximum Medicare rate in effect 6/30/22 plus 4.25% or maximum Medicaid rate in effect 6/30/22 plus 4.25%.</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effective 7/1/22: Lesser of maximum Medicare rate in effect 6/30/22 plus 4.25% or maximum Medicaid rate in effect 6/30/22 plus 4.25%, converted to an hourly rate.</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Homemakers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converted to a 15-minute rate. If no 6/30/22 rate: $5.61 per 15-minute unit.</w:t>
            </w:r>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Nursing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AIDS/HIV, health and disability, elderly and intellectual disability waiver effective 7/1/22, provider’s rate in effect 6/30/22 plus 4.25%. If no 6/30/22 rate: $94.98 per visit.</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Respite care when provided by: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health agency: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81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Lesser of maximum Medicare rate in effect 6/30/22 plus 4.25%, converted to a 15-minute rate, or maximum Medicaid rate in effect 6/30/22 plus 4.25%, converted to a 15-minute rate, not to exceed $340.15 per day.</w:t>
            </w:r>
          </w:p>
        </w:tc>
      </w:tr>
      <w:tr>
        <w:trPr>
          <w:trHeight w:val="181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Lesser of maximum Medicare rate in effect 6/30/22 plus 4.25%, converted to a 15-minute rate, or maximum Medicaid rate in effect 6/30/22 plus 4.25%, converted to a 15-minute rate, not to exceed $340.15 per day.</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21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care agency: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$9.67 per 15-minute unit, not to exceed $340.15 per day.</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$5.16 per 15-minute unit, not to exceed $340.15 per day.</w:t>
            </w:r>
          </w:p>
        </w:tc>
      </w:tr>
      <w:tr>
        <w:trPr>
          <w:trHeight w:val="121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21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Nonfacility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$9.67 per 15-minute unit, not to exceed $340.15 per day.</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$5.16 per 15-minute unit, not to exceed $340.15 per day.</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21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Facility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Hospital or nursing facility</w:t>
            </w:r>
          </w:p>
          <w:p>
            <w:pPr>
              <w:spacing w:before="0" w:after="0"/>
              <w:ind w:left="736"/>
              <w:jc w:val="left"/>
            </w:pPr>
            <w:r>
              <w:rPr>
                <w:rFonts w:ascii="Times New Roman" w:hAnsi="Times New Roman"/>
                <w:b w:val="false"/>
                <w:i w:val="false"/>
                <w:color w:val="000000"/>
                <w:sz w:val="16"/>
              </w:rPr>
              <w:t>providing skilled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 for skilled nursing level of care.</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Nursing facility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Camps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Adult day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rate for regular adult day care services.</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Intermediate care facility </w:t>
            </w:r>
          </w:p>
          <w:p>
            <w:pPr>
              <w:spacing w:before="0" w:after="0"/>
              <w:ind w:left="736"/>
              <w:jc w:val="left"/>
            </w:pPr>
            <w:r>
              <w:rPr>
                <w:rFonts w:ascii="Times New Roman" w:hAnsi="Times New Roman"/>
                <w:b w:val="false"/>
                <w:i w:val="false"/>
                <w:color w:val="000000"/>
                <w:sz w:val="16"/>
              </w:rPr>
              <w:t>for persons with an intellectual disability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Residential care facilities </w:t>
            </w:r>
          </w:p>
          <w:p>
            <w:pPr>
              <w:spacing w:before="0" w:after="0"/>
              <w:ind w:left="736"/>
              <w:jc w:val="left"/>
            </w:pPr>
            <w:r>
              <w:rPr>
                <w:rFonts w:ascii="Times New Roman" w:hAnsi="Times New Roman"/>
                <w:b w:val="false"/>
                <w:i w:val="false"/>
                <w:color w:val="000000"/>
                <w:sz w:val="16"/>
              </w:rPr>
              <w:t>for persons with an intellectual</w:t>
            </w:r>
          </w:p>
          <w:p>
            <w:pPr>
              <w:spacing w:before="0" w:after="0"/>
              <w:ind w:left="736"/>
              <w:jc w:val="left"/>
            </w:pPr>
            <w:r>
              <w:rPr>
                <w:rFonts w:ascii="Times New Roman" w:hAnsi="Times New Roman"/>
                <w:b w:val="false"/>
                <w:i w:val="false"/>
                <w:color w:val="000000"/>
                <w:sz w:val="16"/>
              </w:rPr>
              <w:t>disability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contractual daily rate.</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Foster group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daily rate for child welfare services.</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care facilities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 not to exceed contractual daily rate.</w:t>
            </w:r>
          </w:p>
        </w:tc>
      </w:tr>
      <w:tr>
        <w:trPr>
          <w:trHeight w:val="765"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Chore service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converted to a 15-minute rate. If no 6/30/22 rate: $4.37 per 15-minute unit.</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Home-delivered meals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If no 6/30/22 rate: $8.75 per meal. Maximum of 14 meals per week.</w:t>
            </w:r>
          </w:p>
        </w:tc>
      </w:tr>
      <w:tr>
        <w:trPr>
          <w:trHeight w:val="1695"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Home and vehicle</w:t>
            </w:r>
          </w:p>
          <w:p>
            <w:pPr>
              <w:spacing w:before="0" w:after="0"/>
              <w:ind w:left="592"/>
              <w:jc w:val="left"/>
            </w:pPr>
            <w:r>
              <w:rPr>
                <w:rFonts w:ascii="Times New Roman" w:hAnsi="Times New Roman"/>
                <w:b w:val="false"/>
                <w:i w:val="false"/>
                <w:color w:val="000000"/>
                <w:sz w:val="16"/>
              </w:rPr>
              <w:t>modification</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6">
              <w:r>
                <w:rPr>
                  <w:rStyle w:val="Hyperlink"/>
                  <w:rFonts w:ascii="Times New Roman" w:hAnsi="Times New Roman"/>
                  <w:b w:val="false"/>
                  <w:i w:val="false"/>
                  <w:color w:val="000000"/>
                  <w:sz w:val="16"/>
                </w:rPr>
                <w:t>79.1(17)</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elderly waiver effective 7/1/22: $1,145.48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effective 7/1/22: $5,727.37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brain injury, health and disability, and physical disability waivers effective 7/1/22: $6,872.85 per year.</w:t>
            </w:r>
          </w:p>
        </w:tc>
      </w:tr>
      <w:tr>
        <w:trPr>
          <w:trHeight w:val="111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Mental health outreach</w:t>
            </w:r>
          </w:p>
          <w:p>
            <w:pPr>
              <w:spacing w:before="0" w:after="0"/>
              <w:ind w:left="592"/>
              <w:jc w:val="left"/>
            </w:pPr>
            <w:r>
              <w:rPr>
                <w:rFonts w:ascii="Times New Roman" w:hAnsi="Times New Roman"/>
                <w:b w:val="false"/>
                <w:i w:val="false"/>
                <w:color w:val="000000"/>
                <w:sz w:val="16"/>
              </w:rPr>
              <w:t>providers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If no 6/30/22 rate: On-site Medicaid reimbursement rate for center or provider. Maximum of 1,440 units per year.</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Transportation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Nutritional counseling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for non-county contract: Provider’s rate in effect 6/30/22 plus 4.25%, converted to a 15-minute rate. If no 6/30/22 rate: $9.46 per 15-minute unit.</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Assistive devices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7">
              <w:r>
                <w:rPr>
                  <w:rStyle w:val="Hyperlink"/>
                  <w:rFonts w:ascii="Times New Roman" w:hAnsi="Times New Roman"/>
                  <w:b w:val="false"/>
                  <w:i w:val="false"/>
                  <w:color w:val="000000"/>
                  <w:sz w:val="16"/>
                </w:rPr>
                <w:t>79.1(17)</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$124.81 per unit.</w:t>
            </w:r>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Senior companion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for non-county contract: Provider’s rate in effect 6/30/22 plus 4.25%, converted to a 15-minute rate. If no 6/30/22 rate: $2.04 per 15-minute unit.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15. Consumer-directed attendant </w:t>
            </w:r>
          </w:p>
          <w:p>
            <w:pPr>
              <w:spacing w:before="0" w:after="0"/>
              <w:ind w:left="592"/>
              <w:jc w:val="left"/>
            </w:pPr>
            <w:r>
              <w:rPr>
                <w:rFonts w:ascii="Times New Roman" w:hAnsi="Times New Roman"/>
                <w:b w:val="false"/>
                <w:i w:val="false"/>
                <w:color w:val="000000"/>
                <w:sz w:val="16"/>
              </w:rPr>
              <w:t>care provided by: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Agency (other than an elderly waiver assisted living program)</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$5.78 per 15-minute unit, not to exceed $133.70 per day.</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Assisted living program (for elderly waiver only)</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$5.78 per 15-minute unit, not to exceed $133.70 per day.</w:t>
            </w:r>
          </w:p>
        </w:tc>
      </w:tr>
      <w:tr>
        <w:trPr>
          <w:trHeight w:val="217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Effective 7/1/22, $3.87 per 15-minute unit, not to exceed $89.99 per day. When an individual who serves as a member’s legal representative provides services to the member as allowed by </w:t>
            </w:r>
            <w:hyperlink r:id="rId28">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the skill level of the legal representative and may not exceed the median statewide reimbursement rate for the service unless the higher rate receives prior approval from the department.</w:t>
            </w:r>
          </w:p>
        </w:tc>
      </w:tr>
      <w:tr>
        <w:trPr>
          <w:trHeight w:val="21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16. Counseling: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$12.36 per 15-minute unit.</w:t>
            </w:r>
          </w:p>
        </w:tc>
      </w:tr>
      <w:tr>
        <w:trPr>
          <w:trHeight w:val="1245"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$12.35 per 15-minute unit. Rate is divided by the actual number of persons who comprise the group.</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Case management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brain injury and elderly waivers: Fee schedule in effect 7/1/22, provider’s rate in effect 6/30/22 plus 4.25%.</w:t>
            </w:r>
          </w:p>
        </w:tc>
      </w:tr>
      <w:tr>
        <w:trPr>
          <w:trHeight w:val="750" w:hRule="atLeast"/>
        </w:trPr>
        <w:tc>
          <w:tcPr>
            <w:tcW w:w="4202"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Supported community living</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brain injury waiver:</w:t>
            </w:r>
          </w:p>
          <w:p>
            <w:pPr>
              <w:spacing w:before="0" w:after="0"/>
              <w:ind w:left="160"/>
              <w:jc w:val="left"/>
            </w:pPr>
            <w:r>
              <w:rPr>
                <w:rFonts w:ascii="Times New Roman" w:hAnsi="Times New Roman"/>
                <w:b w:val="false"/>
                <w:i w:val="false"/>
                <w:color w:val="000000"/>
                <w:sz w:val="16"/>
              </w:rPr>
              <w:t xml:space="preserve">Retrospectively limited prospective rates. See </w:t>
            </w:r>
            <w:hyperlink r:id="rId29">
              <w:r>
                <w:rPr>
                  <w:rStyle w:val="Hyperlink"/>
                  <w:rFonts w:ascii="Times New Roman" w:hAnsi="Times New Roman"/>
                  <w:b w:val="false"/>
                  <w:i w:val="false"/>
                  <w:color w:val="000000"/>
                  <w:sz w:val="16"/>
                </w:rPr>
                <w:t>79.1(15)</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brain injury waiver effective 7/1/22: $10.02 per 15-minute unit, not to exceed the maximum daily ICF/ID rate per day plus 11.727%.</w:t>
            </w:r>
          </w:p>
        </w:tc>
      </w:tr>
      <w:tr>
        <w:trPr>
          <w:trHeight w:val="1455" w:hRule="atLeast"/>
        </w:trPr>
        <w:tc>
          <w:tcPr>
            <w:tcW w:w="0" w:type="auto"/>
            <w:vMerge/>
            <w:tcBorders>
              <w:top w:val="nil"/>
            </w:tcBorders>
          </w:tcP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intellectual disability waiver:</w:t>
            </w:r>
          </w:p>
          <w:p>
            <w:pPr>
              <w:spacing w:before="0" w:after="0"/>
              <w:ind w:left="160"/>
              <w:jc w:val="left"/>
            </w:pPr>
            <w:r>
              <w:rPr>
                <w:rFonts w:ascii="Times New Roman" w:hAnsi="Times New Roman"/>
                <w:b w:val="false"/>
                <w:i w:val="false"/>
                <w:color w:val="000000"/>
                <w:sz w:val="16"/>
              </w:rPr>
              <w:t xml:space="preserve">Fee schedule for the member’s acuity tier, determined pursuant to 79.1(30). Retrospectively limited prospective rate for SCL 15-minute unit. See </w:t>
            </w:r>
            <w:hyperlink r:id="rId30">
              <w:r>
                <w:rPr>
                  <w:rStyle w:val="Hyperlink"/>
                  <w:rFonts w:ascii="Times New Roman" w:hAnsi="Times New Roman"/>
                  <w:b w:val="false"/>
                  <w:i w:val="false"/>
                  <w:color w:val="000000"/>
                  <w:sz w:val="16"/>
                </w:rPr>
                <w:t>79.1(15)</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intellectual disability waiver effective 7/1/22: $10.02 per 15-minute unit. For daily service, the fee schedule rate published on the department’s website, pursuant to </w:t>
            </w:r>
            <w:hyperlink r:id="rId31">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for the member’s acuity tier, determined pursuant to </w:t>
            </w:r>
            <w:hyperlink r:id="rId32">
              <w:r>
                <w:rPr>
                  <w:rStyle w:val="Hyperlink"/>
                  <w:rFonts w:ascii="Times New Roman" w:hAnsi="Times New Roman"/>
                  <w:b w:val="false"/>
                  <w:i w:val="false"/>
                  <w:color w:val="000000"/>
                  <w:sz w:val="16"/>
                </w:rPr>
                <w:t>79.1(30)</w:t>
              </w:r>
            </w:hyperlink>
          </w:p>
          <w:p>
            <w:pPr>
              <w:spacing w:before="0" w:after="0"/>
              <w:ind w:left="160"/>
              <w:jc w:val="left"/>
            </w:pPr>
            <w:r>
              <w:rPr>
                <w:rFonts w:ascii="Times New Roman" w:hAnsi="Times New Roman"/>
                <w:b w:val="false"/>
                <w:i w:val="false"/>
                <w:color w:val="000000"/>
                <w:sz w:val="16"/>
              </w:rPr>
              <w:t>.</w:t>
            </w:r>
          </w:p>
        </w:tc>
      </w:tr>
      <w:tr>
        <w:trPr>
          <w:trHeight w:val="21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19. Supported employment: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 supported employment</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75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Long-term job coaching</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93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Small-group supported</w:t>
            </w:r>
          </w:p>
          <w:p>
            <w:pPr>
              <w:spacing w:before="0" w:after="0"/>
              <w:ind w:left="736"/>
              <w:jc w:val="left"/>
            </w:pPr>
            <w:r>
              <w:rPr>
                <w:rFonts w:ascii="Times New Roman" w:hAnsi="Times New Roman"/>
                <w:b w:val="false"/>
                <w:i w:val="false"/>
                <w:color w:val="000000"/>
                <w:sz w:val="16"/>
              </w:rPr>
              <w:t xml:space="preserve">employment (2 to 8 </w:t>
            </w:r>
          </w:p>
          <w:p>
            <w:pPr>
              <w:spacing w:before="0" w:after="0"/>
              <w:ind w:left="736"/>
              <w:jc w:val="left"/>
            </w:pPr>
            <w:r>
              <w:rPr>
                <w:rFonts w:ascii="Times New Roman" w:hAnsi="Times New Roman"/>
                <w:b w:val="false"/>
                <w:i w:val="false"/>
                <w:color w:val="000000"/>
                <w:sz w:val="16"/>
              </w:rPr>
              <w:t>individuals)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in effect 7/1/22. Maximum 160 units per week. Total monthly cost for all supported employment services not to exceed $3,302.53 per month.</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Specialized medical equipment</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33">
              <w:r>
                <w:rPr>
                  <w:rStyle w:val="Hyperlink"/>
                  <w:rFonts w:ascii="Times New Roman" w:hAnsi="Times New Roman"/>
                  <w:b w:val="false"/>
                  <w:i w:val="false"/>
                  <w:color w:val="000000"/>
                  <w:sz w:val="16"/>
                </w:rPr>
                <w:t>79.1(17)</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$6,872.85 per year.</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 Behavioral programming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If no 6/30/22 rate: $12.36 per 15 minutes.</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 Family counseling and training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$12.35 per 15-minute unit.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 Prevocational services, including</w:t>
            </w:r>
          </w:p>
          <w:p>
            <w:pPr>
              <w:spacing w:before="0" w:after="0"/>
              <w:ind w:left="592"/>
              <w:jc w:val="left"/>
            </w:pPr>
            <w:r>
              <w:rPr>
                <w:rFonts w:ascii="Times New Roman" w:hAnsi="Times New Roman"/>
                <w:b w:val="false"/>
                <w:i w:val="false"/>
                <w:color w:val="000000"/>
                <w:sz w:val="16"/>
              </w:rPr>
              <w:t>career exploration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in effect 7/1/22.</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 Interim medical monitoring</w:t>
            </w:r>
          </w:p>
          <w:p>
            <w:pPr>
              <w:spacing w:before="0" w:after="0"/>
              <w:ind w:left="592"/>
              <w:jc w:val="left"/>
            </w:pPr>
            <w:r>
              <w:rPr>
                <w:rFonts w:ascii="Times New Roman" w:hAnsi="Times New Roman"/>
                <w:b w:val="false"/>
                <w:i w:val="false"/>
                <w:color w:val="000000"/>
                <w:sz w:val="16"/>
              </w:rPr>
              <w:t>and treatment: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home health</w:t>
            </w:r>
          </w:p>
          <w:p>
            <w:pPr>
              <w:spacing w:before="0" w:after="0"/>
              <w:ind w:left="160"/>
              <w:jc w:val="left"/>
            </w:pPr>
            <w:r>
              <w:rPr>
                <w:rFonts w:ascii="Times New Roman" w:hAnsi="Times New Roman"/>
                <w:b w:val="false"/>
                <w:i w:val="false"/>
                <w:color w:val="000000"/>
                <w:sz w:val="16"/>
              </w:rPr>
              <w:t xml:space="preserve"> aide)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Lesser of maximum Medicare rate in effect 6/30/22 plus 4.25%, converted to a 15-minute rate, or maximum Medicaid rate in effect 6/30/22 plus 4.25%, converted to a 15-minute rate.</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nurse)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Lesser of maximum Medicare rate in effect 6/30/22 plus 4.25%, converted to a 15-minute rate, or maximum Medicaid rate in effect 6/30/22 plus 4.25%, converted to a 15-minute rate.</w:t>
            </w:r>
          </w:p>
        </w:tc>
      </w:tr>
      <w:tr>
        <w:trPr>
          <w:trHeight w:val="75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development home</w:t>
            </w:r>
          </w:p>
          <w:p>
            <w:pPr>
              <w:spacing w:before="0" w:after="0"/>
              <w:ind w:left="736"/>
              <w:jc w:val="left"/>
            </w:pPr>
            <w:r>
              <w:rPr>
                <w:rFonts w:ascii="Times New Roman" w:hAnsi="Times New Roman"/>
                <w:b w:val="false"/>
                <w:i w:val="false"/>
                <w:color w:val="000000"/>
                <w:sz w:val="16"/>
              </w:rPr>
              <w:t>or center</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$3.76 per 15-minute unit.</w:t>
            </w:r>
          </w:p>
        </w:tc>
      </w:tr>
      <w:tr>
        <w:trPr>
          <w:trHeight w:val="1110" w:hRule="atLeast"/>
        </w:trPr>
        <w:tc>
          <w:tcPr>
            <w:tcW w:w="4202"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Supported community living</w:t>
            </w:r>
          </w:p>
          <w:p>
            <w:pPr>
              <w:spacing w:before="0" w:after="0"/>
              <w:ind w:left="736"/>
              <w:jc w:val="left"/>
            </w:pPr>
            <w:r>
              <w:rPr>
                <w:rFonts w:ascii="Times New Roman" w:hAnsi="Times New Roman"/>
                <w:b w:val="false"/>
                <w:i w:val="false"/>
                <w:color w:val="000000"/>
                <w:sz w:val="16"/>
              </w:rPr>
              <w:t>provider</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Retrospectively limited prospective rate. See </w:t>
            </w:r>
            <w:hyperlink r:id="rId34">
              <w:r>
                <w:rPr>
                  <w:rStyle w:val="Hyperlink"/>
                  <w:rFonts w:ascii="Times New Roman" w:hAnsi="Times New Roman"/>
                  <w:b w:val="false"/>
                  <w:i w:val="false"/>
                  <w:color w:val="000000"/>
                  <w:sz w:val="16"/>
                </w:rPr>
                <w:t>79.1(15)</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$10.02 per 15-minute unit, not to exceed the maximum ICF/ID rate per day plus 11.727%.</w:t>
            </w:r>
          </w:p>
        </w:tc>
      </w:tr>
      <w:tr>
        <w:trPr>
          <w:trHeight w:val="1185"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Residential-based supported</w:t>
            </w:r>
          </w:p>
          <w:p>
            <w:pPr>
              <w:spacing w:before="0" w:after="0"/>
              <w:ind w:left="592"/>
              <w:jc w:val="left"/>
            </w:pPr>
            <w:r>
              <w:rPr>
                <w:rFonts w:ascii="Times New Roman" w:hAnsi="Times New Roman"/>
                <w:b w:val="false"/>
                <w:i w:val="false"/>
                <w:color w:val="000000"/>
                <w:sz w:val="16"/>
              </w:rPr>
              <w:t>community living</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for the member’s acuity tier, determined pursuant to </w:t>
            </w:r>
            <w:hyperlink r:id="rId35">
              <w:r>
                <w:rPr>
                  <w:rStyle w:val="Hyperlink"/>
                  <w:rFonts w:ascii="Times New Roman" w:hAnsi="Times New Roman"/>
                  <w:b w:val="false"/>
                  <w:i w:val="false"/>
                  <w:color w:val="000000"/>
                  <w:sz w:val="16"/>
                </w:rPr>
                <w:t>79.1(30)</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The fee schedule rate published on the department’s website, pursuant to 79.1(1)</w:t>
            </w:r>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79.1(30).</w:t>
            </w:r>
          </w:p>
        </w:tc>
      </w:tr>
      <w:tr>
        <w:trPr>
          <w:trHeight w:val="1635"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Day habilitation</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for the member’s acuity tier, determined pursuant to </w:t>
            </w:r>
            <w:hyperlink r:id="rId36">
              <w:r>
                <w:rPr>
                  <w:rStyle w:val="Hyperlink"/>
                  <w:rFonts w:ascii="Times New Roman" w:hAnsi="Times New Roman"/>
                  <w:b w:val="false"/>
                  <w:i w:val="false"/>
                  <w:color w:val="000000"/>
                  <w:sz w:val="16"/>
                </w:rPr>
                <w:t>79.1(30)</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$3.78 per 15-minute unit. For daily service, the fee schedule rate published on the department’s website, pursuant to 79.1(1)</w:t>
            </w:r>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79.1(30).</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 Environmental modifications</w:t>
            </w:r>
          </w:p>
          <w:p>
            <w:pPr>
              <w:spacing w:before="0" w:after="0"/>
              <w:ind w:left="592"/>
              <w:jc w:val="left"/>
            </w:pPr>
            <w:r>
              <w:rPr>
                <w:rFonts w:ascii="Times New Roman" w:hAnsi="Times New Roman"/>
                <w:b w:val="false"/>
                <w:i w:val="false"/>
                <w:color w:val="000000"/>
                <w:sz w:val="16"/>
              </w:rPr>
              <w:t>and adaptive devices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37">
              <w:r>
                <w:rPr>
                  <w:rStyle w:val="Hyperlink"/>
                  <w:rFonts w:ascii="Times New Roman" w:hAnsi="Times New Roman"/>
                  <w:b w:val="false"/>
                  <w:i w:val="false"/>
                  <w:color w:val="000000"/>
                  <w:sz w:val="16"/>
                </w:rPr>
                <w:t>79.1(17)</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$6,872.85 per year.</w:t>
            </w:r>
          </w:p>
        </w:tc>
      </w:tr>
      <w:tr>
        <w:trPr>
          <w:trHeight w:val="75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 Family and community support</w:t>
            </w:r>
          </w:p>
          <w:p>
            <w:pPr>
              <w:spacing w:before="0" w:after="0"/>
              <w:ind w:left="592"/>
              <w:jc w:val="left"/>
            </w:pPr>
            <w:r>
              <w:rPr>
                <w:rFonts w:ascii="Times New Roman" w:hAnsi="Times New Roman"/>
                <w:b w:val="false"/>
                <w:i w:val="false"/>
                <w:color w:val="000000"/>
                <w:sz w:val="16"/>
              </w:rPr>
              <w:t>services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Retrospectively limited prospective rates. See </w:t>
            </w:r>
            <w:hyperlink r:id="rId38">
              <w:r>
                <w:rPr>
                  <w:rStyle w:val="Hyperlink"/>
                  <w:rFonts w:ascii="Times New Roman" w:hAnsi="Times New Roman"/>
                  <w:b w:val="false"/>
                  <w:i w:val="false"/>
                  <w:color w:val="000000"/>
                  <w:sz w:val="16"/>
                </w:rPr>
                <w:t>79.1(15)</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$10.02 per 15-minute unit.</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 In-home family therapy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converted to a 15-minute rate. If no 6/30/22 rate: $26.82 per 15-minute unit.</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 Financial management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If no 6/30/22 rate: $74.46 per enrolled member per month.</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 Independent support broker</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7/1/22, provider’s rate in effect 6/30/22 plus 4.25%. If no 6/30/22 rate: $17.35 per hour.</w:t>
            </w:r>
          </w:p>
        </w:tc>
      </w:tr>
      <w:tr>
        <w:trPr>
          <w:trHeight w:val="1455"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 Self-directed personal care</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Determined by member’s</w:t>
            </w:r>
          </w:p>
          <w:p>
            <w:pPr>
              <w:spacing w:before="0" w:after="0"/>
              <w:ind w:left="160"/>
              <w:jc w:val="left"/>
            </w:pPr>
            <w:r>
              <w:rPr>
                <w:rFonts w:ascii="Times New Roman" w:hAnsi="Times New Roman"/>
                <w:b w:val="false"/>
                <w:i w:val="false"/>
                <w:color w:val="000000"/>
                <w:sz w:val="16"/>
              </w:rPr>
              <w:t xml:space="preserve">individual budget. When an individual who serves as a member’s legal representative provides services to the member as allowed by </w:t>
            </w:r>
            <w:hyperlink r:id="rId39">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441—subparagraph 78.34(13)</w:t>
            </w:r>
            <w:r>
              <w:rPr>
                <w:rFonts w:ascii="Times New Roman" w:hAnsi="Times New Roman"/>
                <w:b w:val="false"/>
                <w:i/>
                <w:color w:val="000000"/>
                <w:sz w:val="16"/>
              </w:rPr>
              <w:t>“g”</w:t>
            </w:r>
            <w:r>
              <w:rPr>
                <w:rFonts w:ascii="Times New Roman" w:hAnsi="Times New Roman"/>
                <w:b w:val="false"/>
                <w:i w:val="false"/>
                <w:color w:val="000000"/>
                <w:sz w:val="16"/>
              </w:rPr>
              <w:t>(2).</w:t>
            </w:r>
          </w:p>
        </w:tc>
      </w:tr>
      <w:tr>
        <w:trPr>
          <w:trHeight w:val="1455"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 Self-directed community</w:t>
            </w:r>
          </w:p>
          <w:p>
            <w:pPr>
              <w:spacing w:before="0" w:after="0"/>
              <w:ind w:left="592"/>
              <w:jc w:val="left"/>
            </w:pPr>
            <w:r>
              <w:rPr>
                <w:rFonts w:ascii="Times New Roman" w:hAnsi="Times New Roman"/>
                <w:b w:val="false"/>
                <w:i w:val="false"/>
                <w:color w:val="000000"/>
                <w:sz w:val="16"/>
              </w:rPr>
              <w:t>supports and employment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Determined by member’s</w:t>
            </w:r>
          </w:p>
          <w:p>
            <w:pPr>
              <w:spacing w:before="0" w:after="0"/>
              <w:ind w:left="160"/>
              <w:jc w:val="left"/>
            </w:pPr>
            <w:r>
              <w:rPr>
                <w:rFonts w:ascii="Times New Roman" w:hAnsi="Times New Roman"/>
                <w:b w:val="false"/>
                <w:i w:val="false"/>
                <w:color w:val="000000"/>
                <w:sz w:val="16"/>
              </w:rPr>
              <w:t xml:space="preserve">individual budget. When an individual who serves as a member’s legal representative provides services to the member as allowed by </w:t>
            </w:r>
            <w:hyperlink r:id="rId40">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441—subparagraph 78.34(13)</w:t>
            </w:r>
            <w:r>
              <w:rPr>
                <w:rFonts w:ascii="Times New Roman" w:hAnsi="Times New Roman"/>
                <w:b w:val="false"/>
                <w:i/>
                <w:color w:val="000000"/>
                <w:sz w:val="16"/>
              </w:rPr>
              <w:t>“g”</w:t>
            </w:r>
            <w:r>
              <w:rPr>
                <w:rFonts w:ascii="Times New Roman" w:hAnsi="Times New Roman"/>
                <w:b w:val="false"/>
                <w:i w:val="false"/>
                <w:color w:val="000000"/>
                <w:sz w:val="16"/>
              </w:rPr>
              <w:t>(2).</w:t>
            </w:r>
          </w:p>
        </w:tc>
      </w:tr>
      <w:tr>
        <w:trPr>
          <w:trHeight w:val="1455"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 Individual-directed goods</w:t>
            </w:r>
          </w:p>
          <w:p>
            <w:pPr>
              <w:spacing w:before="0" w:after="0"/>
              <w:ind w:left="592"/>
              <w:jc w:val="left"/>
            </w:pPr>
            <w:r>
              <w:rPr>
                <w:rFonts w:ascii="Times New Roman" w:hAnsi="Times New Roman"/>
                <w:b w:val="false"/>
                <w:i w:val="false"/>
                <w:color w:val="000000"/>
                <w:sz w:val="16"/>
              </w:rPr>
              <w:t>and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Determined by member’s</w:t>
            </w:r>
          </w:p>
          <w:p>
            <w:pPr>
              <w:spacing w:before="0" w:after="0"/>
              <w:ind w:left="160"/>
              <w:jc w:val="left"/>
            </w:pPr>
            <w:r>
              <w:rPr>
                <w:rFonts w:ascii="Times New Roman" w:hAnsi="Times New Roman"/>
                <w:b w:val="false"/>
                <w:i w:val="false"/>
                <w:color w:val="000000"/>
                <w:sz w:val="16"/>
              </w:rPr>
              <w:t xml:space="preserve">individual budget. When an individual who serves as a member’s legal representative provides services to the member as allowed by </w:t>
            </w:r>
            <w:hyperlink r:id="rId41">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441—subparagraph 78.34(13)</w:t>
            </w:r>
            <w:r>
              <w:rPr>
                <w:rFonts w:ascii="Times New Roman" w:hAnsi="Times New Roman"/>
                <w:b w:val="false"/>
                <w:i/>
                <w:color w:val="000000"/>
                <w:sz w:val="16"/>
              </w:rPr>
              <w:t>“g”</w:t>
            </w:r>
            <w:r>
              <w:rPr>
                <w:rFonts w:ascii="Times New Roman" w:hAnsi="Times New Roman"/>
                <w:b w:val="false"/>
                <w:i w:val="false"/>
                <w:color w:val="000000"/>
                <w:sz w:val="16"/>
              </w:rPr>
              <w:t>(2).</w:t>
            </w:r>
          </w:p>
        </w:tc>
      </w:tr>
      <w:tr>
        <w:trPr>
          <w:trHeight w:val="57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Assisted living on-call</w:t>
            </w:r>
          </w:p>
          <w:p>
            <w:pPr>
              <w:spacing w:before="0" w:after="0"/>
              <w:ind w:left="592"/>
              <w:jc w:val="left"/>
            </w:pPr>
            <w:r>
              <w:rPr>
                <w:rFonts w:ascii="Times New Roman" w:hAnsi="Times New Roman"/>
                <w:b w:val="false"/>
                <w:i w:val="false"/>
                <w:color w:val="000000"/>
                <w:sz w:val="16"/>
              </w:rPr>
              <w:t>service providers (elderly</w:t>
            </w:r>
          </w:p>
          <w:p>
            <w:pPr>
              <w:spacing w:before="0" w:after="0"/>
              <w:ind w:left="592"/>
              <w:jc w:val="left"/>
            </w:pPr>
            <w:r>
              <w:rPr>
                <w:rFonts w:ascii="Times New Roman" w:hAnsi="Times New Roman"/>
                <w:b w:val="false"/>
                <w:i w:val="false"/>
                <w:color w:val="000000"/>
                <w:sz w:val="16"/>
              </w:rPr>
              <w:t>waiver only)</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 member</w:t>
            </w:r>
          </w:p>
          <w:p>
            <w:pPr>
              <w:spacing w:before="0" w:after="0"/>
              <w:ind w:left="160"/>
              <w:jc w:val="left"/>
            </w:pPr>
            <w:r>
              <w:rPr>
                <w:rFonts w:ascii="Times New Roman" w:hAnsi="Times New Roman"/>
                <w:b w:val="false"/>
                <w:i w:val="false"/>
                <w:color w:val="000000"/>
                <w:sz w:val="16"/>
              </w:rPr>
              <w:t>and provider</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$28.16 per day.</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Health home services provider</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based on the member’s qualifying health condition(s)</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Monthly fee schedule amount.</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dispensers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plus product acquisition cost</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and community-based</w:t>
            </w:r>
          </w:p>
          <w:p>
            <w:pPr>
              <w:spacing w:before="0" w:after="0"/>
              <w:ind w:left="304"/>
              <w:jc w:val="left"/>
            </w:pPr>
            <w:r>
              <w:rPr>
                <w:rFonts w:ascii="Times New Roman" w:hAnsi="Times New Roman"/>
                <w:b w:val="false"/>
                <w:i w:val="false"/>
                <w:color w:val="000000"/>
                <w:sz w:val="16"/>
              </w:rPr>
              <w:t>habilitation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Case management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Fee schedule in effect 6/30/22 plus 4.25%.</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Home-based habilitation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5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Day habilitation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$3.57 per 15-minute unit or $69.40 per day.</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 Prevocational habilitation</w:t>
            </w:r>
          </w:p>
          <w:p>
            <w:pPr>
              <w:spacing w:before="0" w:after="0"/>
              <w:ind w:left="448"/>
              <w:jc w:val="left"/>
            </w:pPr>
            <w:r>
              <w:rPr>
                <w:rFonts w:ascii="Times New Roman" w:hAnsi="Times New Roman"/>
                <w:b w:val="false"/>
                <w:i w:val="false"/>
                <w:color w:val="000000"/>
                <w:sz w:val="16"/>
              </w:rPr>
              <w:t>Career exploration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Supported employment: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Individual supported employment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75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Long-term job coaching</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930" w:hRule="atLeast"/>
        </w:trPr>
        <w:tc>
          <w:tcPr>
            <w:tcW w:w="4202"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Small-group supported employment </w:t>
            </w:r>
          </w:p>
          <w:p>
            <w:pPr>
              <w:spacing w:before="0" w:after="0"/>
              <w:ind w:left="592"/>
              <w:jc w:val="left"/>
            </w:pPr>
            <w:r>
              <w:rPr>
                <w:rFonts w:ascii="Times New Roman" w:hAnsi="Times New Roman"/>
                <w:b w:val="false"/>
                <w:i w:val="false"/>
                <w:color w:val="000000"/>
                <w:sz w:val="16"/>
              </w:rPr>
              <w:t>(2 to 8 individuals)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 Maximum 160 units per week. Total monthly cost for all supported employment services not to exceed $3,302.53 per month.</w:t>
            </w:r>
          </w:p>
        </w:tc>
      </w:tr>
      <w:tr>
        <w:trPr>
          <w:trHeight w:val="75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Individual placement and support </w:t>
            </w:r>
          </w:p>
          <w:p>
            <w:pPr>
              <w:spacing w:before="0" w:after="0"/>
              <w:ind w:left="304"/>
              <w:jc w:val="left"/>
            </w:pPr>
            <w:r>
              <w:rPr>
                <w:rFonts w:ascii="Times New Roman" w:hAnsi="Times New Roman"/>
                <w:b w:val="false"/>
                <w:i w:val="false"/>
                <w:color w:val="000000"/>
                <w:sz w:val="16"/>
              </w:rPr>
              <w:t>supported employment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123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health agencies</w:t>
            </w:r>
          </w:p>
          <w:p>
            <w:pPr>
              <w:spacing w:before="0" w:after="0"/>
              <w:ind w:left="160"/>
              <w:jc w:val="left"/>
            </w:pPr>
            <w:r>
              <w:rPr>
                <w:rFonts w:ascii="Times New Roman" w:hAnsi="Times New Roman"/>
                <w:b w:val="false"/>
                <w:i w:val="false"/>
                <w:color w:val="000000"/>
                <w:sz w:val="16"/>
              </w:rPr>
              <w:t> </w:t>
            </w:r>
          </w:p>
          <w:p>
            <w:pPr>
              <w:spacing w:before="0" w:after="0"/>
              <w:ind w:left="304"/>
              <w:jc w:val="left"/>
            </w:pPr>
            <w:r>
              <w:rPr>
                <w:rFonts w:ascii="Times New Roman" w:hAnsi="Times New Roman"/>
                <w:b w:val="false"/>
                <w:i w:val="false"/>
                <w:color w:val="000000"/>
                <w:sz w:val="16"/>
              </w:rPr>
              <w:t>1. Skilled nursing, physical therapy, occupational therapy, speech therapy, home health aide, and medical social services; home health care for maternity patients and children</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Fee schedule. See </w:t>
            </w:r>
            <w:hyperlink r:id="rId42">
              <w:r>
                <w:rPr>
                  <w:rStyle w:val="Hyperlink"/>
                  <w:rFonts w:ascii="Times New Roman" w:hAnsi="Times New Roman"/>
                  <w:b w:val="false"/>
                  <w:i w:val="false"/>
                  <w:color w:val="000000"/>
                  <w:sz w:val="16"/>
                </w:rPr>
                <w:t>79.1(26)</w:t>
              </w:r>
            </w:hyperlink>
            <w:r>
              <w:rPr>
                <w:rFonts w:ascii="Times New Roman" w:hAnsi="Times New Roman"/>
                <w:b w:val="false"/>
                <w:i w:val="false"/>
                <w:color w:val="000000"/>
                <w:sz w:val="16"/>
              </w:rPr>
              <w:t xml:space="preserve">. For members living in a nursing facility, see </w:t>
            </w:r>
            <w:hyperlink r:id="rId43">
              <w:r>
                <w:rPr>
                  <w:rStyle w:val="Hyperlink"/>
                  <w:rFonts w:ascii="Times New Roman" w:hAnsi="Times New Roman"/>
                  <w:b w:val="false"/>
                  <w:i w:val="false"/>
                  <w:color w:val="000000"/>
                  <w:sz w:val="16"/>
                </w:rPr>
                <w:t>441—paragraph 81.6(11)</w:t>
              </w:r>
              <w:r>
                <w:rPr>
                  <w:rFonts w:ascii="Times New Roman" w:hAnsi="Times New Roman"/>
                  <w:b w:val="false"/>
                  <w:i/>
                  <w:color w:val="000000"/>
                  <w:sz w:val="16"/>
                </w:rPr>
                <w:t>“r”</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7/1/22: The Medicaid LUPA fee schedule rate published on the department’s website.</w:t>
            </w:r>
          </w:p>
        </w:tc>
      </w:tr>
      <w:tr>
        <w:trPr>
          <w:trHeight w:val="750" w:hRule="atLeast"/>
        </w:trPr>
        <w:tc>
          <w:tcPr>
            <w:tcW w:w="420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Private-duty nursing and</w:t>
            </w:r>
          </w:p>
          <w:p>
            <w:pPr>
              <w:spacing w:before="0" w:after="0"/>
              <w:ind w:left="304"/>
              <w:jc w:val="left"/>
            </w:pPr>
            <w:r>
              <w:rPr>
                <w:rFonts w:ascii="Times New Roman" w:hAnsi="Times New Roman"/>
                <w:b w:val="false"/>
                <w:i w:val="false"/>
                <w:color w:val="000000"/>
                <w:sz w:val="16"/>
              </w:rPr>
              <w:t>personal cares for members aged 20 or under</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Retrospective cost-related. See </w:t>
            </w:r>
            <w:hyperlink r:id="rId44">
              <w:r>
                <w:rPr>
                  <w:rStyle w:val="Hyperlink"/>
                  <w:rFonts w:ascii="Times New Roman" w:hAnsi="Times New Roman"/>
                  <w:b w:val="false"/>
                  <w:i w:val="false"/>
                  <w:color w:val="000000"/>
                  <w:sz w:val="16"/>
                </w:rPr>
                <w:t>79.1(27)</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7/1/13: Actual and allowable cost not to exceed a maximum of 133% of statewide average.</w:t>
            </w:r>
          </w:p>
        </w:tc>
      </w:tr>
      <w:tr>
        <w:trPr>
          <w:trHeight w:val="210" w:hRule="atLeast"/>
        </w:trPr>
        <w:tc>
          <w:tcPr>
            <w:tcW w:w="420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Administration of vaccines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rate.</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Hospices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as determined</w:t>
            </w:r>
          </w:p>
          <w:p>
            <w:pPr>
              <w:spacing w:before="0" w:after="0"/>
              <w:ind w:left="160"/>
              <w:jc w:val="left"/>
            </w:pPr>
            <w:r>
              <w:rPr>
                <w:rFonts w:ascii="Times New Roman" w:hAnsi="Times New Roman"/>
                <w:b w:val="false"/>
                <w:i w:val="false"/>
                <w:color w:val="000000"/>
                <w:sz w:val="16"/>
              </w:rPr>
              <w:t>by Medicare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Medicare cap.</w:t>
            </w:r>
          </w:p>
          <w:p>
            <w:pPr>
              <w:spacing w:before="0" w:after="0"/>
              <w:ind w:left="160"/>
              <w:jc w:val="left"/>
            </w:pPr>
            <w:r>
              <w:rPr>
                <w:rFonts w:ascii="Times New Roman" w:hAnsi="Times New Roman"/>
                <w:b w:val="false"/>
                <w:i w:val="false"/>
                <w:color w:val="000000"/>
                <w:sz w:val="16"/>
              </w:rPr>
              <w:t xml:space="preserve">(See </w:t>
            </w:r>
            <w:hyperlink r:id="rId45">
              <w:r>
                <w:rPr>
                  <w:rStyle w:val="Hyperlink"/>
                  <w:rFonts w:ascii="Times New Roman" w:hAnsi="Times New Roman"/>
                  <w:b w:val="false"/>
                  <w:i w:val="false"/>
                  <w:color w:val="000000"/>
                  <w:sz w:val="16"/>
                </w:rPr>
                <w:t>79.1(14)</w:t>
              </w:r>
              <w:r>
                <w:rPr>
                  <w:rFonts w:ascii="Times New Roman" w:hAnsi="Times New Roman"/>
                  <w:b w:val="false"/>
                  <w:i/>
                  <w:color w:val="000000"/>
                  <w:sz w:val="16"/>
                </w:rPr>
                <w:t>“d”</w:t>
              </w:r>
            </w:hyperlink>
            <w:r>
              <w:rPr>
                <w:rFonts w:ascii="Times New Roman" w:hAnsi="Times New Roman"/>
                <w:b w:val="false"/>
                <w:i w:val="false"/>
                <w:color w:val="000000"/>
                <w:sz w:val="16"/>
              </w:rPr>
              <w:t>)</w:t>
            </w:r>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(Critical access)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adjusted prospective rates. See </w:t>
            </w:r>
            <w:hyperlink r:id="rId46">
              <w:r>
                <w:rPr>
                  <w:rStyle w:val="Hyperlink"/>
                  <w:rFonts w:ascii="Times New Roman" w:hAnsi="Times New Roman"/>
                  <w:b w:val="false"/>
                  <w:i w:val="false"/>
                  <w:color w:val="000000"/>
                  <w:sz w:val="16"/>
                </w:rPr>
                <w:t>79.1(1)</w:t>
              </w:r>
              <w:r>
                <w:rPr>
                  <w:rFonts w:ascii="Times New Roman" w:hAnsi="Times New Roman"/>
                  <w:b w:val="false"/>
                  <w:i/>
                  <w:color w:val="000000"/>
                  <w:sz w:val="16"/>
                </w:rPr>
                <w:t>“g”</w:t>
              </w:r>
            </w:hyperlink>
            <w:r>
              <w:rPr>
                <w:rFonts w:ascii="Times New Roman" w:hAnsi="Times New Roman"/>
                <w:b w:val="false"/>
                <w:i w:val="false"/>
                <w:color w:val="000000"/>
                <w:sz w:val="16"/>
              </w:rPr>
              <w:t xml:space="preserve"> and </w:t>
            </w:r>
            <w:hyperlink r:id="rId47">
              <w:r>
                <w:rPr>
                  <w:rStyle w:val="Hyperlink"/>
                  <w:rFonts w:ascii="Times New Roman" w:hAnsi="Times New Roman"/>
                  <w:b w:val="false"/>
                  <w:i w:val="false"/>
                  <w:color w:val="000000"/>
                  <w:sz w:val="16"/>
                </w:rPr>
                <w:t>79.1(5)</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reasonable cost of covered services provided to medical assistance recipients or the upper limits for other hospitals, whichever is greater.</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(Inpatient)</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48">
              <w:r>
                <w:rPr>
                  <w:rStyle w:val="Hyperlink"/>
                  <w:rFonts w:ascii="Times New Roman" w:hAnsi="Times New Roman"/>
                  <w:b w:val="false"/>
                  <w:i w:val="false"/>
                  <w:color w:val="000000"/>
                  <w:sz w:val="16"/>
                </w:rPr>
                <w:t>79.1(5)</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Reimbursement rate in effect 6/30/13 plus 1%.</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(Outpatient)</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 or hospital outpatient fee schedule.</w:t>
            </w:r>
          </w:p>
          <w:p>
            <w:pPr>
              <w:spacing w:before="0" w:after="0"/>
              <w:ind w:left="160"/>
              <w:jc w:val="left"/>
            </w:pPr>
            <w:r>
              <w:rPr>
                <w:rFonts w:ascii="Times New Roman" w:hAnsi="Times New Roman"/>
                <w:b w:val="false"/>
                <w:i w:val="false"/>
                <w:color w:val="000000"/>
                <w:sz w:val="16"/>
              </w:rPr>
              <w:t xml:space="preserve">See </w:t>
            </w:r>
            <w:hyperlink r:id="rId49">
              <w:r>
                <w:rPr>
                  <w:rStyle w:val="Hyperlink"/>
                  <w:rFonts w:ascii="Times New Roman" w:hAnsi="Times New Roman"/>
                  <w:b w:val="false"/>
                  <w:i w:val="false"/>
                  <w:color w:val="000000"/>
                  <w:sz w:val="16"/>
                </w:rPr>
                <w:t>79.1(16)</w:t>
              </w:r>
              <w:r>
                <w:rPr>
                  <w:rFonts w:ascii="Times New Roman" w:hAnsi="Times New Roman"/>
                  <w:b w:val="false"/>
                  <w:i/>
                  <w:color w:val="000000"/>
                  <w:sz w:val="16"/>
                </w:rPr>
                <w:t>“c”</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payment classification rate or hospital outpatient fee schedule rate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 laboratories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p>
            <w:pPr>
              <w:spacing w:before="0" w:after="0"/>
              <w:ind w:left="160"/>
              <w:jc w:val="left"/>
            </w:pPr>
            <w:r>
              <w:rPr>
                <w:rFonts w:ascii="Times New Roman" w:hAnsi="Times New Roman"/>
                <w:b w:val="false"/>
                <w:i w:val="false"/>
                <w:color w:val="000000"/>
                <w:sz w:val="16"/>
              </w:rPr>
              <w:t xml:space="preserve">See </w:t>
            </w:r>
            <w:hyperlink r:id="rId50">
              <w:r>
                <w:rPr>
                  <w:rStyle w:val="Hyperlink"/>
                  <w:rFonts w:ascii="Times New Roman" w:hAnsi="Times New Roman"/>
                  <w:b w:val="false"/>
                  <w:i w:val="false"/>
                  <w:color w:val="000000"/>
                  <w:sz w:val="16"/>
                </w:rPr>
                <w:t>79.1(6)</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Medicare fee schedule less 5%.</w:t>
            </w:r>
          </w:p>
          <w:p>
            <w:pPr>
              <w:spacing w:before="0" w:after="0"/>
              <w:ind w:left="160"/>
              <w:jc w:val="left"/>
            </w:pPr>
            <w:r>
              <w:rPr>
                <w:rFonts w:ascii="Times New Roman" w:hAnsi="Times New Roman"/>
                <w:b w:val="false"/>
                <w:i w:val="false"/>
                <w:color w:val="000000"/>
                <w:sz w:val="16"/>
              </w:rPr>
              <w:t xml:space="preserve">See </w:t>
            </w:r>
            <w:hyperlink r:id="rId51">
              <w:r>
                <w:rPr>
                  <w:rStyle w:val="Hyperlink"/>
                  <w:rFonts w:ascii="Times New Roman" w:hAnsi="Times New Roman"/>
                  <w:b w:val="false"/>
                  <w:i w:val="false"/>
                  <w:color w:val="000000"/>
                  <w:sz w:val="16"/>
                </w:rPr>
                <w:t>79.1(6)</w:t>
              </w:r>
            </w:hyperlink>
          </w:p>
        </w:tc>
      </w:tr>
      <w:tr>
        <w:trPr>
          <w:trHeight w:val="93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health facilities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 Daily visit rate approved by the U.S. Indian Health Service (IHS) for services provided to American Indian and Alaskan native members. See </w:t>
            </w:r>
            <w:hyperlink r:id="rId52">
              <w:r>
                <w:rPr>
                  <w:rStyle w:val="Hyperlink"/>
                  <w:rFonts w:ascii="Times New Roman" w:hAnsi="Times New Roman"/>
                  <w:b w:val="false"/>
                  <w:i w:val="false"/>
                  <w:color w:val="000000"/>
                  <w:sz w:val="16"/>
                </w:rPr>
                <w:t>79.1(1)</w:t>
              </w:r>
              <w:r>
                <w:rPr>
                  <w:rFonts w:ascii="Times New Roman" w:hAnsi="Times New Roman"/>
                  <w:b w:val="false"/>
                  <w:i/>
                  <w:color w:val="000000"/>
                  <w:sz w:val="16"/>
                </w:rPr>
                <w:t>“h”</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IHS-approved rate published in the Federal Register as outpatient per visit rate (excluding Medicare).</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Fee schedule for service provided for all other</w:t>
            </w:r>
          </w:p>
          <w:p>
            <w:pPr>
              <w:spacing w:before="0" w:after="0"/>
              <w:ind w:left="160"/>
              <w:jc w:val="left"/>
            </w:pPr>
            <w:r>
              <w:rPr>
                <w:rFonts w:ascii="Times New Roman" w:hAnsi="Times New Roman"/>
                <w:b w:val="false"/>
                <w:i w:val="false"/>
                <w:color w:val="000000"/>
                <w:sz w:val="16"/>
              </w:rPr>
              <w:t>Medicaid members.</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Fee schedule.</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Infant and toddler program</w:t>
            </w:r>
          </w:p>
          <w:p>
            <w:pPr>
              <w:spacing w:before="0" w:after="0"/>
              <w:ind w:left="304"/>
              <w:jc w:val="left"/>
            </w:pPr>
            <w:r>
              <w:rPr>
                <w:rFonts w:ascii="Times New Roman" w:hAnsi="Times New Roman"/>
                <w:b w:val="false"/>
                <w:i w:val="false"/>
                <w:color w:val="000000"/>
                <w:sz w:val="16"/>
              </w:rPr>
              <w:t>providers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57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Intermediate care facilities</w:t>
            </w:r>
          </w:p>
          <w:p>
            <w:pPr>
              <w:spacing w:before="0" w:after="0"/>
              <w:ind w:left="304"/>
              <w:jc w:val="left"/>
            </w:pPr>
            <w:r>
              <w:rPr>
                <w:rFonts w:ascii="Times New Roman" w:hAnsi="Times New Roman"/>
                <w:b w:val="false"/>
                <w:i w:val="false"/>
                <w:color w:val="000000"/>
                <w:sz w:val="16"/>
              </w:rPr>
              <w:t>for persons with an intellectual disability</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3">
              <w:r>
                <w:rPr>
                  <w:rStyle w:val="Hyperlink"/>
                  <w:rFonts w:ascii="Times New Roman" w:hAnsi="Times New Roman"/>
                  <w:b w:val="false"/>
                  <w:i w:val="false"/>
                  <w:color w:val="000000"/>
                  <w:sz w:val="16"/>
                </w:rPr>
                <w:t>441—82.5</w:t>
              </w:r>
            </w:hyperlink>
            <w:r>
              <w:rPr>
                <w:rFonts w:ascii="Times New Roman" w:hAnsi="Times New Roman"/>
                <w:b w:val="false"/>
                <w:i w:val="false"/>
                <w:color w:val="000000"/>
                <w:sz w:val="16"/>
              </w:rPr>
              <w:t>(249A)</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Eightieth percentile of</w:t>
            </w:r>
          </w:p>
          <w:p>
            <w:pPr>
              <w:spacing w:before="0" w:after="0"/>
              <w:ind w:left="160"/>
              <w:jc w:val="left"/>
            </w:pPr>
            <w:r>
              <w:rPr>
                <w:rFonts w:ascii="Times New Roman" w:hAnsi="Times New Roman"/>
                <w:b w:val="false"/>
                <w:i w:val="false"/>
                <w:color w:val="000000"/>
                <w:sz w:val="16"/>
              </w:rPr>
              <w:t>facility costs as calculated from annual cost reports.</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 inspection agency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Local education agency</w:t>
            </w:r>
          </w:p>
          <w:p>
            <w:pPr>
              <w:spacing w:before="0" w:after="0"/>
              <w:ind w:left="304"/>
              <w:jc w:val="left"/>
            </w:pPr>
            <w:r>
              <w:rPr>
                <w:rFonts w:ascii="Times New Roman" w:hAnsi="Times New Roman"/>
                <w:b w:val="false"/>
                <w:i w:val="false"/>
                <w:color w:val="000000"/>
                <w:sz w:val="16"/>
              </w:rPr>
              <w:t>services providers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108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Maternal health centers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Reasonable cost per procedure on a prospective basis as determined by the department based on financial and statistical data submitted annually by the provider group</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480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facilities:</w:t>
            </w:r>
          </w:p>
          <w:p>
            <w:pPr>
              <w:spacing w:before="0" w:after="0"/>
              <w:ind w:left="160"/>
              <w:jc w:val="left"/>
            </w:pPr>
            <w:r>
              <w:rPr>
                <w:rFonts w:ascii="Times New Roman" w:hAnsi="Times New Roman"/>
                <w:b w:val="false"/>
                <w:i w:val="false"/>
                <w:color w:val="000000"/>
                <w:sz w:val="16"/>
              </w:rPr>
              <w:t>1. Nursing facility care</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4">
              <w:r>
                <w:rPr>
                  <w:rStyle w:val="Hyperlink"/>
                  <w:rFonts w:ascii="Times New Roman" w:hAnsi="Times New Roman"/>
                  <w:b w:val="false"/>
                  <w:i w:val="false"/>
                  <w:color w:val="000000"/>
                  <w:sz w:val="16"/>
                </w:rPr>
                <w:t>441—subrule 81.10(1)</w:t>
              </w:r>
            </w:hyperlink>
            <w:r>
              <w:rPr>
                <w:rFonts w:ascii="Times New Roman" w:hAnsi="Times New Roman"/>
                <w:b w:val="false"/>
                <w:i w:val="false"/>
                <w:color w:val="000000"/>
                <w:sz w:val="16"/>
              </w:rPr>
              <w:t xml:space="preserve"> and </w:t>
            </w:r>
            <w:hyperlink r:id="rId55">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 xml:space="preserve">(249A). The percentage of the median used to calculate the direct care excess payment allowance ceiling under </w:t>
            </w:r>
            <w:hyperlink r:id="rId56">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 xml:space="preserve">(1)“1”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57">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(1)“2” and (2)“2” is 96% of the patient-day-weighted median.</w:t>
            </w:r>
          </w:p>
          <w:p>
            <w:pPr>
              <w:spacing w:before="0" w:after="0"/>
              <w:ind w:left="160"/>
              <w:jc w:val="left"/>
            </w:pPr>
            <w:r>
              <w:rPr>
                <w:rFonts w:ascii="Times New Roman" w:hAnsi="Times New Roman"/>
                <w:b w:val="false"/>
                <w:i w:val="false"/>
                <w:color w:val="000000"/>
                <w:sz w:val="16"/>
              </w:rPr>
              <w:t>The percentage of the difference used to calculate the non-direct care excess payment allowance limit is 0%. The percentage of the median used to calculate the non-direct care excess payment allowance limit is 8% of the patient-day-weighted median.</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See 441—subrules </w:t>
            </w:r>
            <w:hyperlink r:id="rId58">
              <w:r>
                <w:rPr>
                  <w:rStyle w:val="Hyperlink"/>
                  <w:rFonts w:ascii="Times New Roman" w:hAnsi="Times New Roman"/>
                  <w:b w:val="false"/>
                  <w:i w:val="false"/>
                  <w:color w:val="000000"/>
                  <w:sz w:val="16"/>
                </w:rPr>
                <w:t>81.6(4)</w:t>
              </w:r>
            </w:hyperlink>
            <w:r>
              <w:rPr>
                <w:rFonts w:ascii="Times New Roman" w:hAnsi="Times New Roman"/>
                <w:b w:val="false"/>
                <w:i w:val="false"/>
                <w:color w:val="000000"/>
                <w:sz w:val="16"/>
              </w:rPr>
              <w:t xml:space="preserve"> and </w:t>
            </w:r>
            <w:hyperlink r:id="rId59">
              <w:r>
                <w:rPr>
                  <w:rStyle w:val="Hyperlink"/>
                  <w:rFonts w:ascii="Times New Roman" w:hAnsi="Times New Roman"/>
                  <w:b w:val="false"/>
                  <w:i w:val="false"/>
                  <w:color w:val="000000"/>
                  <w:sz w:val="16"/>
                </w:rPr>
                <w:t>81.6(14)</w:t>
              </w:r>
            </w:hyperlink>
            <w:r>
              <w:rPr>
                <w:rFonts w:ascii="Times New Roman" w:hAnsi="Times New Roman"/>
                <w:b w:val="false"/>
                <w:i w:val="false"/>
                <w:color w:val="000000"/>
                <w:sz w:val="16"/>
              </w:rPr>
              <w:t xml:space="preserve"> and paragraph </w:t>
            </w:r>
            <w:hyperlink r:id="rId60">
              <w:r>
                <w:rPr>
                  <w:rStyle w:val="Hyperlink"/>
                  <w:rFonts w:ascii="Times New Roman" w:hAnsi="Times New Roman"/>
                  <w:b w:val="false"/>
                  <w:i w:val="false"/>
                  <w:color w:val="000000"/>
                  <w:sz w:val="16"/>
                </w:rPr>
                <w:t>81.6(16)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w:t>
            </w:r>
            <w:hyperlink r:id="rId61">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(1) and (2) is 120% of the patient-day-weighted median. The non-direct care rate component limit under </w:t>
            </w:r>
            <w:hyperlink r:id="rId62">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(1) and (2) is 110% of the patient-day-weighted median.</w:t>
            </w:r>
          </w:p>
        </w:tc>
      </w:tr>
      <w:tr>
        <w:trPr>
          <w:trHeight w:val="450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Hospital-based, Medicare-certified nursing care</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63">
              <w:r>
                <w:rPr>
                  <w:rStyle w:val="Hyperlink"/>
                  <w:rFonts w:ascii="Times New Roman" w:hAnsi="Times New Roman"/>
                  <w:b w:val="false"/>
                  <w:i w:val="false"/>
                  <w:color w:val="000000"/>
                  <w:sz w:val="16"/>
                </w:rPr>
                <w:t>441—subrule 81.10(1)</w:t>
              </w:r>
            </w:hyperlink>
            <w:r>
              <w:rPr>
                <w:rFonts w:ascii="Times New Roman" w:hAnsi="Times New Roman"/>
                <w:b w:val="false"/>
                <w:i w:val="false"/>
                <w:color w:val="000000"/>
                <w:sz w:val="16"/>
              </w:rPr>
              <w:t xml:space="preserve"> and </w:t>
            </w:r>
            <w:hyperlink r:id="rId64">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 xml:space="preserve">(249A). The percentage of the median used to calculate the direct care excess payment allowance ceiling under </w:t>
            </w:r>
            <w:hyperlink r:id="rId65">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66">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subrules </w:t>
            </w:r>
            <w:hyperlink r:id="rId67">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 xml:space="preserve">(4) and </w:t>
            </w:r>
            <w:hyperlink r:id="rId68">
              <w:r>
                <w:rPr>
                  <w:rStyle w:val="Hyperlink"/>
                  <w:rFonts w:ascii="Times New Roman" w:hAnsi="Times New Roman"/>
                  <w:b w:val="false"/>
                  <w:i w:val="false"/>
                  <w:color w:val="000000"/>
                  <w:sz w:val="16"/>
                </w:rPr>
                <w:t>81.6</w:t>
              </w:r>
            </w:hyperlink>
            <w:r>
              <w:rPr>
                <w:rFonts w:ascii="Times New Roman" w:hAnsi="Times New Roman"/>
                <w:b w:val="false"/>
                <w:i w:val="false"/>
                <w:color w:val="000000"/>
                <w:sz w:val="16"/>
              </w:rPr>
              <w:t xml:space="preserve">(14) and paragraph </w:t>
            </w:r>
            <w:hyperlink r:id="rId69">
              <w:r>
                <w:rPr>
                  <w:rStyle w:val="Hyperlink"/>
                  <w:rFonts w:ascii="Times New Roman" w:hAnsi="Times New Roman"/>
                  <w:b w:val="false"/>
                  <w:i w:val="false"/>
                  <w:color w:val="000000"/>
                  <w:sz w:val="16"/>
                </w:rPr>
                <w:t>81.6(16)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w:t>
            </w:r>
            <w:hyperlink r:id="rId70">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(3) is 120% of the patient-day-weighted median. The non-direct care rate component limit under </w:t>
            </w:r>
            <w:hyperlink r:id="rId71">
              <w:r>
                <w:rPr>
                  <w:rStyle w:val="Hyperlink"/>
                  <w:rFonts w:ascii="Times New Roman" w:hAnsi="Times New Roman"/>
                  <w:b w:val="false"/>
                  <w:i w:val="false"/>
                  <w:color w:val="000000"/>
                  <w:sz w:val="16"/>
                </w:rPr>
                <w:t>441—81.6</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(3) is 110% of the patient-day-weighted median.</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Occupational therapists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2">
              <w:r>
                <w:rPr>
                  <w:rStyle w:val="Hyperlink"/>
                  <w:rFonts w:ascii="Times New Roman" w:hAnsi="Times New Roman"/>
                  <w:b w:val="false"/>
                  <w:i w:val="false"/>
                  <w:color w:val="000000"/>
                  <w:sz w:val="16"/>
                </w:rPr>
                <w:t>441—paragraph 81.6(11)</w:t>
              </w:r>
              <w:r>
                <w:rPr>
                  <w:rFonts w:ascii="Times New Roman" w:hAnsi="Times New Roman"/>
                  <w:b w:val="false"/>
                  <w:i/>
                  <w:color w:val="000000"/>
                  <w:sz w:val="16"/>
                </w:rPr>
                <w:t>“r.”</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Opticians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Fixed fee for lenses and frames; other</w:t>
            </w:r>
          </w:p>
          <w:p>
            <w:pPr>
              <w:spacing w:before="0" w:after="0"/>
              <w:ind w:left="160"/>
              <w:jc w:val="left"/>
            </w:pPr>
            <w:r>
              <w:rPr>
                <w:rFonts w:ascii="Times New Roman" w:hAnsi="Times New Roman"/>
                <w:b w:val="false"/>
                <w:i w:val="false"/>
                <w:color w:val="000000"/>
                <w:sz w:val="16"/>
              </w:rPr>
              <w:t>optical materials at product acquisition cost</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75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Optometrists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Fixed fee for lenses and frames; other</w:t>
            </w:r>
          </w:p>
          <w:p>
            <w:pPr>
              <w:spacing w:before="0" w:after="0"/>
              <w:ind w:left="160"/>
              <w:jc w:val="left"/>
            </w:pPr>
            <w:r>
              <w:rPr>
                <w:rFonts w:ascii="Times New Roman" w:hAnsi="Times New Roman"/>
                <w:b w:val="false"/>
                <w:i w:val="false"/>
                <w:color w:val="000000"/>
                <w:sz w:val="16"/>
              </w:rPr>
              <w:t>optical materials at product acquisition cost</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shoe dealers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Pharmaceutical case</w:t>
            </w:r>
          </w:p>
          <w:p>
            <w:pPr>
              <w:spacing w:before="0" w:after="0"/>
              <w:ind w:left="304"/>
              <w:jc w:val="left"/>
            </w:pPr>
            <w:r>
              <w:rPr>
                <w:rFonts w:ascii="Times New Roman" w:hAnsi="Times New Roman"/>
                <w:b w:val="false"/>
                <w:i w:val="false"/>
                <w:color w:val="000000"/>
                <w:sz w:val="16"/>
              </w:rPr>
              <w:t>management</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p>
            <w:pPr>
              <w:spacing w:before="0" w:after="0"/>
              <w:ind w:left="160"/>
              <w:jc w:val="left"/>
            </w:pPr>
            <w:r>
              <w:rPr>
                <w:rFonts w:ascii="Times New Roman" w:hAnsi="Times New Roman"/>
                <w:b w:val="false"/>
                <w:i w:val="false"/>
                <w:color w:val="000000"/>
                <w:sz w:val="16"/>
              </w:rPr>
              <w:t xml:space="preserve">See </w:t>
            </w:r>
            <w:hyperlink r:id="rId73">
              <w:r>
                <w:rPr>
                  <w:rStyle w:val="Hyperlink"/>
                  <w:rFonts w:ascii="Times New Roman" w:hAnsi="Times New Roman"/>
                  <w:b w:val="false"/>
                  <w:i w:val="false"/>
                  <w:color w:val="000000"/>
                  <w:sz w:val="16"/>
                </w:rPr>
                <w:t>79.1(18)</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Refer to </w:t>
            </w:r>
            <w:hyperlink r:id="rId74">
              <w:r>
                <w:rPr>
                  <w:rStyle w:val="Hyperlink"/>
                  <w:rFonts w:ascii="Times New Roman" w:hAnsi="Times New Roman"/>
                  <w:b w:val="false"/>
                  <w:i w:val="false"/>
                  <w:color w:val="000000"/>
                  <w:sz w:val="16"/>
                </w:rPr>
                <w:t>79.1(18)</w:t>
              </w:r>
            </w:hyperlink>
            <w:r>
              <w:rPr>
                <w:rFonts w:ascii="Times New Roman" w:hAnsi="Times New Roman"/>
                <w:b w:val="false"/>
                <w:i w:val="false"/>
                <w:color w:val="000000"/>
                <w:sz w:val="16"/>
              </w:rPr>
              <w: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Pharmacist vaccine administration</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for immunization administration</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therapists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5">
              <w:r>
                <w:rPr>
                  <w:rStyle w:val="Hyperlink"/>
                  <w:rFonts w:ascii="Times New Roman" w:hAnsi="Times New Roman"/>
                  <w:b w:val="false"/>
                  <w:i w:val="false"/>
                  <w:color w:val="000000"/>
                  <w:sz w:val="16"/>
                </w:rPr>
                <w:t>441—paragraph 81.6(11)</w:t>
              </w:r>
              <w:r>
                <w:rPr>
                  <w:rFonts w:ascii="Times New Roman" w:hAnsi="Times New Roman"/>
                  <w:b w:val="false"/>
                  <w:i/>
                  <w:color w:val="000000"/>
                  <w:sz w:val="16"/>
                </w:rPr>
                <w:t>“r.”</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Physicians (doctors of medicine</w:t>
            </w:r>
          </w:p>
          <w:p>
            <w:pPr>
              <w:spacing w:before="0" w:after="0"/>
              <w:ind w:left="304"/>
              <w:jc w:val="left"/>
            </w:pPr>
            <w:r>
              <w:rPr>
                <w:rFonts w:ascii="Times New Roman" w:hAnsi="Times New Roman"/>
                <w:b w:val="false"/>
                <w:i w:val="false"/>
                <w:color w:val="000000"/>
                <w:sz w:val="16"/>
              </w:rPr>
              <w:t>or osteopathy)</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p>
            <w:pPr>
              <w:spacing w:before="0" w:after="0"/>
              <w:ind w:left="160"/>
              <w:jc w:val="left"/>
            </w:pPr>
            <w:r>
              <w:rPr>
                <w:rFonts w:ascii="Times New Roman" w:hAnsi="Times New Roman"/>
                <w:b w:val="false"/>
                <w:i w:val="false"/>
                <w:color w:val="000000"/>
                <w:sz w:val="16"/>
              </w:rPr>
              <w:t xml:space="preserve">See </w:t>
            </w:r>
            <w:hyperlink r:id="rId76">
              <w:r>
                <w:rPr>
                  <w:rStyle w:val="Hyperlink"/>
                  <w:rFonts w:ascii="Times New Roman" w:hAnsi="Times New Roman"/>
                  <w:b w:val="false"/>
                  <w:i w:val="false"/>
                  <w:color w:val="000000"/>
                  <w:sz w:val="16"/>
                </w:rPr>
                <w:t>79.1(7)</w:t>
              </w:r>
              <w:r>
                <w:rPr>
                  <w:rFonts w:ascii="Times New Roman" w:hAnsi="Times New Roman"/>
                  <w:b w:val="false"/>
                  <w:i/>
                  <w:color w:val="000000"/>
                  <w:sz w:val="16"/>
                </w:rPr>
                <w:t>“a”</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Anesthesia services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p>
            <w:pPr>
              <w:spacing w:before="0" w:after="0"/>
              <w:ind w:left="160"/>
              <w:jc w:val="left"/>
            </w:pPr>
            <w:r>
              <w:rPr>
                <w:rFonts w:ascii="Times New Roman" w:hAnsi="Times New Roman"/>
                <w:b w:val="false"/>
                <w:i w:val="false"/>
                <w:color w:val="000000"/>
                <w:sz w:val="16"/>
              </w:rPr>
              <w:t xml:space="preserve">See </w:t>
            </w:r>
            <w:hyperlink r:id="rId77">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 in effect 7/1/17.</w:t>
            </w:r>
          </w:p>
          <w:p>
            <w:pPr>
              <w:spacing w:before="0" w:after="0"/>
              <w:ind w:left="160"/>
              <w:jc w:val="left"/>
            </w:pPr>
            <w:r>
              <w:rPr>
                <w:rFonts w:ascii="Times New Roman" w:hAnsi="Times New Roman"/>
                <w:b w:val="false"/>
                <w:i w:val="false"/>
                <w:color w:val="000000"/>
                <w:sz w:val="16"/>
              </w:rPr>
              <w:t xml:space="preserve">See </w:t>
            </w:r>
            <w:hyperlink r:id="rId78">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r>
      <w:tr>
        <w:trPr>
          <w:trHeight w:val="390" w:hRule="atLeast"/>
        </w:trPr>
        <w:tc>
          <w:tcPr>
            <w:tcW w:w="420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Physician-administered drugs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Qualified primary care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79">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Rate provided by </w:t>
            </w:r>
            <w:hyperlink r:id="rId80">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Podiatrists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Prescribed drugs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81">
              <w:r>
                <w:rPr>
                  <w:rStyle w:val="Hyperlink"/>
                  <w:rFonts w:ascii="Times New Roman" w:hAnsi="Times New Roman"/>
                  <w:b w:val="false"/>
                  <w:i w:val="false"/>
                  <w:color w:val="000000"/>
                  <w:sz w:val="16"/>
                </w:rPr>
                <w:t>79.1(8)</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Amount pursuant to </w:t>
            </w:r>
            <w:hyperlink r:id="rId82">
              <w:r>
                <w:rPr>
                  <w:rStyle w:val="Hyperlink"/>
                  <w:rFonts w:ascii="Times New Roman" w:hAnsi="Times New Roman"/>
                  <w:b w:val="false"/>
                  <w:i w:val="false"/>
                  <w:color w:val="000000"/>
                  <w:sz w:val="16"/>
                </w:rPr>
                <w:t>79.1(8)</w:t>
              </w:r>
            </w:hyperlink>
            <w:r>
              <w:rPr>
                <w:rFonts w:ascii="Times New Roman" w:hAnsi="Times New Roman"/>
                <w:b w:val="false"/>
                <w:i w:val="false"/>
                <w:color w:val="000000"/>
                <w:sz w:val="16"/>
              </w:rPr>
              <w:t>.</w:t>
            </w:r>
          </w:p>
        </w:tc>
      </w:tr>
      <w:tr>
        <w:trPr>
          <w:trHeight w:val="81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Psychiatric medical institutions</w:t>
            </w:r>
          </w:p>
          <w:p>
            <w:pPr>
              <w:spacing w:before="0" w:after="0"/>
              <w:ind w:left="304"/>
              <w:jc w:val="left"/>
            </w:pPr>
            <w:r>
              <w:rPr>
                <w:rFonts w:ascii="Times New Roman" w:hAnsi="Times New Roman"/>
                <w:b w:val="false"/>
                <w:i w:val="false"/>
                <w:color w:val="000000"/>
                <w:sz w:val="16"/>
              </w:rPr>
              <w:t>for children:</w:t>
            </w:r>
          </w:p>
          <w:p>
            <w:pPr>
              <w:spacing w:before="0" w:after="0"/>
              <w:ind w:left="160"/>
              <w:jc w:val="left"/>
            </w:pPr>
            <w:r>
              <w:rPr>
                <w:rFonts w:ascii="Times New Roman" w:hAnsi="Times New Roman"/>
                <w:b w:val="false"/>
                <w:i w:val="false"/>
                <w:color w:val="000000"/>
                <w:sz w:val="16"/>
              </w:rPr>
              <w:t>1. Inpatient in non-state-owned facilities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7/1/21: Non-state-owned facilities provider-specific fee schedule in effect.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Inpatient in state-owned facilities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Retrospective cost-related</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8/1/11: 100% of actual and allowable cost.</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Outpatient day treatment</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Psychiatric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Psychologists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health agencies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rate in effect 6/30/13 plus 1%.</w:t>
            </w:r>
          </w:p>
        </w:tc>
      </w:tr>
      <w:tr>
        <w:trPr>
          <w:trHeight w:val="57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Rehabilitation agencies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83">
              <w:r>
                <w:rPr>
                  <w:rStyle w:val="Hyperlink"/>
                  <w:rFonts w:ascii="Times New Roman" w:hAnsi="Times New Roman"/>
                  <w:b w:val="false"/>
                  <w:i w:val="false"/>
                  <w:color w:val="000000"/>
                  <w:sz w:val="16"/>
                </w:rPr>
                <w:t>441—paragraph 81.6(11)</w:t>
              </w:r>
              <w:r>
                <w:rPr>
                  <w:rFonts w:ascii="Times New Roman" w:hAnsi="Times New Roman"/>
                  <w:b w:val="false"/>
                  <w:i/>
                  <w:color w:val="000000"/>
                  <w:sz w:val="16"/>
                </w:rPr>
                <w:t>“r.”</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Medicaid fee schedule in effect 6/30/13 plus 1%; refer to </w:t>
            </w:r>
            <w:hyperlink r:id="rId84">
              <w:r>
                <w:rPr>
                  <w:rStyle w:val="Hyperlink"/>
                  <w:rFonts w:ascii="Times New Roman" w:hAnsi="Times New Roman"/>
                  <w:b w:val="false"/>
                  <w:i w:val="false"/>
                  <w:color w:val="000000"/>
                  <w:sz w:val="16"/>
                </w:rPr>
                <w:t>79.1(21)</w:t>
              </w:r>
            </w:hyperlink>
            <w:r>
              <w:rPr>
                <w:rFonts w:ascii="Times New Roman" w:hAnsi="Times New Roman"/>
                <w:b w:val="false"/>
                <w:i w:val="false"/>
                <w:color w:val="000000"/>
                <w:sz w:val="16"/>
              </w:rPr>
              <w:t>.</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Remedial services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Retrospective cost-related.</w:t>
            </w:r>
            <w:r>
              <w:br/>
            </w:r>
            <w:r>
              <w:rPr>
                <w:rFonts w:ascii="Times New Roman" w:hAnsi="Times New Roman"/>
                <w:b w:val="false"/>
                <w:i w:val="false"/>
                <w:color w:val="000000"/>
                <w:sz w:val="16"/>
              </w:rPr>
              <w:t xml:space="preserve">See </w:t>
            </w:r>
            <w:hyperlink r:id="rId85">
              <w:r>
                <w:rPr>
                  <w:rStyle w:val="Hyperlink"/>
                  <w:rFonts w:ascii="Times New Roman" w:hAnsi="Times New Roman"/>
                  <w:b w:val="false"/>
                  <w:i w:val="false"/>
                  <w:color w:val="000000"/>
                  <w:sz w:val="16"/>
                </w:rPr>
                <w:t>79.1(23)</w:t>
              </w:r>
            </w:hyperlink>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110% of average cost less 5%.</w:t>
            </w:r>
          </w:p>
        </w:tc>
      </w:tr>
      <w:tr>
        <w:trPr>
          <w:trHeight w:val="2895"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Rural health clinics</w:t>
            </w:r>
          </w:p>
        </w:tc>
        <w:tc>
          <w:tcPr>
            <w:tcW w:w="35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86">
              <w:r>
                <w:rPr>
                  <w:rStyle w:val="Hyperlink"/>
                  <w:rFonts w:ascii="Times New Roman" w:hAnsi="Times New Roman"/>
                  <w:b w:val="false"/>
                  <w:i w:val="false"/>
                  <w:color w:val="000000"/>
                  <w:sz w:val="16"/>
                </w:rPr>
                <w:t>441—Chapter 73</w:t>
              </w:r>
            </w:hyperlink>
          </w:p>
        </w:tc>
        <w:tc>
          <w:tcPr>
            <w:tcW w:w="340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 Prospective payment rate as required by the Medicare, Medicaid, and SCHIP Benefits Improvement and Protection Act of 2000 (BIPA 2000) or an alternative methodology allowed thereunder, as specified in “2” below.</w:t>
            </w:r>
          </w:p>
          <w:p>
            <w:pPr>
              <w:spacing w:before="0" w:after="0"/>
              <w:ind w:left="160"/>
              <w:jc w:val="left"/>
            </w:pPr>
            <w:r>
              <w:rPr>
                <w:rFonts w:ascii="Times New Roman" w:hAnsi="Times New Roman"/>
                <w:b w:val="false"/>
                <w:i w:val="false"/>
                <w:color w:val="000000"/>
                <w:sz w:val="16"/>
              </w:rPr>
              <w:t>2. 100% of reasonable cost as determined by Medicare cost reimbursement principles.</w:t>
            </w:r>
          </w:p>
          <w:p>
            <w:pPr>
              <w:spacing w:before="0" w:after="0"/>
              <w:ind w:left="160"/>
              <w:jc w:val="left"/>
            </w:pPr>
            <w:r>
              <w:rPr>
                <w:rFonts w:ascii="Times New Roman" w:hAnsi="Times New Roman"/>
                <w:b w:val="false"/>
                <w:i w:val="false"/>
                <w:color w:val="000000"/>
                <w:sz w:val="16"/>
              </w:rPr>
              <w:t>3. In the case of services provided pursuant to a contract between an RHC and a managed care organization (MCO), reimbursement from the MCO shall be supplemented to achieve “1” or “2” above.</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Screening centers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Speech-language pathologists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State-operated institutions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Retrospective cost-related</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2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Subacute mental health facility</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390" w:hRule="atLeast"/>
        </w:trPr>
        <w:tc>
          <w:tcPr>
            <w:tcW w:w="4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Targeted case management</w:t>
            </w:r>
          </w:p>
          <w:p>
            <w:pPr>
              <w:spacing w:before="0" w:after="0"/>
              <w:ind w:left="304"/>
              <w:jc w:val="left"/>
            </w:pPr>
            <w:r>
              <w:rPr>
                <w:rFonts w:ascii="Times New Roman" w:hAnsi="Times New Roman"/>
                <w:b w:val="false"/>
                <w:i w:val="false"/>
                <w:color w:val="000000"/>
                <w:sz w:val="16"/>
              </w:rPr>
              <w:t>providers</w:t>
            </w:r>
          </w:p>
        </w:tc>
        <w:tc>
          <w:tcPr>
            <w:tcW w:w="35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4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w:t>
      </w: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of the physician or the dentist are reimbursed on the basis of a fee schedule (see paragraph </w:t>
      </w:r>
      <w:hyperlink r:id="rId87">
        <w:r>
          <w:rPr>
            <w:rStyle w:val="Hyperlink"/>
            <w:rFonts w:ascii="Times New Roman" w:hAnsi="Times New Roman"/>
            <w:b w:val="false"/>
            <w:i w:val="false"/>
            <w:color w:val="000000"/>
            <w:sz w:val="22"/>
          </w:rPr>
          <w:t>79.1(1)</w:t>
        </w:r>
        <w:r>
          <w:rPr>
            <w:rFonts w:ascii="Times New Roman" w:hAnsi="Times New Roman"/>
            <w:b w:val="false"/>
            <w:i/>
            <w:color w:val="000000"/>
            <w:sz w:val="22"/>
          </w:rPr>
          <w:t>“c”</w:t>
        </w:r>
      </w:hyperlink>
      <w:r>
        <w:rPr>
          <w:rFonts w:ascii="Times New Roman" w:hAnsi="Times New Roman"/>
          <w:b w:val="false"/>
          <w:i w:val="false"/>
          <w:color w:val="000000"/>
          <w:sz w:val="22"/>
        </w:rPr>
        <w:t>). This payment is made directly to the physician or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prosthetic devices, medical supply dealers. </w:t>
      </w:r>
      <w:r>
        <w:rPr>
          <w:rFonts w:ascii="Times New Roman" w:hAnsi="Times New Roman"/>
          <w:b w:val="false"/>
          <w:i w:val="false"/>
          <w:color w:val="000000"/>
          <w:sz w:val="22"/>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shall be the lowest price for which the devices are widely and consistently available in a locality. Reimbursement over an established Medicaid fee schedule amount may be allowed pursuant to the criteria at </w:t>
      </w:r>
      <w:hyperlink r:id="rId88">
        <w:r>
          <w:rPr>
            <w:rStyle w:val="Hyperlink"/>
            <w:rFonts w:ascii="Times New Roman" w:hAnsi="Times New Roman"/>
            <w:b w:val="false"/>
            <w:i w:val="false"/>
            <w:color w:val="000000"/>
            <w:sz w:val="22"/>
          </w:rPr>
          <w:t>441—paragraph 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“Adolescent” </w:t>
      </w:r>
      <w:r>
        <w:rPr>
          <w:rFonts w:ascii="Times New Roman" w:hAnsi="Times New Roman"/>
          <w:b w:val="false"/>
          <w:i w:val="false"/>
          <w:color w:val="000000"/>
          <w:sz w:val="22"/>
        </w:rPr>
        <w:t>shall mean a Medicaid patient 17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shall mean a Medicaid patient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“Average daily rate” </w:t>
      </w:r>
      <w:r>
        <w:rPr>
          <w:rFonts w:ascii="Times New Roman" w:hAnsi="Times New Roman"/>
          <w:b w:val="false"/>
          <w:i w:val="false"/>
          <w:color w:val="000000"/>
          <w:sz w:val="22"/>
        </w:rPr>
        <w:t>shall mean the hospital’s final payment rate multiplied by the DRG weight and divided by the statewide average length of stay for a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cost report” </w:t>
      </w:r>
      <w:r>
        <w:rPr>
          <w:rFonts w:ascii="Times New Roman" w:hAnsi="Times New Roman"/>
          <w:b w:val="false"/>
          <w:i w:val="false"/>
          <w:color w:val="000000"/>
          <w:sz w:val="22"/>
        </w:rPr>
        <w:t xml:space="preserve">means the hospital’s cost report with fiscal year end on or after January 1, 2007, and before January 1, 2008, except as noted in </w:t>
      </w:r>
      <w:hyperlink r:id="rId89">
        <w:r>
          <w:rPr>
            <w:rStyle w:val="Hyperlink"/>
            <w:rFonts w:ascii="Times New Roman" w:hAnsi="Times New Roman"/>
            <w:b w:val="false"/>
            <w:i w:val="false"/>
            <w:color w:val="000000"/>
            <w:sz w:val="22"/>
          </w:rPr>
          <w:t>79.1(5)</w:t>
        </w:r>
        <w:r>
          <w:rPr>
            <w:rFonts w:ascii="Times New Roman" w:hAnsi="Times New Roman"/>
            <w:b w:val="false"/>
            <w:i/>
            <w:color w:val="000000"/>
            <w:sz w:val="22"/>
          </w:rPr>
          <w:t>“x.”</w:t>
        </w:r>
      </w:hyperlink>
      <w:r>
        <w:rPr>
          <w:rFonts w:ascii="Times New Roman" w:hAnsi="Times New Roman"/>
          <w:b w:val="false"/>
          <w:i w:val="false"/>
          <w:color w:val="000000"/>
          <w:sz w:val="22"/>
        </w:rPr>
        <w:t xml:space="preserve"> Cost reports shall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“Blended base amount” </w:t>
      </w:r>
      <w:r>
        <w:rPr>
          <w:rFonts w:ascii="Times New Roman" w:hAnsi="Times New Roman"/>
          <w:b w:val="false"/>
          <w:i w:val="false"/>
          <w:color w:val="000000"/>
          <w:sz w:val="22"/>
        </w:rPr>
        <w:t>shall mean the case-mix-adjusted, hospital-specific operating cost per discharge associated with treating Medicaid patients, plus the statewide average case-mix-adjusted operating cost per Medicaid discharge, divided by two. This base amount is the value to which payments for inflation and capital costs are added to form a final payment rate. The costs of hospitals receiving reimbursement as critical access hospitals during any of the period included in the base-year cost report shall not be used in determining the statewide average case-mix-adjusted operating cost per Medicaid discharge.</w:t>
      </w:r>
    </w:p>
    <w:p>
      <w:pPr>
        <w:spacing w:before="0" w:after="0"/>
        <w:ind w:left="120"/>
        <w:jc w:val="both"/>
      </w:pPr>
      <w:r>
        <w:rPr>
          <w:rFonts w:ascii="Times New Roman" w:hAnsi="Times New Roman"/>
          <w:b w:val="false"/>
          <w:i w:val="false"/>
          <w:color w:val="000000"/>
          <w:sz w:val="22"/>
        </w:rPr>
        <w:t>For purposes of calculating the disproportionate share rate only, a separate blended base amount shall be determined for any hospital that qualifies for a disproportionate share payment only as a children’s hospital based on a distinct area or areas serving children. This separate amount shall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“Blended capital costs” </w:t>
      </w:r>
      <w:r>
        <w:rPr>
          <w:rFonts w:ascii="Times New Roman" w:hAnsi="Times New Roman"/>
          <w:b w:val="false"/>
          <w:i w:val="false"/>
          <w:color w:val="000000"/>
          <w:sz w:val="22"/>
        </w:rPr>
        <w:t>shall mean case-mix-adjusted hospital-specific capital costs, plus statewide average capital costs, divided by two. The costs of hospitals receiving reimbursement as critical access hospitals during any of the period of time included in the base-year cost report shall not be used in determining the statewide average capital costs.</w:t>
      </w:r>
    </w:p>
    <w:p>
      <w:pPr>
        <w:spacing w:before="0" w:after="0"/>
        <w:ind w:left="120"/>
        <w:jc w:val="both"/>
      </w:pPr>
      <w:r>
        <w:rPr>
          <w:rFonts w:ascii="Times New Roman" w:hAnsi="Times New Roman"/>
          <w:b w:val="false"/>
          <w:i w:val="false"/>
          <w:color w:val="000000"/>
          <w:sz w:val="22"/>
        </w:rPr>
        <w:t>For purposes of calculating the disproportionate share rate only, separate blended capital costs shall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“Capital costs” </w:t>
      </w:r>
      <w:r>
        <w:rPr>
          <w:rFonts w:ascii="Times New Roman" w:hAnsi="Times New Roman"/>
          <w:b w:val="false"/>
          <w:i w:val="false"/>
          <w:color w:val="000000"/>
          <w:sz w:val="22"/>
        </w:rPr>
        <w:t>shall mean an add-on to the blended base amount, which shall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ind w:left="120"/>
        <w:jc w:val="both"/>
      </w:pPr>
      <w:r>
        <w:rPr>
          <w:rFonts w:ascii="Times New Roman" w:hAnsi="Times New Roman"/>
          <w:b w:val="false"/>
          <w:i w:val="false"/>
          <w:color w:val="000000"/>
          <w:sz w:val="22"/>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adjusted” </w:t>
      </w:r>
      <w:r>
        <w:rPr>
          <w:rFonts w:ascii="Times New Roman" w:hAnsi="Times New Roman"/>
          <w:b w:val="false"/>
          <w:i w:val="false"/>
          <w:color w:val="000000"/>
          <w:sz w:val="22"/>
        </w:rPr>
        <w:t>shall mean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index” </w:t>
      </w:r>
      <w:r>
        <w:rPr>
          <w:rFonts w:ascii="Times New Roman" w:hAnsi="Times New Roman"/>
          <w:b w:val="false"/>
          <w:i w:val="false"/>
          <w:color w:val="000000"/>
          <w:sz w:val="22"/>
        </w:rPr>
        <w:t>shall mean an arithmetical index measuring the relative average costliness of cases treated in a hospital compared to the statewide average. For purposes of calculating the disproportionate share rate only, a separate case-mix index shall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hospitals” </w:t>
      </w:r>
      <w:r>
        <w:rPr>
          <w:rFonts w:ascii="Times New Roman" w:hAnsi="Times New Roman"/>
          <w:b w:val="false"/>
          <w:i w:val="false"/>
          <w:color w:val="000000"/>
          <w:sz w:val="22"/>
        </w:rPr>
        <w:t>shall mean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provides services predominantly to children under 18 years of age or includes a distinct area or areas that provide services predominantly to children under 18 years of age,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outlier” </w:t>
      </w:r>
      <w:r>
        <w:rPr>
          <w:rFonts w:ascii="Times New Roman" w:hAnsi="Times New Roman"/>
          <w:b w:val="false"/>
          <w:i w:val="false"/>
          <w:color w:val="000000"/>
          <w:sz w:val="22"/>
        </w:rPr>
        <w:t xml:space="preserve">shall mean cases which have an extraordinarily high cost as established in </w:t>
      </w:r>
      <w:hyperlink r:id="rId90">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r>
        <w:rPr>
          <w:rFonts w:ascii="Times New Roman" w:hAnsi="Times New Roman"/>
          <w:b w:val="false"/>
          <w:i w:val="false"/>
          <w:color w:val="000000"/>
          <w:sz w:val="22"/>
        </w:rPr>
        <w:t xml:space="preserve"> so as to be eligible for additional payments above and beyond the initial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access hospital”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“CAH” </w:t>
      </w:r>
      <w:r>
        <w:rPr>
          <w:rFonts w:ascii="Times New Roman" w:hAnsi="Times New Roman"/>
          <w:b w:val="false"/>
          <w:i w:val="false"/>
          <w:color w:val="000000"/>
          <w:sz w:val="22"/>
        </w:rPr>
        <w:t xml:space="preserve">means a hospital licensed as a critical access hospital by the department of inspections and appeals pursuant to rule </w:t>
      </w:r>
      <w:hyperlink r:id="rId91">
        <w:r>
          <w:rPr>
            <w:rStyle w:val="Hyperlink"/>
            <w:rFonts w:ascii="Times New Roman" w:hAnsi="Times New Roman"/>
            <w:b w:val="false"/>
            <w:i w:val="false"/>
            <w:color w:val="000000"/>
            <w:sz w:val="22"/>
          </w:rPr>
          <w:t>481—51.52</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“Diagnosis-related group (DRG)” </w:t>
      </w:r>
      <w:r>
        <w:rPr>
          <w:rFonts w:ascii="Times New Roman" w:hAnsi="Times New Roman"/>
          <w:b w:val="false"/>
          <w:i w:val="false"/>
          <w:color w:val="000000"/>
          <w:sz w:val="22"/>
        </w:rPr>
        <w:t>shall mean a group of similar diagnoses combined based on patient age, procedure coding, comorbidity, and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medical education costs” </w:t>
      </w:r>
      <w:r>
        <w:rPr>
          <w:rFonts w:ascii="Times New Roman" w:hAnsi="Times New Roman"/>
          <w:b w:val="false"/>
          <w:i w:val="false"/>
          <w:color w:val="000000"/>
          <w:sz w:val="22"/>
        </w:rPr>
        <w:t>shall mean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and is inflated and case-mix adjusted in determining the direct medical education rate. Payment for direct medical education costs shall be made from the graduate medical education and disproportionate share fund and shall not be added to the reimbursement for claims.</w:t>
      </w:r>
    </w:p>
    <w:p>
      <w:pPr>
        <w:spacing w:before="0" w:after="0"/>
        <w:ind w:left="120"/>
        <w:jc w:val="both"/>
      </w:pPr>
      <w:r>
        <w:rPr>
          <w:rFonts w:ascii="Times New Roman" w:hAnsi="Times New Roman"/>
          <w:b w:val="false"/>
          <w:i w:val="false"/>
          <w:color w:val="000000"/>
          <w:sz w:val="22"/>
        </w:rPr>
        <w:t>For purposes of calculating the disproportionate share rate only, separate direct medical education costs shall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medical education rate” </w:t>
      </w:r>
      <w:r>
        <w:rPr>
          <w:rFonts w:ascii="Times New Roman" w:hAnsi="Times New Roman"/>
          <w:b w:val="false"/>
          <w:i w:val="false"/>
          <w:color w:val="000000"/>
          <w:sz w:val="22"/>
        </w:rPr>
        <w:t>shall mean a rate calculated for a hospital reporting medical education costs on the Medicare cost report (CMS 2552). The rate is calculated using the following formula: Direct medical education costs are multiplied by inflation factors. The result is divided by the hospital’s case-mix index, then is further divided by net discharges.</w:t>
      </w:r>
    </w:p>
    <w:p>
      <w:pPr>
        <w:spacing w:before="0" w:after="0"/>
        <w:ind w:left="120"/>
        <w:jc w:val="both"/>
      </w:pPr>
      <w:r>
        <w:rPr>
          <w:rFonts w:ascii="Times New Roman" w:hAnsi="Times New Roman"/>
          <w:b w:val="false"/>
          <w:i w:val="false"/>
          <w:color w:val="000000"/>
          <w:sz w:val="22"/>
        </w:rPr>
        <w:t>For purposes of calculating the disproportionate share rate only, a separate direct medical education rate shall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“Disproportionate share payment” </w:t>
      </w:r>
      <w:r>
        <w:rPr>
          <w:rFonts w:ascii="Times New Roman" w:hAnsi="Times New Roman"/>
          <w:b w:val="false"/>
          <w:i w:val="false"/>
          <w:color w:val="000000"/>
          <w:sz w:val="22"/>
        </w:rPr>
        <w:t>shall mean a payment that shall compensate for treatment of a disproportionate share of poor patients. On or after July 1, 1997, the disproportionate share payment shall be made directly from the graduate medical education and disproportionate share fund and shall not be added to the reimbursement for claims with discharge dates on or after July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“Disproportionate share percentage” </w:t>
      </w:r>
      <w:r>
        <w:rPr>
          <w:rFonts w:ascii="Times New Roman" w:hAnsi="Times New Roman"/>
          <w:b w:val="false"/>
          <w:i w:val="false"/>
          <w:color w:val="000000"/>
          <w:sz w:val="22"/>
        </w:rPr>
        <w:t xml:space="preserve">shall mean either (1) the product of 2½ percent multiplied by the number of standard deviations by which the hospital’s own Medicaid inpatient utilization rate exceeds the statewide mean Medicaid inpatient utilization rate for all hospitals, or (2) 2½ percent. (See </w:t>
      </w:r>
      <w:hyperlink r:id="rId92">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separate disproportionate share percentage shall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“Disproportionate share rate” </w:t>
      </w:r>
      <w:r>
        <w:rPr>
          <w:rFonts w:ascii="Times New Roman" w:hAnsi="Times New Roman"/>
          <w:b w:val="false"/>
          <w:i w:val="false"/>
          <w:color w:val="000000"/>
          <w:sz w:val="22"/>
        </w:rPr>
        <w:t>shall mean the sum of the blended base amount, blended capital costs, direct medical education rate, and indirect medical education rate multiplied by the disproportionate share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“DRG weight” </w:t>
      </w:r>
      <w:r>
        <w:rPr>
          <w:rFonts w:ascii="Times New Roman" w:hAnsi="Times New Roman"/>
          <w:b w:val="false"/>
          <w:i w:val="false"/>
          <w:color w:val="000000"/>
          <w:sz w:val="22"/>
        </w:rPr>
        <w:t>shall mean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payment rate” </w:t>
      </w:r>
      <w:r>
        <w:rPr>
          <w:rFonts w:ascii="Times New Roman" w:hAnsi="Times New Roman"/>
          <w:b w:val="false"/>
          <w:i w:val="false"/>
          <w:color w:val="000000"/>
          <w:sz w:val="22"/>
        </w:rPr>
        <w:t>shall mean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DRG transfer” </w:t>
      </w:r>
      <w:r>
        <w:rPr>
          <w:rFonts w:ascii="Times New Roman" w:hAnsi="Times New Roman"/>
          <w:b w:val="false"/>
          <w:i w:val="false"/>
          <w:color w:val="000000"/>
          <w:sz w:val="22"/>
        </w:rPr>
        <w:t>shall mean that a case, coded as a transfer to another hospital, shall be considered to be a normal claim for recalibration or rebasing purposes if payment is equal to or greater than the full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“GME/DSH fund apportionment claim set” </w:t>
      </w:r>
      <w:r>
        <w:rPr>
          <w:rFonts w:ascii="Times New Roman" w:hAnsi="Times New Roman"/>
          <w:b w:val="false"/>
          <w:i w:val="false"/>
          <w:color w:val="000000"/>
          <w:sz w:val="22"/>
        </w:rPr>
        <w:t>means the hospital’s applicable Medicaid claims paid from July 1, 2008, through June 30, 2009. The claim set is updated in July of every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“GME/DSH fund implementation year” </w:t>
      </w:r>
      <w:r>
        <w:rPr>
          <w:rFonts w:ascii="Times New Roman" w:hAnsi="Times New Roman"/>
          <w:b w:val="false"/>
          <w:i w:val="false"/>
          <w:color w:val="000000"/>
          <w:sz w:val="22"/>
        </w:rPr>
        <w:t>means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“GME/DSH fund” </w:t>
      </w:r>
      <w:r>
        <w:rPr>
          <w:rFonts w:ascii="Times New Roman" w:hAnsi="Times New Roman"/>
          <w:b w:val="false"/>
          <w:i w:val="false"/>
          <w:color w:val="000000"/>
          <w:sz w:val="22"/>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“Indirect medical education rate” </w:t>
      </w:r>
      <w:r>
        <w:rPr>
          <w:rFonts w:ascii="Times New Roman" w:hAnsi="Times New Roman"/>
          <w:b w:val="false"/>
          <w:i w:val="false"/>
          <w:color w:val="000000"/>
          <w:sz w:val="22"/>
        </w:rPr>
        <w:t xml:space="preserve">shall mean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w:t>
      </w:r>
      <w:hyperlink r:id="rId93">
        <w:r>
          <w:rPr>
            <w:rStyle w:val="Hyperlink"/>
            <w:rFonts w:ascii="Times New Roman" w:hAnsi="Times New Roman"/>
            <w:b w:val="false"/>
            <w:i w:val="false"/>
            <w:color w:val="000000"/>
            <w:sz w:val="22"/>
          </w:rPr>
          <w:t>1.159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purposes of calculating the disproportionate share rate only, a separate indirect medical education rate shall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“Inlier” </w:t>
      </w:r>
      <w:r>
        <w:rPr>
          <w:rFonts w:ascii="Times New Roman" w:hAnsi="Times New Roman"/>
          <w:b w:val="false"/>
          <w:i w:val="false"/>
          <w:color w:val="000000"/>
          <w:sz w:val="22"/>
        </w:rPr>
        <w:t>shall mean those cases where the length of stay or cost of treatment falls within the actual calculated length of stay criteria, or the cost of treating a patient is within the cost boundaries of a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 stay outlier” </w:t>
      </w:r>
      <w:r>
        <w:rPr>
          <w:rFonts w:ascii="Times New Roman" w:hAnsi="Times New Roman"/>
          <w:b w:val="false"/>
          <w:i w:val="false"/>
          <w:color w:val="000000"/>
          <w:sz w:val="22"/>
        </w:rPr>
        <w:t xml:space="preserve">shall mean cases which have an associated length of stay that is greater than the calculated length of stay parameters as defined within the length of stay calculations for that DRG. Payment is as established in </w:t>
      </w:r>
      <w:hyperlink r:id="rId94">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“Low-income utilization rate” </w:t>
      </w:r>
      <w:r>
        <w:rPr>
          <w:rFonts w:ascii="Times New Roman" w:hAnsi="Times New Roman"/>
          <w:b w:val="false"/>
          <w:i w:val="false"/>
          <w:color w:val="000000"/>
          <w:sz w:val="22"/>
        </w:rPr>
        <w:t>shall mean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ind w:left="120"/>
        <w:jc w:val="both"/>
      </w:pPr>
      <w:r>
        <w:rPr>
          <w:rFonts w:ascii="Times New Roman" w:hAnsi="Times New Roman"/>
          <w:b w:val="false"/>
          <w:i w:val="false"/>
          <w:color w:val="000000"/>
          <w:sz w:val="22"/>
        </w:rPr>
        <w:t>A separate low-income utilization rate shall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claim set” </w:t>
      </w:r>
      <w:r>
        <w:rPr>
          <w:rFonts w:ascii="Times New Roman" w:hAnsi="Times New Roman"/>
          <w:b w:val="false"/>
          <w:i w:val="false"/>
          <w:color w:val="000000"/>
          <w:sz w:val="22"/>
        </w:rPr>
        <w:t>means the hospital’s applicable Medicaid claims for the period of January 1, 2006, through December 31, 2007, and paid through March 31,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inpatient utilization rate” </w:t>
      </w:r>
      <w:r>
        <w:rPr>
          <w:rFonts w:ascii="Times New Roman" w:hAnsi="Times New Roman"/>
          <w:b w:val="false"/>
          <w:i w:val="false"/>
          <w:color w:val="000000"/>
          <w:sz w:val="22"/>
        </w:rPr>
        <w:t>shall mean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ind w:left="120"/>
        <w:jc w:val="both"/>
      </w:pPr>
      <w:r>
        <w:rPr>
          <w:rFonts w:ascii="Times New Roman" w:hAnsi="Times New Roman"/>
          <w:b w:val="false"/>
          <w:i w:val="false"/>
          <w:color w:val="000000"/>
          <w:sz w:val="22"/>
        </w:rPr>
        <w:t>A separate Medicaid inpatient utilization rate shall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“Neonatal intensive care unit” </w:t>
      </w:r>
      <w:r>
        <w:rPr>
          <w:rFonts w:ascii="Times New Roman" w:hAnsi="Times New Roman"/>
          <w:b w:val="false"/>
          <w:i w:val="false"/>
          <w:color w:val="000000"/>
          <w:sz w:val="22"/>
        </w:rPr>
        <w:t>shall mean a designated level II or level III neonatal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discharges” </w:t>
      </w:r>
      <w:r>
        <w:rPr>
          <w:rFonts w:ascii="Times New Roman" w:hAnsi="Times New Roman"/>
          <w:b w:val="false"/>
          <w:i w:val="false"/>
          <w:color w:val="000000"/>
          <w:sz w:val="22"/>
        </w:rPr>
        <w:t>shall mean total discharges minus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“QIO” </w:t>
      </w:r>
      <w:r>
        <w:rPr>
          <w:rFonts w:ascii="Times New Roman" w:hAnsi="Times New Roman"/>
          <w:b w:val="false"/>
          <w:i w:val="false"/>
          <w:color w:val="000000"/>
          <w:sz w:val="22"/>
        </w:rPr>
        <w:t>shall mean the organization that performs medical peer review of Medicaid claims, including review of validity of hospital diagnosis and procedure coding information; completeness, adequacy and quality of care; appropriateness of admission, discharge and transfer; and appropriateness of prospective payment outlier cases. These activities undertaken by the QIO may be included in a contractual relationship with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 table listing” </w:t>
      </w:r>
      <w:r>
        <w:rPr>
          <w:rFonts w:ascii="Times New Roman" w:hAnsi="Times New Roman"/>
          <w:b w:val="false"/>
          <w:i w:val="false"/>
          <w:color w:val="000000"/>
          <w:sz w:val="22"/>
        </w:rPr>
        <w:t>shall mean a schedule of rate payments for each provider. The rate table listing is defined as the output that shows the final payment rate by hospital before being multiplied by the appropriate DRG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“Rebasing” </w:t>
      </w:r>
      <w:r>
        <w:rPr>
          <w:rFonts w:ascii="Times New Roman" w:hAnsi="Times New Roman"/>
          <w:b w:val="false"/>
          <w:i w:val="false"/>
          <w:color w:val="000000"/>
          <w:sz w:val="22"/>
        </w:rPr>
        <w:t>shall mean the redetermination of the blended base amount or other applicable components of the final payment rate from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“Rebasing implementation year” </w:t>
      </w:r>
      <w:r>
        <w:rPr>
          <w:rFonts w:ascii="Times New Roman" w:hAnsi="Times New Roman"/>
          <w:b w:val="false"/>
          <w:i w:val="false"/>
          <w:color w:val="000000"/>
          <w:sz w:val="22"/>
        </w:rPr>
        <w:t>means 2008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“Recalibration” </w:t>
      </w:r>
      <w:r>
        <w:rPr>
          <w:rFonts w:ascii="Times New Roman" w:hAnsi="Times New Roman"/>
          <w:b w:val="false"/>
          <w:i w:val="false"/>
          <w:color w:val="000000"/>
          <w:sz w:val="22"/>
        </w:rPr>
        <w:t>shall mean the adjustment of all DRG weights to reflect changes in relative resource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 stay day outlier” </w:t>
      </w:r>
      <w:r>
        <w:rPr>
          <w:rFonts w:ascii="Times New Roman" w:hAnsi="Times New Roman"/>
          <w:b w:val="false"/>
          <w:i w:val="false"/>
          <w:color w:val="000000"/>
          <w:sz w:val="22"/>
        </w:rPr>
        <w:t xml:space="preserve">shall mean cases which have an associated length of stay that is less than the calculated length of stay parameters as defined within the length of stay calculations. Payment rates are established in </w:t>
      </w:r>
      <w:hyperlink r:id="rId95">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final payment rate amount. </w:t>
      </w:r>
      <w:r>
        <w:rPr>
          <w:rFonts w:ascii="Times New Roman" w:hAnsi="Times New Roman"/>
          <w:b w:val="false"/>
          <w:i w:val="false"/>
          <w:color w:val="000000"/>
          <w:sz w:val="22"/>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certified pursuant to </w:t>
      </w:r>
      <w:hyperlink r:id="rId96">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ind w:left="120"/>
        <w:jc w:val="both"/>
      </w:pPr>
      <w:r>
        <w:rPr>
          <w:rFonts w:ascii="Times New Roman" w:hAnsi="Times New Roman"/>
          <w:b w:val="false"/>
          <w:i w:val="false"/>
          <w:color w:val="000000"/>
          <w:sz w:val="22"/>
        </w:rPr>
        <w:t>Hospitals with these units are reimbursed using the weight that reflects the age of each patient. Out-of-state hospitals may not receive reimbursement for the rehabilitation portion of 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Neonatal intensive care units certified pursuant to </w:t>
      </w:r>
      <w:hyperlink r:id="rId97">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Iowa-specific weights and case-mix index. </w:t>
      </w:r>
      <w:r>
        <w:rPr>
          <w:rFonts w:ascii="Times New Roman" w:hAnsi="Times New Roman"/>
          <w:b w:val="false"/>
          <w:i w:val="false"/>
          <w:color w:val="000000"/>
          <w:sz w:val="22"/>
        </w:rPr>
        <w:t>From the Medicaid claim set, the recalibration for rates effective October 1, 2008,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Iowa-specific weights are calculated with Medicaid charge data from the Medicaid claim set using trimmed claims. Medicaid charge data for hospitals receiving reimbursement as critical access hospitals during any of the period included in the base-year cost report shall not be used in calculating Iowa-specific weights. One weight is determined for each DRG with noted exceptions. Weights are determined through the following calculations: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Determine the statewide geometric mean charge for all cases classified in each DRG.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 the statewide aggregate geometric mean charge for each DRG by multiplying the statewide geometric mean charge for each DRG by the total number of cases classified in that DRG.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Sum the statewide aggregate geometric mean charges for all DRGs and divide by the total number of cases for all DRGs to determine the weighted average charge for all DRGs.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Divide the statewide geometric mean charge for each DRG by the weighted average charge for all DRGs to derive the Iowa-specific weight for each DRG.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Normalize the weights so that the average case has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disproportionate share rate only, a separate hospital-specific case-mix index shall be computed for any hospital that qualifies for a disproportionate share payment only as a children’s hospital. The computation shall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blended base amount. </w:t>
      </w:r>
      <w:r>
        <w:rPr>
          <w:rFonts w:ascii="Times New Roman" w:hAnsi="Times New Roman"/>
          <w:b w:val="false"/>
          <w:i w:val="false"/>
          <w:color w:val="000000"/>
          <w:sz w:val="22"/>
        </w:rPr>
        <w:t>The DRG blended base amount reflects a 50/50 blend of statewide and hospital-specific base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statewide average case-mix-adjusted cost per discharge. The statewide average cost per discharge is calculated by subtracting from the statewide total Iowa Medicaid inpatient expenditures: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calculated dollar expenditures based on hospitals’ base-year cost reports for capital costs and medical education costs,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actual payments made for additional transfers, outliers, physical rehabilitation services, psychiatric services rendered on or after October 1, 2006, and indirect medical education.</w:t>
      </w:r>
    </w:p>
    <w:p>
      <w:pPr>
        <w:spacing w:before="0" w:after="0"/>
        <w:ind w:left="120"/>
        <w:jc w:val="both"/>
      </w:pPr>
      <w:r>
        <w:rPr>
          <w:rFonts w:ascii="Times New Roman" w:hAnsi="Times New Roman"/>
          <w:b w:val="false"/>
          <w:i w:val="false"/>
          <w:color w:val="000000"/>
          <w:sz w:val="22"/>
        </w:rPr>
        <w:t>Cost report data for hospitals receiving reimbursement as critical access hospitals during any of the period of time included in the base-year cost report is not used in calculating the statewide average cost per discharge. The remaining amount (which has been case-mix adjusted and adjusted to reflect inflation if applicable) is divided by the statewide total number of Iowa Medicaid discharges reported in the Medicaid management information system (MMIS) less an actual number of nonfull DRG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base-year cost report or MMIS claims system, the actual dollar expenditures for capital costs, direct medical education costs, and the payments made for nonfull DRG transfers, outliers, physical rehabilitation services, and psychiatric services rendered on or after October 1, 2006,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ind w:left="120"/>
        <w:jc w:val="both"/>
      </w:pPr>
      <w:r>
        <w:rPr>
          <w:rFonts w:ascii="Times New Roman" w:hAnsi="Times New Roman"/>
          <w:b w:val="false"/>
          <w:i w:val="false"/>
          <w:color w:val="000000"/>
          <w:sz w:val="22"/>
        </w:rPr>
        <w:t>For purposes of calculating the disproportionate share rate only, a separate hospital-specific case-mix-adjusted average cost per discharge shall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Add-ons to the base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payment for capital costs is added on to the blended base amount.</w:t>
      </w:r>
    </w:p>
    <w:p>
      <w:pPr>
        <w:spacing w:before="0" w:after="0"/>
        <w:ind w:left="120"/>
        <w:jc w:val="both"/>
      </w:pPr>
      <w:r>
        <w:rPr>
          <w:rFonts w:ascii="Times New Roman" w:hAnsi="Times New Roman"/>
          <w:b w:val="false"/>
          <w:i w:val="false"/>
          <w:color w:val="000000"/>
          <w:sz w:val="22"/>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base-year capital cost per discharge attributed to Iowa Medicaid patients.</w:t>
      </w:r>
    </w:p>
    <w:p>
      <w:pPr>
        <w:spacing w:before="0" w:after="0"/>
        <w:ind w:left="120"/>
        <w:jc w:val="both"/>
      </w:pPr>
      <w:r>
        <w:rPr>
          <w:rFonts w:ascii="Times New Roman" w:hAnsi="Times New Roman"/>
          <w:b w:val="false"/>
          <w:i w:val="false"/>
          <w:color w:val="000000"/>
          <w:sz w:val="22"/>
        </w:rPr>
        <w:t>Allowable capital costs are determined by multiplying the capital amount from the base-year cost report by 80 percent. Cost report data for hospitals receiving reimbursement as critical access hospitals during any of the period of time included in the base-year cost report is not used in calculating the statewide average case-mix-adjusted capital cost per discharge.</w:t>
      </w:r>
    </w:p>
    <w:p>
      <w:pPr>
        <w:spacing w:before="0" w:after="0"/>
        <w:ind w:left="120"/>
        <w:jc w:val="both"/>
      </w:pPr>
      <w:r>
        <w:rPr>
          <w:rFonts w:ascii="Times New Roman" w:hAnsi="Times New Roman"/>
          <w:b w:val="false"/>
          <w:i w:val="false"/>
          <w:color w:val="000000"/>
          <w:sz w:val="22"/>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ind w:left="120"/>
        <w:jc w:val="both"/>
      </w:pPr>
      <w:r>
        <w:rPr>
          <w:rFonts w:ascii="Times New Roman" w:hAnsi="Times New Roman"/>
          <w:b w:val="false"/>
          <w:i w:val="false"/>
          <w:color w:val="000000"/>
          <w:sz w:val="22"/>
        </w:rPr>
        <w:t>For purposes of calculating the disproportionate share rate only, a separate add-on to the base amount for capital costs shall be calculated for any hospital that qualifies for a disproportionate share payment only as a children’s hospital based on a distinct area or areas serving children, using the case-mix-adjusted hospital-specific base-year capital cost per discharge attributed to Iowa Medicaid patients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Outlier payment policy. </w:t>
      </w:r>
      <w:r>
        <w:rPr>
          <w:rFonts w:ascii="Times New Roman" w:hAnsi="Times New Roman"/>
          <w:b w:val="false"/>
          <w:i w:val="false"/>
          <w:color w:val="000000"/>
          <w:sz w:val="22"/>
        </w:rPr>
        <w:t>Additional payment is made for approved cases meeting or exceeding Medicaid criteria for day and cost outliers for each DRG. Effective for claims with dates of services ending July 1, 1993, and after, 100 percent of outlier costs will be paid to facilities at the time of claim reimbursement. The QIO shall perform retrospective outlier reviews in accordance with the terms in the contract between the department and the QIO. The QIO contract is available for review at the Iowa Medicaid Enterprise, 100 Army Post Road,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shall be paid at 100 percent of the calculated amount and made at the time the claim is originally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QIO review and payment denied for inappropriate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base-year cost reports. Additional payment for cost outliers is 80 percent of the excess between the hospital’s cost for the discharge and the cost threshold established to define cost outliers. Payment of cost outlier amounts shall be paid at 100 percent of the calculated amount and made at the time the claim is paid.</w:t>
      </w:r>
    </w:p>
    <w:p>
      <w:pPr>
        <w:spacing w:before="0" w:after="0"/>
        <w:ind w:left="120"/>
        <w:jc w:val="both"/>
      </w:pPr>
      <w:r>
        <w:rPr>
          <w:rFonts w:ascii="Times New Roman" w:hAnsi="Times New Roman"/>
          <w:b w:val="false"/>
          <w:i w:val="false"/>
          <w:color w:val="000000"/>
          <w:sz w:val="22"/>
        </w:rPr>
        <w:t>Those hospitals that are notified of any outlier review initiated by the QIO must submit all requested supporting data to the QIO within 60 days of the receipt of outlier review notification, or outlier payment will be forfeited and recouped. In addition, any hospital may request a review for outlier payment by submitting documentation to the QIO within 365 days of receipt of the outlier payment. If requests are not filed within 365 days, the provider loses the right to appeal or contest that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Day and cost outliers. Cases qualifying as both day and cost outliers are given additional payment as cost outliers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Billing for patient transfers and readmissions.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When a patient is discharged to or from an acute care hospital and is admitted to or from a substance abuse unit certified pursuant to paragraph </w:t>
      </w:r>
      <w:hyperlink r:id="rId98">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both the discharging and admitting hospitals will receive 100 percent of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rehabilitation hospitals or units. When a patient requiring physical rehabilitation is discharged from an acute care hospital and admitted to a rehabilitation hospital or unit certified pursuant to </w:t>
      </w:r>
      <w:hyperlink r:id="rId99">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physical rehabilitation is discharged from a facility other than an acute care hospital and admitted to a rehabilitation hospital or unit certified pursuant to </w:t>
      </w:r>
      <w:hyperlink r:id="rId10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Psychiatric units. When a patient is discharged to or from an acute care hospital before October 1, 2006, and is admitted to or from a psychiatric unit certified pursuant to paragraph </w:t>
      </w:r>
      <w:hyperlink r:id="rId101">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both the discharging and admitting hospitals will receive 100 percent of the DRG payment.</w:t>
      </w:r>
    </w:p>
    <w:p>
      <w:pPr>
        <w:spacing w:before="0" w:after="0"/>
        <w:ind w:left="120"/>
        <w:jc w:val="both"/>
      </w:pPr>
      <w:r>
        <w:rPr>
          <w:rFonts w:ascii="Times New Roman" w:hAnsi="Times New Roman"/>
          <w:b w:val="false"/>
          <w:i w:val="false"/>
          <w:color w:val="000000"/>
          <w:sz w:val="22"/>
        </w:rPr>
        <w:t xml:space="preserve">Effective October 1, 2006, when a patient requiring psychiatric care is discharged from an acute care hospital and admitted to a psychiatric unit certified pursuant to paragraph </w:t>
      </w:r>
      <w:hyperlink r:id="rId102">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psychiatric care is discharged from a facility other than an acute care hospital on or after October 1, 2006, and is admitted to a psychiatric unit certified pursuant to paragraph </w:t>
      </w:r>
      <w:hyperlink r:id="rId103">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on or after October 1, 2006, and is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readmissions within 30 days for same condition. Effective for dates of service on or after July 1, 2015, when an inpatient is discharged or transferred from an acute care hospital and is readmitted as an inpatient to the same hospital within 30 days for the same condition, any claim for the subsequent inpatient stay shall be combined with the claim for the original inpatient stay and payment shall be under a single DRG for both stays. The readmission policy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Scheduled readmissions that are part of repetitive or periodic treatments;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Covered DRGs. </w:t>
      </w:r>
      <w:r>
        <w:rPr>
          <w:rFonts w:ascii="Times New Roman" w:hAnsi="Times New Roman"/>
          <w:b w:val="false"/>
          <w:i w:val="false"/>
          <w:color w:val="000000"/>
          <w:sz w:val="22"/>
        </w:rPr>
        <w:t xml:space="preserve">Medicaid DRGs cover services provided in acute care general hospitals, with the exception of services provided in physical rehabilitation hospitals and units certified pursuant to paragraph </w:t>
      </w:r>
      <w:hyperlink r:id="rId104">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services provided on or after October 1, 2006, in psychiatric units certified pursuant to paragraph </w:t>
      </w:r>
      <w:hyperlink r:id="rId105">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which are paid per diem, as specified in paragraph </w:t>
      </w:r>
      <w:hyperlink r:id="rId106">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Payment for certified physical rehabilitation hospitals and units, psychiatric units, and acute psychiatric intensive care services. </w:t>
      </w:r>
      <w:r>
        <w:rPr>
          <w:rFonts w:ascii="Times New Roman" w:hAnsi="Times New Roman"/>
          <w:b w:val="false"/>
          <w:i w:val="false"/>
          <w:color w:val="000000"/>
          <w:sz w:val="22"/>
        </w:rPr>
        <w:t xml:space="preserve">Payment for services provided by a physical rehabilitation hospital or unit certified pursuant to paragraph </w:t>
      </w:r>
      <w:hyperlink r:id="rId107">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for services provided on or after October 1, 2006, in a psychiatric unit certified pursuant to paragraph </w:t>
      </w:r>
      <w:hyperlink r:id="rId108">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is prospective. The payment is based on a per diem rate calculated for each hospital by establishing a base-year per diem rate to which an annual index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 diem calculation. The base rate shall be the medical assistance per diem rate as determined by the individual hospital’s base-year cost report pursuant to paragraph </w:t>
      </w:r>
      <w:hyperlink r:id="rId109">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No recognition will be given to the professional component of the hospital-based physicians except as noted under paragraph </w:t>
      </w:r>
      <w:hyperlink r:id="rId110">
        <w:r>
          <w:rPr>
            <w:rStyle w:val="Hyperlink"/>
            <w:rFonts w:ascii="Times New Roman" w:hAnsi="Times New Roman"/>
            <w:b w:val="false"/>
            <w:i w:val="false"/>
            <w:color w:val="000000"/>
            <w:sz w:val="22"/>
          </w:rPr>
          <w:t>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 diem reimbursement. Hospitals shall be reimbursed the lower of actual charges or the medical assistance cost per diem rate. The determination of the applicable rate shall be based on the hospital fiscal year aggregate of actual charges and medical assistance cost per diem rate. If an overpayment exists, the hospital will refund or have the overpayment deducted from subsequent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 diem recalculation. Hospital prospective reimbursement rates shall be established as of October 1, 1987, for the remainder of the applicable hospital fiscal year. Beginning July 1, 1988, all updated rates shall be established based on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Acute psychiatric intensive care services. Services that meet the criteria at </w:t>
      </w:r>
      <w:hyperlink r:id="rId111">
        <w:r>
          <w:rPr>
            <w:rStyle w:val="Hyperlink"/>
            <w:rFonts w:ascii="Times New Roman" w:hAnsi="Times New Roman"/>
            <w:b w:val="false"/>
            <w:i w:val="false"/>
            <w:color w:val="000000"/>
            <w:sz w:val="22"/>
          </w:rPr>
          <w:t>441—subrule 78.3(8)</w:t>
        </w:r>
      </w:hyperlink>
      <w:r>
        <w:rPr>
          <w:rFonts w:ascii="Times New Roman" w:hAnsi="Times New Roman"/>
          <w:b w:val="false"/>
          <w:i w:val="false"/>
          <w:color w:val="000000"/>
          <w:sz w:val="22"/>
        </w:rPr>
        <w:t xml:space="preserve"> shall be reimbursed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in a psychiatric unit certified pursuant to paragraph </w:t>
      </w:r>
      <w:hyperlink r:id="rId112">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per diem rate as calculated pursuant to subparagraph </w:t>
      </w:r>
      <w:hyperlink r:id="rId113">
        <w:r>
          <w:rPr>
            <w:rStyle w:val="Hyperlink"/>
            <w:rFonts w:ascii="Times New Roman" w:hAnsi="Times New Roman"/>
            <w:b w:val="false"/>
            <w:i w:val="false"/>
            <w:color w:val="000000"/>
            <w:sz w:val="22"/>
          </w:rPr>
          <w:t>79.1(5)</w:t>
        </w:r>
      </w:hyperlink>
      <w:r>
        <w:rPr>
          <w:rFonts w:ascii="Times New Roman" w:hAnsi="Times New Roman"/>
          <w:b w:val="false"/>
          <w:i/>
          <w:color w:val="000000"/>
          <w:sz w:val="22"/>
        </w:rPr>
        <w:t>“i”</w:t>
      </w:r>
      <w:r>
        <w:rPr>
          <w:rFonts w:ascii="Times New Roman" w:hAnsi="Times New Roman"/>
          <w:b w:val="false"/>
          <w:i w:val="false"/>
          <w:color w:val="000000"/>
          <w:sz w:val="22"/>
        </w:rPr>
        <w:t>(1) plus a percentage increase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not provided in a psychiatric unit certified pursuant to paragraph </w:t>
      </w:r>
      <w:hyperlink r:id="rId114">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DRG payment rate as calculated pursuant to paragraph </w:t>
      </w:r>
      <w:hyperlink r:id="rId115">
        <w:r>
          <w:rPr>
            <w:rStyle w:val="Hyperlink"/>
            <w:rFonts w:ascii="Times New Roman" w:hAnsi="Times New Roman"/>
            <w:b w:val="false"/>
            <w:i w:val="false"/>
            <w:color w:val="000000"/>
            <w:sz w:val="22"/>
          </w:rPr>
          <w:t>79.1(5)</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an add-on per diem rate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 diem billing. The current method for submitting billing and cost reports shall be maintained. All cost reports will be subject to desk review audit and, if necessary, a field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by DRG payments. </w:t>
      </w:r>
      <w:r>
        <w:rPr>
          <w:rFonts w:ascii="Times New Roman" w:hAnsi="Times New Roman"/>
          <w:b w:val="false"/>
          <w:i w:val="false"/>
          <w:color w:val="000000"/>
          <w:sz w:val="22"/>
        </w:rPr>
        <w:t xml:space="preserve">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w:t>
      </w:r>
      <w:r>
        <w:rPr>
          <w:rFonts w:ascii="Times New Roman" w:hAnsi="Times New Roman"/>
          <w:b w:val="false"/>
          <w:i w:val="false"/>
          <w:color w:val="000000"/>
          <w:sz w:val="22"/>
        </w:rPr>
        <w:t>42 CFR 415.58</w:t>
      </w:r>
      <w:r>
        <w:rPr>
          <w:rFonts w:ascii="Times New Roman" w:hAnsi="Times New Roman"/>
          <w:b w:val="false"/>
          <w:i w:val="false"/>
          <w:color w:val="000000"/>
          <w:sz w:val="22"/>
        </w:rPr>
        <w:t xml:space="preserve"> as amended to November 25, 1991,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ind w:left="120"/>
        <w:jc w:val="both"/>
      </w:pPr>
      <w:r>
        <w:rPr>
          <w:rFonts w:ascii="Times New Roman" w:hAnsi="Times New Roman"/>
          <w:b w:val="false"/>
          <w:i w:val="false"/>
          <w:color w:val="000000"/>
          <w:sz w:val="22"/>
        </w:rPr>
        <w:t xml:space="preserve">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 (See </w:t>
      </w:r>
      <w:hyperlink r:id="rId116">
        <w:r>
          <w:rPr>
            <w:rStyle w:val="Hyperlink"/>
            <w:rFonts w:ascii="Times New Roman" w:hAnsi="Times New Roman"/>
            <w:b w:val="false"/>
            <w:i w:val="false"/>
            <w:color w:val="000000"/>
            <w:sz w:val="22"/>
          </w:rPr>
          <w:t>441—subrule 78.11(4)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factors, rebasing, and recalibration.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Inflation factors shall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 amounts shall be rebased and weights recalibrated in 2005 and every three years thereafter. Cost reports used in rebasing shall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the Iowa Medicaid enterprise provider cost audits and rate setting unit by May 31 of a rebasing implementation year, the most recent submitted cost report will be used with the addition of a hospital market basket index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shall be updated as provided in subparagraphs </w:t>
      </w:r>
      <w:hyperlink r:id="rId117">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shall not receive inflation of base payment amounts and shall not have base amounts rebased or weights recalibrated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and payment. </w:t>
      </w:r>
      <w:r>
        <w:rPr>
          <w:rFonts w:ascii="Times New Roman" w:hAnsi="Times New Roman"/>
          <w:b w:val="false"/>
          <w:i w:val="false"/>
          <w:color w:val="000000"/>
          <w:sz w:val="22"/>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ind w:left="120"/>
        <w:jc w:val="both"/>
      </w:pPr>
      <w:r>
        <w:rPr>
          <w:rFonts w:ascii="Times New Roman" w:hAnsi="Times New Roman"/>
          <w:b w:val="false"/>
          <w:i w:val="false"/>
          <w:color w:val="000000"/>
          <w:sz w:val="22"/>
        </w:rPr>
        <w:t>Long stay outlier days are determined as the number of Medicaid eligible days beyond the outlier limits. The date of patient admission is the first date of service. Long stay outlier costs are accrued only during eligible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costs will be reimbursed at either the statewide average rate in place at the time of discharge, or the blended capital rate computed by using submitted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that qualify for disproportionate share payment based on the definition established by their state’s Medicaid agency for the calculation of the Medicaid inpatient utilization rate will be eligible to receive disproportionate share payments according to paragraph </w:t>
      </w:r>
      <w:hyperlink r:id="rId12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for dates of service prior to October 1, 2014. Out-of-state hospitals do not qualify for disproportionate share payments for dates of service on or after October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or indirect medical education payments pursuant to paragraph </w:t>
      </w:r>
      <w:hyperlink r:id="rId121">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Medicaid adopts most Medicare QIO regulations to control increased admissions or reduced services. Exceptions to the Medicare review practice are that the QIO reviews Medicaid short stay outliers and all Medicaid patients readmitted within 31 days. Payment can be denied if either admissions or discharges are performed without medical justification as determined by the QIO. Inpatient or outpatient services which require preadmission or preprocedure approval by the QIO are updated yearly by the department and are listed in the provider manual. Preauthorization for any of these services is transmitted directly from the QIO to the Iowa Medicaid enterprise and no additional information needs to be submitted as part of the claim filing for inpatient or outpatient services. To safeguard against these and other inappropriate practices, the department through the QIO will monitor admission practices and quality of care. If an abuse of the prospective payment system is identified, payments for abusive practices may be reduced or denied. In reducing or denying payment, Medicaid adopts the Medicare QIO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Hospital billing. </w:t>
      </w:r>
      <w:r>
        <w:rPr>
          <w:rFonts w:ascii="Times New Roman" w:hAnsi="Times New Roman"/>
          <w:b w:val="false"/>
          <w:i w:val="false"/>
          <w:color w:val="000000"/>
          <w:sz w:val="22"/>
        </w:rPr>
        <w:t>Hospitals shall normally submit claims for DRG reimbursement to the Iowa Medicaid enterprise after a patient’s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outlier days or costs is determined when the claim is paid by the Iowa Medicaid enterprise, as described in paragraph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Medicaid patient requires acute care in the same facility for a period of no less than 120 days, a request for partial payment may be made. Written requests for this interim DRG payment shall be addressed to the Iowa Medicaid Enterprise, Attention: Provider Services Unit, P.O. Box 36450, Des Moines, Iowa 50315. A request for interim payment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patient’s name, state identification number, and date of admission;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brief summary of the case;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current listing of charges;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physician’s attestation that the recipient has been an inpatient for 120 days and is expected to remain in the hospital for a period of no less than 60 additional days.</w:t>
      </w:r>
    </w:p>
    <w:p>
      <w:pPr>
        <w:spacing w:before="0" w:after="0"/>
        <w:ind w:left="120"/>
        <w:jc w:val="both"/>
      </w:pPr>
      <w:r>
        <w:rPr>
          <w:rFonts w:ascii="Times New Roman" w:hAnsi="Times New Roman"/>
          <w:b w:val="false"/>
          <w:i w:val="false"/>
          <w:color w:val="000000"/>
          <w:sz w:val="22"/>
        </w:rPr>
        <w:t>A departmental representative will then contact the facility to assist the facility in filing the interim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observation lasting greater than a 24-hour period will be subject to review by the Iowa Medicaid Enterprise (IME) Medical Services Unit to determine the medical necessity of each case. For those outpatient observation cases where medical necessity is not established by the IME, reimbursement shall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reimbursement as a special unit or physical rehabilitation hospital. </w:t>
      </w:r>
      <w:r>
        <w:rPr>
          <w:rFonts w:ascii="Times New Roman" w:hAnsi="Times New Roman"/>
          <w:b w:val="false"/>
          <w:i w:val="false"/>
          <w:color w:val="000000"/>
          <w:sz w:val="22"/>
        </w:rPr>
        <w:t xml:space="preserve">Certification for Medicaid reimbursement as a substance abuse unit under subparagraph </w:t>
      </w:r>
      <w:hyperlink r:id="rId122">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 neonatal intensive care unit under subparagraph </w:t>
      </w:r>
      <w:hyperlink r:id="rId123">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 psychiatric unit under paragraph </w:t>
      </w:r>
      <w:hyperlink r:id="rId12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or a physical rehabilitation hospital or unit under paragraph </w:t>
      </w:r>
      <w:hyperlink r:id="rId125">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shall be awarded as provided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procedure. All hospital special units and physical rehabilitation hospitals must be certified by the Iowa Medicaid enterprise to qualify for Medicaid reimbursement as a special unit or physical rehabilitation hospital. Hospitals shall submit requests for certification to Iowa Medicaid Enterprise, Attention: Provider Services Unit, P.O. Box 36450, Des Moines, Iowa 50315, with documentation that the certification requirements are met. The provider services unit will notify the facility of any additional documentation needed after review of the submitted documentation.</w:t>
      </w:r>
    </w:p>
    <w:p>
      <w:pPr>
        <w:spacing w:before="0" w:after="0"/>
        <w:ind w:left="120"/>
        <w:jc w:val="both"/>
      </w:pPr>
      <w:r>
        <w:rPr>
          <w:rFonts w:ascii="Times New Roman" w:hAnsi="Times New Roman"/>
          <w:b w:val="false"/>
          <w:i w:val="false"/>
          <w:color w:val="000000"/>
          <w:sz w:val="22"/>
        </w:rPr>
        <w:t>Upon certification, reimbursement as a special unit or physical rehabilitation hospital shall be retroactive to the first day of the month during which the Iowa Medicaid enterprise received the request for certification. No additional retroactive payment adjustment shall be made when a hospital fails to make a timely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substance abuse units. An in-state substance abuse unit may be certified for Medicaid reimbursement under </w:t>
      </w:r>
      <w:hyperlink r:id="rId126">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the unit’s program is licensed by the Iowa department of public health as a substance abuse treatment program in accordance with Iowa Code chapter </w:t>
      </w:r>
      <w:hyperlink r:id="rId1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643—Chapter 3</w:t>
        </w:r>
      </w:hyperlink>
      <w:r>
        <w:rPr>
          <w:rFonts w:ascii="Times New Roman" w:hAnsi="Times New Roman"/>
          <w:b w:val="false"/>
          <w:i w:val="false"/>
          <w:color w:val="000000"/>
          <w:sz w:val="22"/>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ind w:left="120"/>
        <w:jc w:val="both"/>
      </w:pPr>
      <w:r>
        <w:rPr>
          <w:rFonts w:ascii="Times New Roman" w:hAnsi="Times New Roman"/>
          <w:b w:val="false"/>
          <w:i w:val="false"/>
          <w:color w:val="000000"/>
          <w:sz w:val="22"/>
        </w:rPr>
        <w:t xml:space="preserve">An out-of-state substance abuse unit may be certified for Medicaid reimbursement under </w:t>
      </w:r>
      <w:hyperlink r:id="rId129">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it is excluded from the Medicare prospective payment system as a psychiatric unit pursuant to 42 Code of Federal Regulations, Sections 412.25 and </w:t>
      </w:r>
      <w:hyperlink r:id="rId130">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as amended to September 1, 1994.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neonatal intensive care units. A neonatal intensive care unit may be certified for Medicaid reimbursement under </w:t>
      </w:r>
      <w:hyperlink r:id="rId131">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it is certified as a level II or level III neonatal unit and the hospital where it is located is accredited by the Joint Commission on Accreditation of Healthcare Organizations or the American Osteopathic Association. The Iowa Medicaid enterprise shall verify the unit’s certification as a level II or level III neonatal unit in accordance with recommendations set forth by the American Academy of Pediatrics for newborn care. Neonatal units in Iowa shall be certified by the Iowa department of public health pursuant to </w:t>
      </w:r>
      <w:hyperlink r:id="rId132">
        <w:r>
          <w:rPr>
            <w:rStyle w:val="Hyperlink"/>
            <w:rFonts w:ascii="Times New Roman" w:hAnsi="Times New Roman"/>
            <w:b w:val="false"/>
            <w:i w:val="false"/>
            <w:color w:val="000000"/>
            <w:sz w:val="22"/>
          </w:rPr>
          <w:t>641—Chapter 150</w:t>
        </w:r>
      </w:hyperlink>
      <w:r>
        <w:rPr>
          <w:rFonts w:ascii="Times New Roman" w:hAnsi="Times New Roman"/>
          <w:b w:val="false"/>
          <w:i w:val="false"/>
          <w:color w:val="000000"/>
          <w:sz w:val="22"/>
        </w:rPr>
        <w:t>. Out-of-state units shall submit proof of level II or level III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psychiatric units. A psychiatric unit may be certified for Medicaid reimbursement under paragraph </w:t>
      </w:r>
      <w:hyperlink r:id="rId133">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it is excluded from the Medicare prospective payment system as a psychiatric unit pursuant to 42 Code of Federal Regulations, Sections 412.25 and </w:t>
      </w:r>
      <w:hyperlink r:id="rId134">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August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physical rehabilitation hospitals and units. A physical rehabilitation hospital or unit may be certified for Medicaid reimbursement under </w:t>
      </w:r>
      <w:hyperlink r:id="rId135">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it receives or qualifies to receive Medicare reimbursement as a rehabilitative hospital or unit pursuant to 42 Code of Federal Regulations, Sections 412.600 through </w:t>
      </w:r>
      <w:hyperlink r:id="rId136">
        <w:r>
          <w:rPr>
            <w:rStyle w:val="Hyperlink"/>
            <w:rFonts w:ascii="Times New Roman" w:hAnsi="Times New Roman"/>
            <w:b w:val="false"/>
            <w:i w:val="false"/>
            <w:color w:val="000000"/>
            <w:sz w:val="22"/>
          </w:rPr>
          <w:t>412.632</w:t>
        </w:r>
      </w:hyperlink>
      <w:r>
        <w:rPr>
          <w:rFonts w:ascii="Times New Roman" w:hAnsi="Times New Roman"/>
          <w:b w:val="false"/>
          <w:i w:val="false"/>
          <w:color w:val="000000"/>
          <w:sz w:val="22"/>
        </w:rPr>
        <w:t xml:space="preserve"> (Subpart P), as amended to January 1, 2002, and the hospital is accredited by the Joint Commission on Accreditation of Healthcare Organizations or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13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Division III, a health care access assessment inflation factor shall be applied to the Medicaid DRG blended base amount as otherwise calculated pursuant to this subrule for all “participating hospitals” as defined in </w:t>
      </w:r>
      <w:hyperlink r:id="rId138">
        <w:r>
          <w:rPr>
            <w:rStyle w:val="Hyperlink"/>
            <w:rFonts w:ascii="Times New Roman" w:hAnsi="Times New Roman"/>
            <w:b w:val="false"/>
            <w:i w:val="false"/>
            <w:color w:val="000000"/>
            <w:sz w:val="22"/>
          </w:rPr>
          <w:t>441—subrule 36.10(1)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shall be calculated by dividing the amount allowed under the Medicare inpatient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inpatient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shall not be applied until federal financial participation to match money collected from the health care access assessment pursuant to </w:t>
      </w:r>
      <w:hyperlink r:id="rId139">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Division III,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 date. Application of the health care access assessment inflation factor shall terminate if the health care access assessment is terminated pursuant to rule </w:t>
      </w:r>
      <w:hyperlink r:id="rId140">
        <w:r>
          <w:rPr>
            <w:rStyle w:val="Hyperlink"/>
            <w:rFonts w:ascii="Times New Roman" w:hAnsi="Times New Roman"/>
            <w:b w:val="false"/>
            <w:i w:val="false"/>
            <w:color w:val="000000"/>
            <w:sz w:val="22"/>
          </w:rPr>
          <w:t>441—36.12</w:t>
        </w:r>
      </w:hyperlink>
      <w:r>
        <w:rPr>
          <w:rFonts w:ascii="Times New Roman" w:hAnsi="Times New Roman"/>
          <w:b w:val="false"/>
          <w:i w:val="false"/>
          <w:color w:val="000000"/>
          <w:sz w:val="22"/>
        </w:rPr>
        <w:t>(83GA,SF2388). If federal match money is unavailable for a retroactive period or the authority to collect the assessment is rescinded for a retroactive period, the department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application of limitations on payment. </w:t>
      </w:r>
      <w:r>
        <w:rPr>
          <w:rFonts w:ascii="Times New Roman" w:hAnsi="Times New Roman"/>
          <w:b w:val="false"/>
          <w:i w:val="false"/>
          <w:color w:val="000000"/>
          <w:sz w:val="22"/>
        </w:rPr>
        <w:t xml:space="preserve">Diagnosis-related group payments are subject to the upper payment limits as stated in </w:t>
      </w:r>
      <w:r>
        <w:rPr>
          <w:rFonts w:ascii="Times New Roman" w:hAnsi="Times New Roman"/>
          <w:b w:val="false"/>
          <w:i w:val="false"/>
          <w:color w:val="000000"/>
          <w:sz w:val="22"/>
        </w:rPr>
        <w:t>42 CFR 447.271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447.272</w:t>
      </w:r>
      <w:r>
        <w:rPr>
          <w:rFonts w:ascii="Times New Roman" w:hAnsi="Times New Roman"/>
          <w:b w:val="false"/>
          <w:i w:val="false"/>
          <w:color w:val="000000"/>
          <w:sz w:val="22"/>
        </w:rPr>
        <w:t xml:space="preserve"> as amended to September 5,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41">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shall be made to Iowa hospitals qualifying for the Iowa state-owned teaching hospital disproportionate share fund.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Iowa state-owned teaching hospital disproportionate share payments if it qualifies for disproportionate share payments pursuant to paragraph </w:t>
      </w:r>
      <w:hyperlink r:id="rId142">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state-owned hospital with more than 500 beds and eight or more distinct residency specialty or subspecialty programs recognized by the American College of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The total amount of funding that is allocated on July 1 of each year to the Iowa state-owned teaching hospital disproportionate share fund is $26,633,430.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In addition, the total amount of all disproportionate share payments shall not exceed the hospital-specific disproportionate share limits under Public Law 103-666.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The department’s total year-end disproportionate share obligations to a qualifying hospital will be calculated following completion of the desk review or audit of CMS 2552-96, Hospital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Non-state-owned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43">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shall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the Iowa non-state-government-owned acute care teaching hospital disproportionate share payments if it qualifies for disproportionate share payments pursuant to paragraph </w:t>
      </w:r>
      <w:hyperlink r:id="rId144">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non-state-government-owned acute care teaching hospital located in a county with a population over 350,000.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pursuant to paragraph </w:t>
      </w:r>
      <w:hyperlink r:id="rId145">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Iowa non-state-government-owned acute care teaching hospital disproportionate share payments shall not exceed the amount of the state’s allotment under Public Law 102-234. In addition, the total amount of all disproportionate share payments shall not exceed the hospital-specific disproportionate share limits under Public Law 103-666.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The department’s total year-end disproportionate share obligations to a qualifying hospital will be calculated following completion of the desk review or audit of CMS 2552-96, Hospital and Healthcare Complex Cost Report. The department’s total year-end disproportionate share obligation shall not exceed the difference between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annual amount appropriated to the IowaCare account for distribution to publicly owned acute care teaching hospitals located in a county with a population over 350,000;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actual IowaCare expansion population claims submitted and paid by the Iowa Medicaid enterprise to qualifying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Rate adjustments for hospital mergers. </w:t>
      </w:r>
      <w:r>
        <w:rPr>
          <w:rFonts w:ascii="Times New Roman" w:hAnsi="Times New Roman"/>
          <w:b w:val="false"/>
          <w:i w:val="false"/>
          <w:color w:val="000000"/>
          <w:sz w:val="22"/>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For cost reporting periods beginning on or after July 1, 1993, reportable Medicaid administrative and general expenses are allowable only to the extent that they are defined as allowable using Medicare Reimbursement Principles or Health Insurance Reimbursement Manual 15 (HIM-15).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travel and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Dues, subscriptions, or membership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made to other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relations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patient convenience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fees for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Luxury employee benefits (i.e., country club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Motor vehicles for other than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Reorganization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shall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shall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shall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Multiply the total of all DRG weights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shall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indirect medical education. Distribution of the amount in the fund for indirect medical education shall be on a monthly basis. To determine the amount to be distributed to each qualifying hospital for indirect medical education, the following formula is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Multiply the total of all DRG weights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Multiply each hospital’s percentage by the amount allocated for indirect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disproportionate share. For months beginning with July 2002,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r>
        <w:rPr>
          <w:rFonts w:ascii="Times New Roman" w:hAnsi="Times New Roman"/>
          <w:b w:val="false"/>
          <w:i w:val="false"/>
          <w:color w:val="000000"/>
          <w:sz w:val="22"/>
        </w:rPr>
        <w:t>(10)</w:t>
      </w:r>
      <w:r>
        <w:rPr>
          <w:rFonts w:ascii="Times New Roman" w:hAnsi="Times New Roman"/>
          <w:b w:val="false"/>
          <w:i w:val="false"/>
          <w:color w:val="000000"/>
          <w:sz w:val="22"/>
        </w:rPr>
        <w:t>. Information contained in the hospital’s base year cost report is used to determine the hospital’s low-income utilization rate and the hospital’s Medicaid inpatient utilization rate.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those hospitals that qualify for disproportionate share under both the low-income utilization rate definition and the Medicaid inpatient utilization rate definition, the disproportionate share percentage shall be the greater of (1) the product of 2½ percent multiplied by the number of standard deviations by which the hospital’s own Medicaid inpatient utilization rate exceeds the statewide mean Medicaid inpatient utilization rate for all hospitals, or (2) 2½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those hospitals that qualify for disproportionate share under the low-income utilization rate definition, but do not qualify under the Medicaid inpatient utilization rate definition, the disproportionate share percentage shall be 2½ percent.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those hospitals that qualify for disproportionate share under the Medicaid inpatient utilization rate definition, but do not qualify under the low-income utilization rate definition, the disproportionate share percentage shall be the product of 2½ percent multiplied by the number of standard deviations by which the hospital’s own Medicaid inpatient utilization rate exceeds the statewide mean Medicaid inpatient utilization rate for all hospitals.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those hospitals that qualify for disproportionate share as a children’s hospital, the disproportionate share percentage shall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Section 1886 of the Social Security Act, the term “obstetrician” includes any physician with staff privileges at the hospital to perform nonemergency obstetric procedures.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Hospitals qualify for disproportionate share payments from the fund without regard to the facility’s status as a teaching facility or bed size.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Hospitals receiving reimbursement as critical access hospitals shall not qualify for disproportionate share payments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shall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disproportionate share. Distribution of the amount in the fund for disproportionate share shall be on a monthly basis. To determine the amount to be distributed to each qualifying hospital for disproportionate share, the following formula is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Multiply the total of all DRG weights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for claims paid for services rendered to patients under 18 years of age at the time of admission in all distinct areas of the hospital where services are provided predominantly to children under 18 years of age shall be used in this calculation.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Multiply each hospital’s percentage by the amount allocated for disproportionate share to determine the payment to each hospital.</w:t>
      </w:r>
    </w:p>
    <w:p>
      <w:pPr>
        <w:spacing w:before="0" w:after="0"/>
        <w:ind w:left="120"/>
        <w:jc w:val="both"/>
      </w:pPr>
      <w:r>
        <w:rPr>
          <w:rFonts w:ascii="Times New Roman" w:hAnsi="Times New Roman"/>
          <w:b w:val="false"/>
          <w:i w:val="false"/>
          <w:color w:val="000000"/>
          <w:sz w:val="22"/>
        </w:rPr>
        <w:t xml:space="preserve">In compliance with Medicaid Voluntary Contribution and Provider-Specific Tax Amendments of 1991 (Public Law 102-234) and </w:t>
      </w:r>
      <w:r>
        <w:rPr>
          <w:rFonts w:ascii="Times New Roman" w:hAnsi="Times New Roman"/>
          <w:b w:val="false"/>
          <w:i w:val="false"/>
          <w:color w:val="000000"/>
          <w:sz w:val="22"/>
        </w:rPr>
        <w:t>1992 Iowa Acts, chapter 1246</w:t>
      </w:r>
      <w:r>
        <w:rPr>
          <w:rFonts w:ascii="Times New Roman" w:hAnsi="Times New Roman"/>
          <w:b w:val="false"/>
          <w:i w:val="false"/>
          <w:color w:val="000000"/>
          <w:sz w:val="22"/>
        </w:rPr>
        <w:t xml:space="preserve">, section 13, the total of disproportionate share payments from the GME/DSH fund and supplemental disproportionate share of payments pursuant to paragraph </w:t>
      </w:r>
      <w:hyperlink r:id="rId146">
        <w:r>
          <w:rPr>
            <w:rStyle w:val="Hyperlink"/>
            <w:rFonts w:ascii="Times New Roman" w:hAnsi="Times New Roman"/>
            <w:b w:val="false"/>
            <w:i w:val="false"/>
            <w:color w:val="000000"/>
            <w:sz w:val="22"/>
          </w:rPr>
          <w:t>79.1(5)</w:t>
        </w:r>
        <w:r>
          <w:rPr>
            <w:rFonts w:ascii="Times New Roman" w:hAnsi="Times New Roman"/>
            <w:b w:val="false"/>
            <w:i/>
            <w:color w:val="000000"/>
            <w:sz w:val="22"/>
          </w:rPr>
          <w:t>“u”</w:t>
        </w:r>
      </w:hyperlink>
      <w:r>
        <w:rPr>
          <w:rFonts w:ascii="Times New Roman" w:hAnsi="Times New Roman"/>
          <w:b w:val="false"/>
          <w:i w:val="false"/>
          <w:color w:val="000000"/>
          <w:sz w:val="22"/>
        </w:rPr>
        <w:t xml:space="preserve"> or </w:t>
      </w:r>
      <w:hyperlink r:id="rId147">
        <w:r>
          <w:rPr>
            <w:rStyle w:val="Hyperlink"/>
            <w:rFonts w:ascii="Times New Roman" w:hAnsi="Times New Roman"/>
            <w:b w:val="false"/>
            <w:i w:val="false"/>
            <w:color w:val="000000"/>
            <w:sz w:val="22"/>
          </w:rPr>
          <w:t>79.1(5)</w:t>
        </w:r>
        <w:r>
          <w:rPr>
            <w:rFonts w:ascii="Times New Roman" w:hAnsi="Times New Roman"/>
            <w:b w:val="false"/>
            <w:i/>
            <w:color w:val="000000"/>
            <w:sz w:val="22"/>
          </w:rPr>
          <w:t>“v”</w:t>
        </w:r>
      </w:hyperlink>
      <w:r>
        <w:rPr>
          <w:rFonts w:ascii="Times New Roman" w:hAnsi="Times New Roman"/>
          <w:b w:val="false"/>
          <w:i w:val="false"/>
          <w:color w:val="000000"/>
          <w:sz w:val="22"/>
        </w:rPr>
        <w:t xml:space="preserve"> cannot exceed the amount of the federal cap under Public Law 102-234.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ind w:left="120"/>
        <w:jc w:val="both"/>
      </w:pPr>
      <w:r>
        <w:rPr>
          <w:rFonts w:ascii="Times New Roman" w:hAnsi="Times New Roman"/>
          <w:b w:val="false"/>
          <w:i w:val="false"/>
          <w:color w:val="000000"/>
          <w:sz w:val="22"/>
        </w:rPr>
        <w:t>A hospital wishing to qualify for disproportionate share payments as a children’s hospital for any state fiscal year beginning on or after July 1, 2002, must provide the following information to the Iowa Medicaid enterprise provider cost audit and rate setting unit within 20 business days of a request by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Base year cost reports.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Medicaid claims data for children under the age of 18 at the time of admission to the hospital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information needed to determine a disproportionate share rate encompassing the periods used to determine the disproportionate share rate and distribution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color w:val="000000"/>
          <w:sz w:val="22"/>
        </w:rPr>
        <w:t xml:space="preserve">Final settlement for state-owned teaching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July 1, 2010, total annual payments to an Iowa state-owned hospital for inpatient and outpatient hospital services shall equal 100 percent of allowable medical assistance program costs, not to exceed the sum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Payments for inpatient hospital services calculated in accordance with subrule </w:t>
      </w:r>
      <w:hyperlink r:id="rId148">
        <w:r>
          <w:rPr>
            <w:rStyle w:val="Hyperlink"/>
            <w:rFonts w:ascii="Times New Roman" w:hAnsi="Times New Roman"/>
            <w:b w:val="false"/>
            <w:i w:val="false"/>
            <w:color w:val="000000"/>
            <w:sz w:val="22"/>
          </w:rPr>
          <w:t>79.1(5)</w:t>
        </w:r>
      </w:hyperlink>
      <w:r>
        <w:rPr>
          <w:rFonts w:ascii="Times New Roman" w:hAnsi="Times New Roman"/>
          <w:b w:val="false"/>
          <w:i w:val="false"/>
          <w:color w:val="000000"/>
          <w:sz w:val="22"/>
        </w:rPr>
        <w:t>, plus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Payment for outpatient hospital services calculated in accordance with subrule </w:t>
      </w:r>
      <w:hyperlink r:id="rId149">
        <w:r>
          <w:rPr>
            <w:rStyle w:val="Hyperlink"/>
            <w:rFonts w:ascii="Times New Roman" w:hAnsi="Times New Roman"/>
            <w:b w:val="false"/>
            <w:i w:val="false"/>
            <w:color w:val="000000"/>
            <w:sz w:val="22"/>
          </w:rPr>
          <w:t>79.1(16)</w:t>
        </w:r>
      </w:hyperlink>
      <w:r>
        <w:rPr>
          <w:rFonts w:ascii="Times New Roman" w:hAnsi="Times New Roman"/>
          <w:b w:val="false"/>
          <w:i w:val="false"/>
          <w:color w:val="000000"/>
          <w:sz w:val="22"/>
        </w:rPr>
        <w:t>, plus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$9,900,000.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One-twelfth of the $9,900,000 increase in reimbursement shall be distributed to the hospital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shall complete a final settlement based on the hospital’s Medicare cost report. If the aggregate payments are less than the hospital’s actual medical assistance program costs, no additional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sum of the inpatient hospital service payments plus outpatient hospital service payments plus the $9,900,000 exceeds 100 percent of allowable inpatient and outpatient costs, the department shall request and collect from the hospital the amount by which payments exceed actual medical assistance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 for critical access hospitals. </w:t>
      </w:r>
      <w:r>
        <w:rPr>
          <w:rFonts w:ascii="Times New Roman" w:hAnsi="Times New Roman"/>
          <w:b w:val="false"/>
          <w:i w:val="false"/>
          <w:color w:val="000000"/>
          <w:sz w:val="22"/>
        </w:rPr>
        <w:t xml:space="preserve">Payments to critical access hospitals pursuant to paragraphs </w:t>
      </w:r>
      <w:hyperlink r:id="rId150">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151">
        <w:r>
          <w:rPr>
            <w:rStyle w:val="Hyperlink"/>
            <w:rFonts w:ascii="Times New Roman" w:hAnsi="Times New Roman"/>
            <w:b w:val="false"/>
            <w:i w:val="false"/>
            <w:color w:val="000000"/>
            <w:sz w:val="22"/>
          </w:rPr>
          <w:t/>
        </w:r>
        <w:r>
          <w:rPr>
            <w:rFonts w:ascii="Times New Roman" w:hAnsi="Times New Roman"/>
            <w:b w:val="false"/>
            <w:i/>
            <w:color w:val="000000"/>
            <w:sz w:val="22"/>
          </w:rPr>
          <w:t>“z”</w:t>
        </w:r>
      </w:hyperlink>
      <w:r>
        <w:rPr>
          <w:rFonts w:ascii="Times New Roman" w:hAnsi="Times New Roman"/>
          <w:b w:val="false"/>
          <w:i w:val="false"/>
          <w:color w:val="000000"/>
          <w:sz w:val="22"/>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2">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hyperlink r:id="rId153">
        <w:r>
          <w:rPr>
            <w:rStyle w:val="Hyperlink"/>
            <w:rFonts w:ascii="Times New Roman" w:hAnsi="Times New Roman"/>
            <w:b w:val="false"/>
            <w:i w:val="false"/>
            <w:color w:val="000000"/>
            <w:sz w:val="22"/>
          </w:rPr>
          <w:t/>
        </w:r>
        <w:r>
          <w:rPr>
            <w:rFonts w:ascii="Times New Roman" w:hAnsi="Times New Roman"/>
            <w:b w:val="false"/>
            <w:i/>
            <w:color w:val="000000"/>
            <w:sz w:val="22"/>
          </w:rPr>
          <w:t>“z.”</w:t>
        </w:r>
      </w:hyperlink>
      <w:r>
        <w:rPr>
          <w:rFonts w:ascii="Times New Roman" w:hAnsi="Times New Roman"/>
          <w:b w:val="false"/>
          <w:i w:val="false"/>
          <w:color w:val="000000"/>
          <w:sz w:val="22"/>
        </w:rPr>
        <w:t xml:space="preserve"> Amounts paid before adjustment that exceed reasonable costs shall be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rate upon which the DRG payment is built shall be changed after any retrospective adjustment to reflect, as accurately as is possible, the reasonable costs of providing the covered service to eligible fee-for-service Medicaid members for the coming year using the most recent utilization as submitted to the Iowa Medicaid enterprise provider cost audit and rate setting unit and Medicare cost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prospective DRG base rate is not subject to inflation factors, rebasing, or recalibration as provided in paragraph </w:t>
      </w:r>
      <w:hyperlink r:id="rId154">
        <w:r>
          <w:rPr>
            <w:rStyle w:val="Hyperlink"/>
            <w:rFonts w:ascii="Times New Roman" w:hAnsi="Times New Roman"/>
            <w:b w:val="false"/>
            <w:i w:val="false"/>
            <w:color w:val="000000"/>
            <w:sz w:val="22"/>
          </w:rPr>
          <w:t>79.1(5)</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color w:val="000000"/>
          <w:sz w:val="22"/>
        </w:rPr>
        <w:t xml:space="preserve">Nonpayment for preventable conditions. </w:t>
      </w:r>
      <w:r>
        <w:rPr>
          <w:rFonts w:ascii="Times New Roman" w:hAnsi="Times New Roman"/>
          <w:b w:val="false"/>
          <w:i w:val="false"/>
          <w:color w:val="000000"/>
          <w:sz w:val="22"/>
        </w:rPr>
        <w:t>Preventable conditions identified pursuant to this rule that develop during inpatient hospital treatment shall not be considered in determining reimbursement for such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Coding. All diagnoses included on an inpatient hospital claim must include one of the following codes indicating whether the condition was present or developing at the time of the order for inpatient admission:</w:t>
      </w:r>
    </w:p>
    <w:tbl>
      <w:tblPr>
        <w:tblW w:w="5000" w:type="pct"/>
        <w:tblCellSpacing w:w="0" w:type="auto"/>
        <w:tblBorders>
          <w:top w:val="none"/>
          <w:left w:val="none"/>
          <w:bottom w:val="none"/>
          <w:right w:val="none"/>
          <w:insideH w:val="none"/>
          <w:insideV w:val="none"/>
        </w:tblBorders>
        <w:tblLayout w:type="fixed"/>
      </w:tblPr>
      <w:tblGrid>
        <w:gridCol w:w="634"/>
        <w:gridCol w:w="10886"/>
      </w:tblGrid>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Present on Admission (POA) Indicator Codes</w:t>
            </w:r>
          </w:p>
        </w:tc>
      </w:tr>
      <w:tr>
        <w:trPr>
          <w:trHeight w:val="255" w:hRule="atLeast"/>
        </w:trPr>
        <w:tc>
          <w:tcPr>
            <w:tcW w:w="6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Code</w:t>
            </w:r>
          </w:p>
        </w:tc>
        <w:tc>
          <w:tcPr>
            <w:tcW w:w="108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Explanation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Y</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present or developing at the time of the order for inpatient admission.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not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Documentation is insufficient to determine whether the condition was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Clinically undetermined. The provider is clinically unable to determine whether or not the condition was present or developing at the time of the order for inpatient admission.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2"/>
        </w:rPr>
        <w:t>Section 1886(d)(4)(D)(iv)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1395w</w:t>
      </w:r>
      <w:r>
        <w:rPr>
          <w:rFonts w:ascii="Times New Roman" w:hAnsi="Times New Roman"/>
          <w:b w:val="false"/>
          <w:i w:val="false"/>
          <w:color w:val="000000"/>
          <w:sz w:val="22"/>
        </w:rPr>
        <w:t>w(d)(4)(D)(iv)) if the condition was not present or developing at the time of the order for inpatient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color w:val="000000"/>
          <w:sz w:val="22"/>
        </w:rPr>
        <w:t xml:space="preserve">Rural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55">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shall be made to qualifying Iowa hospitals that elect to participate in rural hospital disproportionate share payments. Interim monthly payments will be made based on the amount of state share that is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that qualifies for disproportionate share payments pursuant to paragraph </w:t>
      </w:r>
      <w:hyperlink r:id="rId156">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that is a rural prospective payment hospital not designated as a critical access hospital qualifies for rural hospital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of nonfederal share. The required nonfederal share shall be funds generated from tax levy collections of the county or city in which the hospital is located, and is subject to the conditions specified in this subparagraph and applicable federal law and regulations.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nonfederal share funds shall be distributed to the department prior to the issuance of any disproportionate share payment to a qualifying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applicable federal matching rate for the fiscal year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made pursuant to paragraph </w:t>
      </w:r>
      <w:hyperlink r:id="rId157">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rural hospital disproportionate share payments shall not exceed the amount of the state’s allotment under Public Law 102-234. In addition, the total amount of all disproportionate share payments shall not exceed the hospital-specific disproportionate share limits under Public Law 103-666.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w:t>
      </w:r>
      <w:r>
        <w:rPr>
          <w:rFonts w:ascii="Times New Roman" w:hAnsi="Times New Roman"/>
          <w:b w:val="false"/>
          <w:i w:val="false"/>
          <w:color w:val="000000"/>
          <w:sz w:val="22"/>
        </w:rPr>
        <w:t> </w:t>
      </w:r>
      <w:r>
        <w:rPr>
          <w:rFonts w:ascii="Times New Roman" w:hAnsi="Times New Roman"/>
          <w:b w:val="false"/>
          <w:i/>
          <w:color w:val="000000"/>
          <w:sz w:val="22"/>
        </w:rPr>
        <w:t xml:space="preserve">Independent laboratories. </w:t>
      </w:r>
      <w:r>
        <w:rPr>
          <w:rFonts w:ascii="Times New Roman" w:hAnsi="Times New Roman"/>
          <w:b w:val="false"/>
          <w:i w:val="false"/>
          <w:color w:val="000000"/>
          <w:sz w:val="22"/>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The fee schedules are adjusted annually by CMS to reflect changes in the Consumer Price Index for All Urban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w:t>
      </w:r>
      <w:r>
        <w:rPr>
          <w:rFonts w:ascii="Times New Roman" w:hAnsi="Times New Roman"/>
          <w:b w:val="false"/>
          <w:i w:val="false"/>
          <w:color w:val="000000"/>
          <w:sz w:val="22"/>
        </w:rPr>
        <w:t> </w:t>
      </w:r>
      <w:r>
        <w:rPr>
          <w:rFonts w:ascii="Times New Roman" w:hAnsi="Times New Roman"/>
          <w:b w:val="false"/>
          <w:i/>
          <w:color w:val="000000"/>
          <w:sz w:val="22"/>
        </w:rPr>
        <w:t xml:space="preserve">Physicians.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is based on the definitions of medical and surgical procedures given in the most recent edition of Physician’s Current Procedural Terminology (CPT). Refer to </w:t>
      </w:r>
      <w:hyperlink r:id="rId158">
        <w:r>
          <w:rPr>
            <w:rStyle w:val="Hyperlink"/>
            <w:rFonts w:ascii="Times New Roman" w:hAnsi="Times New Roman"/>
            <w:b w:val="false"/>
            <w:i w:val="false"/>
            <w:color w:val="000000"/>
            <w:sz w:val="22"/>
          </w:rPr>
          <w:t>441—paragraph 78.1(2)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guidelines for immunization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reduction for services rendered in facility settings. </w:t>
      </w:r>
      <w:r>
        <w:rPr>
          <w:rFonts w:ascii="Times New Roman" w:hAnsi="Times New Roman"/>
          <w:b w:val="false"/>
          <w:i w:val="false"/>
          <w:color w:val="000000"/>
          <w:sz w:val="22"/>
        </w:rPr>
        <w:t xml:space="preserve">The fee schedule amount paid to physicians based on </w:t>
      </w:r>
      <w:hyperlink r:id="rId159">
        <w:r>
          <w:rPr>
            <w:rStyle w:val="Hyperlink"/>
            <w:rFonts w:ascii="Times New Roman" w:hAnsi="Times New Roman"/>
            <w:b w:val="false"/>
            <w:i w:val="false"/>
            <w:color w:val="000000"/>
            <w:sz w:val="22"/>
          </w:rPr>
          <w:t>paragraph 79.1(7)</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w:t>
      </w:r>
      <w:hyperlink r:id="rId160">
        <w:r>
          <w:rPr>
            <w:rStyle w:val="Hyperlink"/>
            <w:rFonts w:ascii="Times New Roman" w:hAnsi="Times New Roman"/>
            <w:b w:val="false"/>
            <w:i w:val="false"/>
            <w:color w:val="000000"/>
            <w:sz w:val="22"/>
          </w:rPr>
          <w:t>Chapter 12</w:t>
        </w:r>
      </w:hyperlink>
      <w:r>
        <w:rPr>
          <w:rFonts w:ascii="Times New Roman" w:hAnsi="Times New Roman"/>
          <w:b w:val="false"/>
          <w:i w:val="false"/>
          <w:color w:val="000000"/>
          <w:sz w:val="22"/>
        </w:rPr>
        <w:t>, Section 20.4.2, revised as of May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Telehealth (POS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hospital-off campus (POS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hospital (POS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Outpatient hospital-on campus (POS 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room-hospital (POS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(POS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Military treatment center (POS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(POS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Hospice-for inpatient care (POS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Ambulance-land (POS 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Ambulance-air or water (POS 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Inpatient psychiatric facility (POS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Psychiatric facility-partial hospitalization (POS 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 (POS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Psychiatric residential treatment center (POS 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Comprehensive inpatient rehabilitation (POS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primary care services. </w:t>
      </w:r>
      <w:r>
        <w:rPr>
          <w:rFonts w:ascii="Times New Roman" w:hAnsi="Times New Roman"/>
          <w:b w:val="false"/>
          <w:i w:val="false"/>
          <w:color w:val="000000"/>
          <w:sz w:val="22"/>
        </w:rPr>
        <w:t xml:space="preserve">To the extent required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 1396a(a)(13)(C), primary care services furnished in calendar year 2013 or 2014 by a qualified primary care physician or under the supervision of a qualified primary care physician shall be paid as provided pursuant to subparagraphs (1) to (4) and (6) of this paragraph (</w:t>
      </w:r>
      <w:hyperlink r:id="rId161">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Primary care services furnished January 1, 2015, through June 30, 2017, by a qualified primary care physician or under the supervision of a qualified primary care physician shall be paid as provided pursuant to subparagraphs (1) to (3), (5), and (7) of this paragraph (</w:t>
      </w:r>
      <w:hyperlink r:id="rId162">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Primary care services eligible for payment pursuant to this paragraph (</w:t>
      </w:r>
      <w:hyperlink r:id="rId163">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Evaluation and management (E &amp; M) services covered by Iowa Medicaid and designated in the healthcare common procedure coding system (HCPCS) as codes 99201 through 99499, or their successor codes;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Vaccine administration services covered by Iowa Medicaid and designated in the healthcare common procedure coding system (HCPCS) as codes 90460, 90461, 90471, 90472, 90473 and 90474, or their successor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purposes of this paragraph (</w:t>
      </w:r>
      <w:hyperlink r:id="rId164">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a qualified primary care physician is a physician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certified by the American Board of Medical Specialties (ABMS), the American Board of Physician Specialties (ABPS) or the American Osteopathic Association (AOA) with a specialty designation of family medicine, general internal medicine, or pediatric medicine or with a subspecialty designation recognized by the certifying organization as a subspecialty of family medicine, general internal medicine, or pediatric medicine;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furnished primary care services eligible for payment pursuant to this paragraph (</w:t>
      </w:r>
      <w:hyperlink r:id="rId165">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equal to at least 60 percent of the Iowa Medicaid services for which the qualified primary care physician has submitted claims during the most recently completed calendar year or, for newly eligible physicians, the prior month (excluding claims not paid and claims for which Medicare is the primary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payment to be made under this paragraph (</w:t>
      </w:r>
      <w:hyperlink r:id="rId166">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the qualified primary care physician must have certified that the physician is a qualified primary care physician by submitting Form 470-5138, Iowa Medicaid Primary Care Physician Certification and Attestation for Primary Care Rate Increase, prior to the date of service or by April 1, 2013, for services rendered January 1, 2013, through April 1,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Primary care services rendered in calendar year 2013 or 2014. Primary care services rendered in calendar year 2013 or 2014 that are eligible for payment pursuant to this rule shall be paid at the greater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otherwise applicable Iowa Medicaid rate;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applicable rate under Medicare Part B, in effect for services rendered on the first day of the calendar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rate that would be applicable under Medicare Part B, in effect for services rendered on the first day of the calendar year, if the conversion factor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 1395w-4(d) were the conversion factor for 2009;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there is no applicable rate under Medicare Part B, the rate specified in a fee schedule established and announced by the federal Centers for Medicare and Medicaid Services, pursuant to </w:t>
      </w:r>
      <w:r>
        <w:rPr>
          <w:rFonts w:ascii="Times New Roman" w:hAnsi="Times New Roman"/>
          <w:b w:val="false"/>
          <w:i w:val="false"/>
          <w:color w:val="000000"/>
          <w:sz w:val="22"/>
        </w:rPr>
        <w:t>42 CFR § 447.405(a)(1)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Primary care services rendered on or after January 1, 2015. Primary care services rendered on or after January 1, 2015, that are eligible for payment pursuant to this rule shall be paid at the greater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otherwise applicable Iowa Medicaid rate;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applicable rate under Medicare Part B in effect for services rendered on January 1, 2014;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 1395w-4(d) were the conversion factor for 2009;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there is no applicable rate under Medicare Part B, the rate specified in a fee schedule established and announced by the federal Centers for Medicare and Medicaid Services, pursuant to </w:t>
      </w:r>
      <w:r>
        <w:rPr>
          <w:rFonts w:ascii="Times New Roman" w:hAnsi="Times New Roman"/>
          <w:b w:val="false"/>
          <w:i w:val="false"/>
          <w:color w:val="000000"/>
          <w:sz w:val="22"/>
        </w:rPr>
        <w:t>42 CFR § 447.405(a)(1)</w:t>
      </w:r>
      <w:r>
        <w:rPr>
          <w:rFonts w:ascii="Times New Roman" w:hAnsi="Times New Roman"/>
          <w:b w:val="false"/>
          <w:i w:val="false"/>
          <w:color w:val="000000"/>
          <w:sz w:val="22"/>
        </w:rPr>
        <w:t>, and in effect on June 30,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provisions of this paragraph (</w:t>
      </w:r>
      <w:hyperlink r:id="rId167">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payment for the administration of vaccines provided under the Vaccines for Children Program in calendar year 2013 or 2014 shall be limited to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regional maximum administration fee under the Vaccines for Children Program;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applicable Medicare fee schedule rate for HCPCS code 90460 (or, if higher, the Medicare fee schedule rate for HCPCS code 90460 that would apply if the conversion factor under </w:t>
      </w:r>
      <w:r>
        <w:rPr>
          <w:rFonts w:ascii="Times New Roman" w:hAnsi="Times New Roman"/>
          <w:b w:val="false"/>
          <w:i w:val="false"/>
          <w:color w:val="000000"/>
          <w:sz w:val="22"/>
        </w:rPr>
        <w:t>42 U.S.C.</w:t>
      </w:r>
      <w:r>
        <w:rPr>
          <w:rFonts w:ascii="Times New Roman" w:hAnsi="Times New Roman"/>
          <w:b w:val="false"/>
          <w:i w:val="false"/>
          <w:color w:val="000000"/>
          <w:sz w:val="22"/>
        </w:rPr>
        <w:t>§ 1395w-4(d) were the conversion factor for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provisions of this paragraph (</w:t>
      </w:r>
      <w:hyperlink r:id="rId168">
        <w:r>
          <w:rPr>
            <w:rStyle w:val="Hyperlink"/>
            <w:rFonts w:ascii="Times New Roman" w:hAnsi="Times New Roman"/>
            <w:b w:val="false"/>
            <w:i w:val="false"/>
            <w:color w:val="000000"/>
            <w:sz w:val="22"/>
          </w:rPr>
          <w:t>79.1(7)</w:t>
        </w:r>
        <w:r>
          <w:rPr>
            <w:rFonts w:ascii="Times New Roman" w:hAnsi="Times New Roman"/>
            <w:b w:val="false"/>
            <w:i/>
            <w:color w:val="000000"/>
            <w:sz w:val="22"/>
          </w:rPr>
          <w:t>“c”</w:t>
        </w:r>
      </w:hyperlink>
      <w:r>
        <w:rPr>
          <w:rFonts w:ascii="Times New Roman" w:hAnsi="Times New Roman"/>
          <w:b w:val="false"/>
          <w:i w:val="false"/>
          <w:color w:val="000000"/>
          <w:sz w:val="22"/>
        </w:rPr>
        <w:t>), payment for the administration of vaccines provided under the Vaccines for Children Program on or after January 1, 2015, shall be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regional maximum administration fee under the Vaccines for Children Program in effect on June 30, 2014;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 1395w-4(d) were the conversion factor for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anesthesia services. </w:t>
      </w:r>
      <w:r>
        <w:rPr>
          <w:rFonts w:ascii="Times New Roman" w:hAnsi="Times New Roman"/>
          <w:b w:val="false"/>
          <w:i w:val="false"/>
          <w:color w:val="000000"/>
          <w:sz w:val="22"/>
        </w:rPr>
        <w:t>Anesthesia services are paid pursuant to this paragraph and the Iowa Medicaid fee schedule published by the department pursuant to paragraph 79.1(1)</w:t>
      </w:r>
      <w:r>
        <w:rPr>
          <w:rFonts w:ascii="Times New Roman" w:hAnsi="Times New Roman"/>
          <w:b w:val="false"/>
          <w:i/>
          <w:color w:val="000000"/>
          <w:sz w:val="22"/>
        </w:rPr>
        <w:t>“c.”</w:t>
      </w:r>
      <w:r>
        <w:rPr>
          <w:rFonts w:ascii="Times New Roman" w:hAnsi="Times New Roman"/>
          <w:b w:val="false"/>
          <w:i w:val="false"/>
          <w:color w:val="000000"/>
          <w:sz w:val="22"/>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Beginning July 1, 2017, the Iowa Medicaid anesthesia conversion factor is the current Medicare anesthesia conversion factor for Iowa, converted to a per-minute amount. For 2017, that amount is $1.40, which will be updated annually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79.1(8)</w:t>
      </w:r>
      <w:r>
        <w:rPr>
          <w:rFonts w:ascii="Times New Roman" w:hAnsi="Times New Roman"/>
          <w:b w:val="false"/>
          <w:i w:val="false"/>
          <w:color w:val="000000"/>
          <w:sz w:val="22"/>
        </w:rPr>
        <w:t> </w:t>
      </w:r>
      <w:r>
        <w:rPr>
          <w:rFonts w:ascii="Times New Roman" w:hAnsi="Times New Roman"/>
          <w:b w:val="false"/>
          <w:i/>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below in paragraphs </w:t>
      </w:r>
      <w:hyperlink r:id="rId169">
        <w:r>
          <w:rPr>
            <w:rStyle w:val="Hyperlink"/>
            <w:rFonts w:ascii="Times New Roman" w:hAnsi="Times New Roman"/>
            <w:b w:val="false"/>
            <w:i w:val="false"/>
            <w:color w:val="000000"/>
            <w:sz w:val="22"/>
          </w:rPr>
          <w:t>79.1(8)</w:t>
        </w:r>
        <w:r>
          <w:rPr>
            <w:rFonts w:ascii="Times New Roman" w:hAnsi="Times New Roman"/>
            <w:b w:val="false"/>
            <w:i/>
            <w:color w:val="000000"/>
            <w:sz w:val="22"/>
          </w:rPr>
          <w:t>“d”</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all providers are reimbursed for covered drugs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generic prescription drugs and for covered nonprescription drugs shall be the lowest of the following, as of the date of dispensing: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average state actual acquisition cost (AAC), determined pursuant to paragraph </w:t>
      </w:r>
      <w:hyperlink r:id="rId170">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determined pursuant to paragraph </w:t>
      </w:r>
      <w:hyperlink r:id="rId171">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federal upper limit (FUL), defined as the upper limit for a multiple source drug established in accordance with the methodology of the Centers for Medicare and Medicaid Services as described in 42 CFR 447.514(a)-(c), plus the professional dispensing fee determined pursuant to paragraph </w:t>
      </w:r>
      <w:hyperlink r:id="rId17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w:t>
      </w:r>
      <w:hyperlink r:id="rId173">
        <w:r>
          <w:rPr>
            <w:rStyle w:val="Hyperlink"/>
            <w:rFonts w:ascii="Times New Roman" w:hAnsi="Times New Roman"/>
            <w:b w:val="false"/>
            <w:i w:val="false"/>
            <w:color w:val="000000"/>
            <w:sz w:val="22"/>
          </w:rPr>
          <w:t>paragraph 79.1(8)</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brand-name prescription drugs shall be the lowest of the following, as of the date of dispensing: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average state AAC, determined pursuant to paragraph </w:t>
      </w:r>
      <w:hyperlink r:id="rId174">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determined pursuant to paragraph </w:t>
      </w:r>
      <w:hyperlink r:id="rId175">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total submitted charge, represented by the lower of the GAD as defined by the NCPDP standards definition, or the ingredient cost submitted plus the state defined professional dispensing fee;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average state AAC is defined as retail pharmacies’ average prices paid to acquire drug products. Average state AAC shall be determined by the department based on a survey of invoice prices paid by Iowa Medicaid retail pharmacies. Surveys shall be conducted at least once every six months, or more often at the department’s discretion. The average state AAC shall be calculated as a statistical mean based on one reported cost per drug per pharmacy. The average state AAC determined by the department shall be published on the Iowa Medicaid enterprise website. If no current average state AAC has been determined for a drug, the wholesale acquisition cost (WAC) published by Medi-Span shall be used as the average state AAC.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Professional dispensing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professional dispensing fee shall be a fee schedule amount determined by the department based on a survey of Iowa Medicaid participating pharmacy providers’ costs of dispensing drugs to Medicaid beneficiaries. The survey shall be conducted every two years beginning in state fiscal year 2014-2015.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oral solid dispensed to a patient in a nursing home in unit dose packaging prepared by the pharmacist, an additional one cent per dose shall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Iowa board of pharmacy’s rules on return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340B-purchased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76">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to a covered entity as defined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for covered outpatient drugs acquired by the entity through the 340B drug pricing program will be the lowest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340B covered entity actual acquisition cost (not to exceed the 340B ceiling price), submitted in the ingredient cost field, plus the professional dispensing fee pursuant to paragraph </w:t>
      </w:r>
      <w:hyperlink r:id="rId177">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average state AAC determined pursuant to paragraph </w:t>
      </w:r>
      <w:hyperlink r:id="rId178">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79">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generic prescription drugs and nonprescription drugs only, the FUL pursuant to </w:t>
      </w:r>
      <w:hyperlink r:id="rId180">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81">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for covered outpatient drugs to a 340B contract pharmacy, under contract with a covered entity described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will be according to paragraph </w:t>
      </w:r>
      <w:hyperlink r:id="rId182">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because covered outpatient drugs purchased through the 340B drug pricing program cannot be billed to Medicaid by a 340B contract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supply schedule (FSS) drugs. Notwithstanding paragraph </w:t>
      </w:r>
      <w:hyperlink r:id="rId183">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a provider through the FSS program managed by the federal General Services Administration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FSS price), submitted in the ingredient cost field, plus the professional dispensing fee pursuant to paragraph </w:t>
      </w:r>
      <w:hyperlink r:id="rId184">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85">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86">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w:t>
      </w:r>
      <w:hyperlink r:id="rId187">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w:t>
      </w:r>
      <w:hyperlink r:id="rId188">
        <w:r>
          <w:rPr>
            <w:rStyle w:val="Hyperlink"/>
            <w:rFonts w:ascii="Times New Roman" w:hAnsi="Times New Roman"/>
            <w:b w:val="false"/>
            <w:i w:val="false"/>
            <w:color w:val="000000"/>
            <w:sz w:val="22"/>
          </w:rPr>
          <w:t>paragraph 79.1(8)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Nominal-price drugs. Notwithstanding paragraph </w:t>
      </w:r>
      <w:hyperlink r:id="rId189">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2"/>
        </w:rPr>
        <w:t>42 CFR 447.508</w:t>
      </w:r>
      <w:r>
        <w:rPr>
          <w:rFonts w:ascii="Times New Roman" w:hAnsi="Times New Roman"/>
          <w:b w:val="false"/>
          <w:i w:val="false"/>
          <w:color w:val="000000"/>
          <w:sz w:val="22"/>
        </w:rPr>
        <w:t xml:space="preserve">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nominal price paid), submitted in the ingredient cost field, plus the professional dispensing fee pursuant to paragraph </w:t>
      </w:r>
      <w:hyperlink r:id="rId190">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91">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92">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w:t>
      </w:r>
      <w:hyperlink r:id="rId193">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94">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95">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For all drugs provided to American Indians or Alaskan natives by Indian health facilities enrolled pursuant to rule </w:t>
      </w:r>
      <w:hyperlink r:id="rId196">
        <w:r>
          <w:rPr>
            <w:rStyle w:val="Hyperlink"/>
            <w:rFonts w:ascii="Times New Roman" w:hAnsi="Times New Roman"/>
            <w:b w:val="false"/>
            <w:i w:val="false"/>
            <w:color w:val="000000"/>
            <w:sz w:val="22"/>
          </w:rPr>
          <w:t>441—77.45</w:t>
        </w:r>
      </w:hyperlink>
      <w:r>
        <w:rPr>
          <w:rFonts w:ascii="Times New Roman" w:hAnsi="Times New Roman"/>
          <w:b w:val="false"/>
          <w:i w:val="false"/>
          <w:color w:val="000000"/>
          <w:sz w:val="22"/>
        </w:rPr>
        <w:t xml:space="preserve">(249A), reimbursement is one pharmacy encounter payment per date of service, notwithstanding paragraphs </w:t>
      </w:r>
      <w:hyperlink r:id="rId197">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98">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pharmacy encounter rate is the current “outpatient per visit rate (excluding Medicare)” approved by the U.S. Indian Health Service (IHS) for services provided by IHS facilities to Medicaid beneficiaries, as published in the Federal Register, and includes reimbursement for the dispensing fees, ingredient cost, and any necessary counseling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Physician-administered drugs. Notwithstanding paragraphs </w:t>
      </w:r>
      <w:hyperlink r:id="rId199">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200">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payment to physicians for physician-administered drugs billed with healthcare common procedure coding system (HCPCS) Level II “J” codes, as a physician service, shall be pursuant to the physician payment policy under subrule </w:t>
      </w:r>
      <w:hyperlink r:id="rId20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subrule, no payment shall be made for sales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Medicaid program relies on information published by Medi-Span to classify drugs as brand-name or generic.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w:t>
      </w:r>
      <w:r>
        <w:rPr>
          <w:rFonts w:ascii="Times New Roman" w:hAnsi="Times New Roman"/>
          <w:b w:val="false"/>
          <w:i w:val="false"/>
          <w:color w:val="000000"/>
          <w:sz w:val="22"/>
        </w:rPr>
        <w:t> </w:t>
      </w:r>
      <w:r>
        <w:rPr>
          <w:rFonts w:ascii="Times New Roman" w:hAnsi="Times New Roman"/>
          <w:b w:val="false"/>
          <w:i/>
          <w:color w:val="000000"/>
          <w:sz w:val="22"/>
        </w:rPr>
        <w:t xml:space="preserve">HCBS consumer choices financial management.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5/8/19</w:t>
      </w:r>
      <w:r>
        <w:rPr>
          <w:rFonts w:ascii="Times New Roman" w:hAnsi="Times New Roman"/>
          <w:b w:val="false"/>
          <w:i w:val="false"/>
          <w:color w:val="000000"/>
          <w:sz w:val="22"/>
        </w:rPr>
        <w:t>, effective 7/1/19.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79.1(10)</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reassignment of claims. </w:t>
      </w:r>
      <w:r>
        <w:rPr>
          <w:rFonts w:ascii="Times New Roman" w:hAnsi="Times New Roman"/>
          <w:b w:val="false"/>
          <w:i w:val="false"/>
          <w:color w:val="000000"/>
          <w:sz w:val="22"/>
        </w:rPr>
        <w:t>No payment under the medical assistance program for any care or service provided to a patient by any health care provider shall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which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which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shall preclude making payment to the estate of a deceased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factoring. </w:t>
      </w:r>
      <w:r>
        <w:rPr>
          <w:rFonts w:ascii="Times New Roman" w:hAnsi="Times New Roman"/>
          <w:b w:val="false"/>
          <w:i w:val="false"/>
          <w:color w:val="000000"/>
          <w:sz w:val="22"/>
        </w:rPr>
        <w:t xml:space="preserve">Payment under the medical assistance program for any care or service furnished to an individual by providers as specified in </w:t>
      </w:r>
      <w:hyperlink r:id="rId202">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xml:space="preserve"> shall not be made to or through a factor either directly or by virtue of power of attorney given by the provider to the factor. A factor is defined as an organization, collection agency, or service bureau which, or an individual who, advances money to a provider for accounts receivable which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which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for services, supplies, and equipment. </w:t>
      </w:r>
      <w:r>
        <w:rPr>
          <w:rFonts w:ascii="Times New Roman" w:hAnsi="Times New Roman"/>
          <w:b w:val="false"/>
          <w:i w:val="false"/>
          <w:color w:val="000000"/>
          <w:sz w:val="22"/>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shall be the lowest charges for which the devices are widely and consistently available in a locality. For those selected services and items furnished under Part B of Medicare and Medicaid, the upper limits shall be the lowest charge levels recognized under Medicare. For those selected services and items furnished only under Medicaid, the upper limits shall be the lowest charge levels determined by the department according to the Medicare reimbursement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noninstitutional item or service furnished under both Medicare and Medicaid, the department shall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noninstitutional items or services furnished only under Medicaid, the department shall pay no more than the customary charge for a provider or the prevailing charges in the locality for comparable items or services under comparable circumstances,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color w:val="000000"/>
          <w:sz w:val="22"/>
        </w:rPr>
        <w:t xml:space="preserve">Copayment by member. </w:t>
      </w:r>
      <w:r>
        <w:rPr>
          <w:rFonts w:ascii="Times New Roman" w:hAnsi="Times New Roman"/>
          <w:b w:val="false"/>
          <w:i w:val="false"/>
          <w:color w:val="000000"/>
          <w:sz w:val="22"/>
        </w:rPr>
        <w:t>A copayment in the amount specified shall be charged to members for the following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pay a copayment of $1 for each covered prescription or refill of any covered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copayment for total covered service rendered on a given date for podiatrists’ services, chiropractors’ services, and services of independently practicing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$2 copayment for total covered services rendered on a given date for medical equipment and appliances, prosthetic devices and medical supplies as defined in </w:t>
      </w:r>
      <w:hyperlink r:id="rId203">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orthopedic shoes, services of audiologists, services of hearing aid dealers except the hearing aid, services of optometrists, opticians, rehabilitation agencies, and psychologists, and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shall pay $3 copayment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covered service rendered on a given date for dental services and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covered services rendered in a physician office visit on a given date. For the purposes of this subparagraph, “physician” means either a doctor of allopathic medicine (M.D.) or a doctor of osteopathic medicine (D.O.), as defined under rule </w:t>
      </w:r>
      <w:hyperlink r:id="rId204">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persons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family planning services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for each federal Medicare Part B crossover claim submitted to the Medicaid program when the services provided have a Medicaid copayment as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services furnished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providers are prohibited from offering or providing copayment related discounts, rebates, or similar incentives for the purpose of soliciting the patronage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services rendered by a health maintenance organization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a $3 copayment for each visit to a hospital emergency room for treatment that does not meet the criteria for an emergency service as defined in paragraph </w:t>
      </w:r>
      <w:hyperlink r:id="rId205">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This $3 copayment shall not apply if the visit to the emergency room results in a hospital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ind w:left="120"/>
        <w:jc w:val="both"/>
      </w:pPr>
      <w:r>
        <w:rPr>
          <w:rFonts w:ascii="Times New Roman" w:hAnsi="Times New Roman"/>
          <w:b w:val="false"/>
          <w:i w:val="false"/>
          <w:color w:val="000000"/>
          <w:sz w:val="22"/>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inpatient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ind w:left="120"/>
        <w:jc w:val="both"/>
      </w:pPr>
      <w:r>
        <w:rPr>
          <w:rFonts w:ascii="Times New Roman" w:hAnsi="Times New Roman"/>
          <w:b w:val="false"/>
          <w:i w:val="false"/>
          <w:color w:val="000000"/>
          <w:sz w:val="22"/>
        </w:rPr>
        <w:t>For hospice recipients entering a nursing facility the adjustment will be effective the date of entry. For persons in nursing facilities prior to hospice election, the adjustment rate shall be effective the date of election.</w:t>
      </w:r>
    </w:p>
    <w:p>
      <w:pPr>
        <w:spacing w:before="0" w:after="0"/>
        <w:ind w:left="120"/>
        <w:jc w:val="both"/>
      </w:pPr>
      <w:r>
        <w:rPr>
          <w:rFonts w:ascii="Times New Roman" w:hAnsi="Times New Roman"/>
          <w:b w:val="false"/>
          <w:i w:val="false"/>
          <w:color w:val="000000"/>
          <w:sz w:val="22"/>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Limitation of payments for inpatient care. Payments to a hospice for inpatient care shall be limited according to the number of days of inpatient care furnished to Medicaid patients. During the 12-month period beginning November 1 of each year and ending October 31, the aggregate number of inpatient days (both for general inpatient care and inpatient respite care) shall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allowable number of inpatient days will be calculated by multiplying the total number of days of Medicaid hospice care by </w:t>
      </w:r>
      <w:hyperlink r:id="rId206">
        <w:r>
          <w:rPr>
            <w:rStyle w:val="Hyperlink"/>
            <w:rFonts w:ascii="Times New Roman" w:hAnsi="Times New Roman"/>
            <w:b w:val="false"/>
            <w:i w:val="false"/>
            <w:color w:val="000000"/>
            <w:sz w:val="22"/>
          </w:rPr>
          <w:t>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furnished to Medicaid hospice patients is less than or equal to the maximum, no adjustment will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exceeded the maximum allowable number, the limitation will be determined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Multiplying excess inpatient care days by the routine home care rate.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Adding together the amounts calculated in “1” and “2.”</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Comparing the amount in “3” with interim payments made to the hospice for inpatient care during the “cap period.”</w:t>
      </w:r>
    </w:p>
    <w:p>
      <w:pPr>
        <w:spacing w:before="0" w:after="0"/>
        <w:ind w:left="120"/>
        <w:jc w:val="both"/>
      </w:pPr>
      <w:r>
        <w:rPr>
          <w:rFonts w:ascii="Times New Roman" w:hAnsi="Times New Roman"/>
          <w:b w:val="false"/>
          <w:i w:val="false"/>
          <w:color w:val="000000"/>
          <w:sz w:val="22"/>
        </w:rPr>
        <w:t>Any excess reimbursement shall be refunded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Location of services. Claims must identify the geographic location where the service is provided (as distinct from the location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color w:val="000000"/>
          <w:sz w:val="22"/>
        </w:rPr>
        <w:t xml:space="preserve">HCBS retrospectively limited prospective rates. </w:t>
      </w:r>
      <w:r>
        <w:rPr>
          <w:rFonts w:ascii="Times New Roman" w:hAnsi="Times New Roman"/>
          <w:b w:val="false"/>
          <w:i w:val="false"/>
          <w:color w:val="000000"/>
          <w:sz w:val="22"/>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submit the complete Form 470-5477. The provider shall email the report and required supplemental information to </w:t>
      </w:r>
      <w:hyperlink r:id="rId207">
        <w:r>
          <w:rPr>
            <w:rStyle w:val="Hyperlink"/>
            <w:rFonts w:ascii="Times New Roman" w:hAnsi="Times New Roman"/>
            <w:b w:val="false"/>
            <w:i w:val="false"/>
            <w:color w:val="000000"/>
            <w:sz w:val="22"/>
            <w:u w:val="single"/>
          </w:rPr>
          <w:t>costaudit@dhs.state.ia.us</w:t>
        </w:r>
      </w:hyperlink>
      <w:r>
        <w:rPr>
          <w:rFonts w:ascii="Times New Roman" w:hAnsi="Times New Roman"/>
          <w:b w:val="false"/>
          <w:i w:val="false"/>
          <w:color w:val="000000"/>
          <w:sz w:val="22"/>
        </w:rPr>
        <w:t>. The provider shall mail one signed copy of the certification page to the Iowa Medicaid Provider Cost Audit and Rate Setting Unit, P.O. Box 36450, Des Moines, Iowa 50315,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Regardless of the period for the provider’s fiscal year, the provider shall submit a financial and statistical report for the period of July 1, 2021, through June 30, 2022. For provider fiscal periods beginning on or after July 1, 2022, the provider shall submit a financial and statistical report coinciding with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financial and statistical report on or before the last day of the third month following the end of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the Iowa Medicaid provider cost audit and rate setting unit by the financial and statistical report due date. No other extensions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20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failing to submit a financial and statistical report that meets the requirements of this paragraph within the time frames set forth in subparagraph </w:t>
      </w:r>
      <w:hyperlink r:id="rId209">
        <w:r>
          <w:rPr>
            <w:rStyle w:val="Hyperlink"/>
            <w:rFonts w:ascii="Times New Roman" w:hAnsi="Times New Roman"/>
            <w:b w:val="false"/>
            <w:i w:val="false"/>
            <w:color w:val="000000"/>
            <w:sz w:val="22"/>
          </w:rPr>
          <w:t>79.1(1)</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hyperlink r:id="rId210">
        <w:r>
          <w:rPr>
            <w:rStyle w:val="Hyperlink"/>
            <w:rFonts w:ascii="Times New Roman" w:hAnsi="Times New Roman"/>
            <w:b w:val="false"/>
            <w:i w:val="false"/>
            <w:color w:val="000000"/>
            <w:sz w:val="22"/>
          </w:rPr>
          <w:t>79.1(1)</w:t>
        </w:r>
      </w:hyperlink>
      <w:r>
        <w:rPr>
          <w:rFonts w:ascii="Times New Roman" w:hAnsi="Times New Roman"/>
          <w:b w:val="false"/>
          <w:i/>
          <w:color w:val="000000"/>
          <w:sz w:val="22"/>
        </w:rPr>
        <w:t>“a”</w:t>
      </w:r>
      <w:r>
        <w:rPr>
          <w:rFonts w:ascii="Times New Roman" w:hAnsi="Times New Roman"/>
          <w:b w:val="false"/>
          <w:i w:val="false"/>
          <w:color w:val="000000"/>
          <w:sz w:val="22"/>
        </w:rPr>
        <w:t>(4), as applicable, shall reduce payment to 76 percent of the current rate. The reduced rate shall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Providers of multiple programs or services shall submit a cost allocation schedule. The schedule must identify an allocation method for each expense account, including the statistics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subject to the exceptions and limitations in the department’s administrative rules and financial and statistical report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general rate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reimbursement for services, a certified provider shall enter into an agreement with the department on Form 470-2918 and have an approved service plan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rates a provider may charge are subject to limits established in subrule </w:t>
      </w:r>
      <w:hyperlink r:id="rId21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 percent identified cost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identified costs are not subject to the 20 percent limitation; however, the following costs are used to calculate the limitation: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Wages, benefits, and payroll taxes.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transportation expense—with and without member present.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development, training, and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assistance.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equipment repair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waiver service, the sum of reported costs not identified in numbered paragraph </w:t>
      </w:r>
      <w:hyperlink r:id="rId2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 xml:space="preserve">(3)“1” is limited to 20 percent of the identified costs in numbered paragraph </w:t>
      </w:r>
      <w:hyperlink r:id="rId213">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reimbursement for business use of personal employee vehicles shall be limited to the federal Internal Revenue Service’s (IRS’s) published mileage rate in effect during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1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shall include but are not limited to costs of leave, employee insurance, pensions and unemployment plans. If the facility’s fiscal year end does not correlate to the period of the W-2, a reconciliation between the latest issued W-2 and current compensation shall be required to be disclosed to Iowa Medicaid or its designee. Employer portions of payroll taxes associated with amounts of compensation that exceed the maximum allowed compensation shall be considered unallowable for reimbursement. Providers shall report all compensation paid to related parties, including payroll taxes, on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providers,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the executive director, corporate executive officer, or equivalent position, who is an owner or immediate relative, is equal to the intermediate care facility for persons with an intellectual disability maximum compensation for facilities with 60 beds or more pursuant to </w:t>
      </w:r>
      <w:hyperlink r:id="rId215">
        <w:r>
          <w:rPr>
            <w:rStyle w:val="Hyperlink"/>
            <w:rFonts w:ascii="Times New Roman" w:hAnsi="Times New Roman"/>
            <w:b w:val="false"/>
            <w:i w:val="false"/>
            <w:color w:val="000000"/>
            <w:sz w:val="22"/>
          </w:rPr>
          <w:t>441—subparagraph 82.5(11)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any other owner or immediate relative is 60 percent of the amount allowed in numbered paragraph </w:t>
      </w:r>
      <w:hyperlink r:id="rId216">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“Related” means that the agency,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exception is provided to the general rule applicable to related organizations. The exception applies if the provider demonstrates by convincing evidence that the criteria in numbered paragraph </w:t>
      </w:r>
      <w:hyperlink r:id="rId21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(5)“10”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agency must demonstrate the following with convincing evidence. Where all of the conditions below are met, the charges by the supplier to the provider for such services, facilities, or supplies are allowable as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supplying organization is a bona fide separate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new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providers” means providers who have not submitted an annual report including at least six months of actual, historical costs of operations for any service as listed in subrule </w:t>
      </w:r>
      <w:hyperlink r:id="rId218">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providers shall be paid prospective rates based on projected reasonable and proper costs of operation for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costs of any new service, as listed in subrule </w:t>
      </w:r>
      <w:hyperlink r:id="rId219">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 shall be submitted on Form 470-5477.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shall be subject to retrospective adjustment as provided in paragraph </w:t>
      </w:r>
      <w:hyperlink r:id="rId22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provider has submitted an annual report including at least six months of actual, historical costs, prospective rates shall be determined as provided in paragraph </w:t>
      </w:r>
      <w:hyperlink r:id="rId22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established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“Established providers” means providers who have submitted an annual report including six months of actual, historical costs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 will be adjusted annually, effective the first day of the third month after the month during which the annual financial and statistical report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prospective rate shall be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first year of reporting six months of actual, historical costs of operation, or a year in which the provider’s base rate is recalculated, the base rate is equal to the amount calculated in numbered paragraph </w:t>
      </w:r>
      <w:hyperlink r:id="rId22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upper rate limit pursuant to subrule </w:t>
      </w:r>
      <w:hyperlink r:id="rId22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Recalculation of base rates (rebasing).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recalculation of base rates in numbered paragraph </w:t>
      </w:r>
      <w:hyperlink r:id="rId22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(4)“2,” a provider’s base rate shall be recalculated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shall be subject to retrospective adjustment as provided in paragraph </w:t>
      </w:r>
      <w:hyperlink r:id="rId225">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respite.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5/1/13</w:t>
      </w:r>
      <w:r>
        <w:rPr>
          <w:rFonts w:ascii="Times New Roman" w:hAnsi="Times New Roman"/>
          <w:b w:val="false"/>
          <w:i w:val="false"/>
          <w:color w:val="000000"/>
          <w:sz w:val="22"/>
        </w:rPr>
        <w:t>, effective 7/1/13.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 for service, retrospective adjustments shall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Form 470-5477, subject to the upper rate limit allowed in subrule </w:t>
      </w:r>
      <w:hyperlink r:id="rId226">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on or after July 1, 2016, revenues exceeding adjusted actual costs by more than 5.5 percent for fee for service shall be remitted to the department. Payment will be due upon notice of the new rates and retrospective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does not remit the amount of the overpayment identified in subparagraph </w:t>
      </w:r>
      <w:hyperlink r:id="rId22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(2) within 30 days after notice, the department will deduct the amount owed from future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79.1(16)</w:t>
      </w:r>
      <w:r>
        <w:rPr>
          <w:rFonts w:ascii="Times New Roman" w:hAnsi="Times New Roman"/>
          <w:b w:val="false"/>
          <w:i w:val="false"/>
          <w:color w:val="000000"/>
          <w:sz w:val="22"/>
        </w:rPr>
        <w:t> </w:t>
      </w:r>
      <w:r>
        <w:rPr>
          <w:rFonts w:ascii="Times New Roman" w:hAnsi="Times New Roman"/>
          <w:b w:val="false"/>
          <w:i/>
          <w:color w:val="000000"/>
          <w:sz w:val="22"/>
        </w:rPr>
        <w:t xml:space="preserve">Outpatient 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costs” </w:t>
      </w:r>
      <w:r>
        <w:rPr>
          <w:rFonts w:ascii="Times New Roman" w:hAnsi="Times New Roman"/>
          <w:b w:val="false"/>
          <w:i w:val="false"/>
          <w:color w:val="000000"/>
          <w:sz w:val="22"/>
        </w:rPr>
        <w:t xml:space="preserve">means the costs defined as allowable in </w:t>
      </w:r>
      <w:r>
        <w:rPr>
          <w:rFonts w:ascii="Times New Roman" w:hAnsi="Times New Roman"/>
          <w:b w:val="false"/>
          <w:i w:val="false"/>
          <w:color w:val="000000"/>
          <w:sz w:val="22"/>
        </w:rPr>
        <w:t>42 CFR, Chapter IV, Part 413</w:t>
      </w:r>
      <w:r>
        <w:rPr>
          <w:rFonts w:ascii="Times New Roman" w:hAnsi="Times New Roman"/>
          <w:b w:val="false"/>
          <w:i w:val="false"/>
          <w:color w:val="000000"/>
          <w:sz w:val="22"/>
        </w:rPr>
        <w:t>, as amended to October 1, 2007,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payment classification”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“APC” </w:t>
      </w:r>
      <w:r>
        <w:rPr>
          <w:rFonts w:ascii="Times New Roman" w:hAnsi="Times New Roman"/>
          <w:b w:val="false"/>
          <w:i w:val="false"/>
          <w:color w:val="000000"/>
          <w:sz w:val="22"/>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payment classification relative weight”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“APC relative weight” </w:t>
      </w:r>
      <w:r>
        <w:rPr>
          <w:rFonts w:ascii="Times New Roman" w:hAnsi="Times New Roman"/>
          <w:b w:val="false"/>
          <w:i w:val="false"/>
          <w:color w:val="000000"/>
          <w:sz w:val="22"/>
        </w:rPr>
        <w:t xml:space="preserve">means the relative value assigned to each APC.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“Ancillary service” </w:t>
      </w:r>
      <w:r>
        <w:rPr>
          <w:rFonts w:ascii="Times New Roman" w:hAnsi="Times New Roman"/>
          <w:b w:val="false"/>
          <w:i w:val="false"/>
          <w:color w:val="000000"/>
          <w:sz w:val="22"/>
        </w:rPr>
        <w:t>means a supplemental service that supports the diagnosis or treatment of the patient’s condition. Examples include diagnostic testing or screening services and rehabilitative services such as physical or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“APC service” </w:t>
      </w:r>
      <w:r>
        <w:rPr>
          <w:rFonts w:ascii="Times New Roman" w:hAnsi="Times New Roman"/>
          <w:b w:val="false"/>
          <w:i w:val="false"/>
          <w:color w:val="000000"/>
          <w:sz w:val="22"/>
        </w:rPr>
        <w:t>means a service that is priced and paid using the APC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cost report,” </w:t>
      </w:r>
      <w:r>
        <w:rPr>
          <w:rFonts w:ascii="Times New Roman" w:hAnsi="Times New Roman"/>
          <w:b w:val="false"/>
          <w:i w:val="false"/>
          <w:color w:val="000000"/>
          <w:sz w:val="22"/>
        </w:rPr>
        <w:t>for rates effective January 1, 2009, means the hospital’s cost report with fiscal year end on or after January 1, 2007, and before January 1, 2008. Cost reports shall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“Blended base APC rate” </w:t>
      </w:r>
      <w:r>
        <w:rPr>
          <w:rFonts w:ascii="Times New Roman" w:hAnsi="Times New Roman"/>
          <w:b w:val="false"/>
          <w:i w:val="false"/>
          <w:color w:val="000000"/>
          <w:sz w:val="22"/>
        </w:rPr>
        <w:t>shall mean the hospital-specific base APC rate, plus the statewide base APC rate, divided by two. The costs of hospitals receiving reimbursement as critical access hospitals during any of the period included in the base-year cost report shall not be used in determining the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“Case-mix index” </w:t>
      </w:r>
      <w:r>
        <w:rPr>
          <w:rFonts w:ascii="Times New Roman" w:hAnsi="Times New Roman"/>
          <w:b w:val="false"/>
          <w:i w:val="false"/>
          <w:color w:val="000000"/>
          <w:sz w:val="22"/>
        </w:rPr>
        <w:t>shall mean an arithmetical index measuring the relative average costliness of outpatient cases treated in a hospital, compared to the statewide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outlier” </w:t>
      </w:r>
      <w:r>
        <w:rPr>
          <w:rFonts w:ascii="Times New Roman" w:hAnsi="Times New Roman"/>
          <w:b w:val="false"/>
          <w:i w:val="false"/>
          <w:color w:val="000000"/>
          <w:sz w:val="22"/>
        </w:rPr>
        <w:t xml:space="preserve">shall mean services provided during a single visit that have an extraordinarily high cost as established in paragraph </w:t>
      </w:r>
      <w:r>
        <w:rPr>
          <w:rFonts w:ascii="Times New Roman" w:hAnsi="Times New Roman"/>
          <w:b w:val="false"/>
          <w:i/>
          <w:color w:val="000000"/>
          <w:sz w:val="22"/>
        </w:rPr>
        <w:t>“g”</w:t>
      </w:r>
      <w:r>
        <w:rPr>
          <w:rFonts w:ascii="Times New Roman" w:hAnsi="Times New Roman"/>
          <w:b w:val="false"/>
          <w:i w:val="false"/>
          <w:color w:val="000000"/>
          <w:sz w:val="22"/>
        </w:rPr>
        <w:t xml:space="preserve"> and are therefore eligible for additional payments above and beyond the base APC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procedural terminology—fourth edition (CPT-4)” </w:t>
      </w:r>
      <w:r>
        <w:rPr>
          <w:rFonts w:ascii="Times New Roman" w:hAnsi="Times New Roman"/>
          <w:b w:val="false"/>
          <w:i w:val="false"/>
          <w:color w:val="000000"/>
          <w:sz w:val="22"/>
        </w:rPr>
        <w:t>is the systematic listing and coding of procedures and services provided by physicians or other related health care providers. The CPT-4 coding is maintained by the American Medical Association and is updated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service” </w:t>
      </w:r>
      <w:r>
        <w:rPr>
          <w:rFonts w:ascii="Times New Roman" w:hAnsi="Times New Roman"/>
          <w:b w:val="false"/>
          <w:i w:val="false"/>
          <w:color w:val="000000"/>
          <w:sz w:val="22"/>
        </w:rPr>
        <w:t>means an examination or procedure performed to obtain information regarding the medical condition of an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medical education costs” </w:t>
      </w:r>
      <w:r>
        <w:rPr>
          <w:rFonts w:ascii="Times New Roman" w:hAnsi="Times New Roman"/>
          <w:b w:val="false"/>
          <w:i w:val="false"/>
          <w:color w:val="000000"/>
          <w:sz w:val="22"/>
        </w:rPr>
        <w:t>shall mean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base-year cost reports and is inflated in determining the direct medical education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medical education rate” </w:t>
      </w:r>
      <w:r>
        <w:rPr>
          <w:rFonts w:ascii="Times New Roman" w:hAnsi="Times New Roman"/>
          <w:b w:val="false"/>
          <w:i w:val="false"/>
          <w:color w:val="000000"/>
          <w:sz w:val="22"/>
        </w:rPr>
        <w:t>shall mean a rate calculated for a hospital reporting medical education costs on the Medicare cost report (CMS 2552). The rate is calculated using the following formula: Direct medical education costs are multiplied by the percentage of valid claims to total claims, further multiplied by inflation factors, then divided by outpatient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“Discount factor” </w:t>
      </w:r>
      <w:r>
        <w:rPr>
          <w:rFonts w:ascii="Times New Roman" w:hAnsi="Times New Roman"/>
          <w:b w:val="false"/>
          <w:i w:val="false"/>
          <w:color w:val="000000"/>
          <w:sz w:val="22"/>
        </w:rPr>
        <w:t>means the percentage discount applied to additional APCs when more than one APC is provided during the same visit (including the same APC provided more than once). Not all APCs are subject to a discount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“GME/DSH fund apportionment claim set” </w:t>
      </w:r>
      <w:r>
        <w:rPr>
          <w:rFonts w:ascii="Times New Roman" w:hAnsi="Times New Roman"/>
          <w:b w:val="false"/>
          <w:i w:val="false"/>
          <w:color w:val="000000"/>
          <w:sz w:val="22"/>
        </w:rPr>
        <w:t>means the hospital’s applicable Medicaid claims paid from July 1, 2008, through June 30, 2009. The claim set is updated every three years in July.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“GME/DSH fund implementation year” </w:t>
      </w:r>
      <w:r>
        <w:rPr>
          <w:rFonts w:ascii="Times New Roman" w:hAnsi="Times New Roman"/>
          <w:b w:val="false"/>
          <w:i w:val="false"/>
          <w:color w:val="000000"/>
          <w:sz w:val="22"/>
        </w:rPr>
        <w:t>means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“GME/DSH fund” </w:t>
      </w:r>
      <w:r>
        <w:rPr>
          <w:rFonts w:ascii="Times New Roman" w:hAnsi="Times New Roman"/>
          <w:b w:val="false"/>
          <w:i w:val="false"/>
          <w:color w:val="000000"/>
          <w:sz w:val="22"/>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“Healthcare common procedures coding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“HCPCS” </w:t>
      </w:r>
      <w:r>
        <w:rPr>
          <w:rFonts w:ascii="Times New Roman" w:hAnsi="Times New Roman"/>
          <w:b w:val="false"/>
          <w:i w:val="false"/>
          <w:color w:val="000000"/>
          <w:sz w:val="22"/>
        </w:rPr>
        <w:t>means the national uniform coding method that is maintained by the Centers for Medicare and Medicaid Services (CMS) and that incorporates the American Medical Association publication Physicians Current Procedural Terminology (CPT) and the three HCPCS unique coding levels I, II,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“Hospital-based clinic” </w:t>
      </w:r>
      <w:r>
        <w:rPr>
          <w:rFonts w:ascii="Times New Roman" w:hAnsi="Times New Roman"/>
          <w:b w:val="false"/>
          <w:i w:val="false"/>
          <w:color w:val="000000"/>
          <w:sz w:val="22"/>
        </w:rPr>
        <w:t>means a clinic that is owned by the hospital, operated by the hospital under its hospital license, and on the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claim set” </w:t>
      </w:r>
      <w:r>
        <w:rPr>
          <w:rFonts w:ascii="Times New Roman" w:hAnsi="Times New Roman"/>
          <w:b w:val="false"/>
          <w:i w:val="false"/>
          <w:color w:val="000000"/>
          <w:sz w:val="22"/>
        </w:rPr>
        <w:t>means the hospital’s applicable Medicaid claims for the period of January 1, 2006, through December 31, 2007, and paid through March 31,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“Modifier” </w:t>
      </w:r>
      <w:r>
        <w:rPr>
          <w:rFonts w:ascii="Times New Roman" w:hAnsi="Times New Roman"/>
          <w:b w:val="false"/>
          <w:i w:val="false"/>
          <w:color w:val="000000"/>
          <w:sz w:val="22"/>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significant procedure discounting” </w:t>
      </w:r>
      <w:r>
        <w:rPr>
          <w:rFonts w:ascii="Times New Roman" w:hAnsi="Times New Roman"/>
          <w:b w:val="false"/>
          <w:i w:val="false"/>
          <w:color w:val="000000"/>
          <w:sz w:val="22"/>
        </w:rPr>
        <w:t>means a reduction of the standard payment amount for an APC to recognize that the marginal cost of providing a second APC service to a patient during a single visit is less than the cost of providing that service by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“Observation services” </w:t>
      </w:r>
      <w:r>
        <w:rPr>
          <w:rFonts w:ascii="Times New Roman" w:hAnsi="Times New Roman"/>
          <w:b w:val="false"/>
          <w:i w:val="false"/>
          <w:color w:val="000000"/>
          <w:sz w:val="22"/>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hospital services” </w:t>
      </w:r>
      <w:r>
        <w:rPr>
          <w:rFonts w:ascii="Times New Roman" w:hAnsi="Times New Roman"/>
          <w:b w:val="false"/>
          <w:i w:val="false"/>
          <w:color w:val="000000"/>
          <w:sz w:val="22"/>
        </w:rPr>
        <w:t>means preventive, diagnostic, therapeutic, observation, rehabilitation, or palliative services provided to an outpatient by or under the direction of a physician, dentist, or other practitioner by an institution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licensed or formally approved as a hospital by the officially designated authority in the state where the institution is located;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requirements for participation in Medicare as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prospective payment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“OPPS” </w:t>
      </w:r>
      <w:r>
        <w:rPr>
          <w:rFonts w:ascii="Times New Roman" w:hAnsi="Times New Roman"/>
          <w:b w:val="false"/>
          <w:i w:val="false"/>
          <w:color w:val="000000"/>
          <w:sz w:val="22"/>
        </w:rPr>
        <w:t>means the payment methodology for hospital outpatient services established by this subrule and based on Medicare’s outpatient prospective payment system mandated by the Balanced Budget Refinement Act of 1999 and the Medicare, Medicaid and SCHIP Benefits Improvement and Protection Act of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visit” </w:t>
      </w:r>
      <w:r>
        <w:rPr>
          <w:rFonts w:ascii="Times New Roman" w:hAnsi="Times New Roman"/>
          <w:b w:val="false"/>
          <w:i w:val="false"/>
          <w:color w:val="000000"/>
          <w:sz w:val="22"/>
        </w:rPr>
        <w:t>shall mean those hospital-based outpatient services which are billed on a single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“Packaged service” </w:t>
      </w:r>
      <w:r>
        <w:rPr>
          <w:rFonts w:ascii="Times New Roman" w:hAnsi="Times New Roman"/>
          <w:b w:val="false"/>
          <w:i w:val="false"/>
          <w:color w:val="000000"/>
          <w:sz w:val="22"/>
        </w:rPr>
        <w:t>means a service that is secondary to other services but is considered an integral part of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“Pass-through” </w:t>
      </w:r>
      <w:r>
        <w:rPr>
          <w:rFonts w:ascii="Times New Roman" w:hAnsi="Times New Roman"/>
          <w:b w:val="false"/>
          <w:i w:val="false"/>
          <w:color w:val="000000"/>
          <w:sz w:val="22"/>
        </w:rPr>
        <w:t>means certain drugs, devices, and biologicals for which providers are entitled to payment separate from any APC.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“Quality improvement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“QIO” </w:t>
      </w:r>
      <w:r>
        <w:rPr>
          <w:rFonts w:ascii="Times New Roman" w:hAnsi="Times New Roman"/>
          <w:b w:val="false"/>
          <w:i w:val="false"/>
          <w:color w:val="000000"/>
          <w:sz w:val="22"/>
        </w:rPr>
        <w:t>shall mean the organization that performs medical peer review of Medicaid claims, including review of validity of hospital diagnosis and procedure coding information; completeness, adequacy and quality of care; and appropriateness of prospective payments for outlier cases and nonemergent use of the emergency room. These activities undertaken by the QIO may be included in a contractual relationship with the Iowa Medicaid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“Rebasing” </w:t>
      </w:r>
      <w:r>
        <w:rPr>
          <w:rFonts w:ascii="Times New Roman" w:hAnsi="Times New Roman"/>
          <w:b w:val="false"/>
          <w:i w:val="false"/>
          <w:color w:val="000000"/>
          <w:sz w:val="22"/>
        </w:rPr>
        <w:t>shall mean the redetermination of the blended base APC rate using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procedure” </w:t>
      </w:r>
      <w:r>
        <w:rPr>
          <w:rFonts w:ascii="Times New Roman" w:hAnsi="Times New Roman"/>
          <w:b w:val="false"/>
          <w:i w:val="false"/>
          <w:color w:val="000000"/>
          <w:sz w:val="22"/>
        </w:rPr>
        <w:t>shall mean the procedure, therapy, or service provided to a patient that constitutes the primary reason for the visit and dominates the time and resources expended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“Status indicator”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 </w:t>
      </w:r>
      <w:r>
        <w:rPr>
          <w:rFonts w:ascii="Times New Roman" w:hAnsi="Times New Roman"/>
          <w:b w:val="false"/>
          <w:i w:val="false"/>
          <w:color w:val="000000"/>
          <w:sz w:val="22"/>
        </w:rPr>
        <w:t>means a payment indicator that identifies whether a service represented by a CPT or HCPCS code is payable under the OPPS APC or another payment system. Only one status indicator is assigned to each CPT or HCPCS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Outpatient hospital services. </w:t>
      </w:r>
      <w:r>
        <w:rPr>
          <w:rFonts w:ascii="Times New Roman" w:hAnsi="Times New Roman"/>
          <w:b w:val="false"/>
          <w:i w:val="false"/>
          <w:color w:val="000000"/>
          <w:sz w:val="22"/>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2"/>
        </w:rPr>
        <w:t>42 CFR 419.20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419.22</w:t>
      </w:r>
      <w:r>
        <w:rPr>
          <w:rFonts w:ascii="Times New Roman" w:hAnsi="Times New Roman"/>
          <w:b w:val="false"/>
          <w:i w:val="false"/>
          <w:color w:val="000000"/>
          <w:sz w:val="22"/>
        </w:rPr>
        <w:t xml:space="preserve"> as amended to October 1, 2007, except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teaching hospital that has approval from the Centers for Medicare and Medicaid Services to receive reasonable cost reimbursement for physician services under </w:t>
      </w:r>
      <w:r>
        <w:rPr>
          <w:rFonts w:ascii="Times New Roman" w:hAnsi="Times New Roman"/>
          <w:b w:val="false"/>
          <w:i w:val="false"/>
          <w:color w:val="000000"/>
          <w:sz w:val="22"/>
        </w:rPr>
        <w:t>42 CFR 415.160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415.162</w:t>
      </w:r>
      <w:r>
        <w:rPr>
          <w:rFonts w:ascii="Times New Roman" w:hAnsi="Times New Roman"/>
          <w:b w:val="false"/>
          <w:i w:val="false"/>
          <w:color w:val="000000"/>
          <w:sz w:val="22"/>
        </w:rPr>
        <w:t xml:space="preserve"> as amended to October 1, 2007, is eligible for combined billing status if the hospital has filed the approval notice with the Iowa Medicaid enterprise provider cost audit and rate setting unit.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shall be made after receipt of the hospital’s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hospital-based ambulance service must be an enrolled Medicaid ambulance provider and must bill separately for ambulance services. </w:t>
      </w:r>
      <w:r>
        <w:rPr>
          <w:rFonts w:ascii="Times New Roman" w:hAnsi="Times New Roman"/>
          <w:b w:val="false"/>
          <w:i w:val="false"/>
          <w:color w:val="000000"/>
          <w:sz w:val="22"/>
        </w:rPr>
        <w:t>EXCEPTION</w:t>
      </w:r>
      <w:r>
        <w:rPr>
          <w:rFonts w:ascii="Times New Roman" w:hAnsi="Times New Roman"/>
          <w:b w:val="false"/>
          <w:i w:val="false"/>
          <w:color w:val="000000"/>
          <w:sz w:val="22"/>
        </w:rPr>
        <w:t>: If the member’s condition results in an inpatient admission to the hospital, the reimbursement for ambulance services is included in the hospital’s DRG reimbursement rate for the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outpatient hospital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shall be reimbursed according to the first of the following methodologies that applies to the service: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specific rate or methodology established by rule for the particular service.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OPPS APC rates established pursuant to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Fee schedule rates established pursuant to paragraph </w:t>
      </w:r>
      <w:hyperlink r:id="rId228">
        <w:r>
          <w:rPr>
            <w:rStyle w:val="Hyperlink"/>
            <w:rFonts w:ascii="Times New Roman" w:hAnsi="Times New Roman"/>
            <w:b w:val="false"/>
            <w:i w:val="false"/>
            <w:color w:val="000000"/>
            <w:sz w:val="22"/>
          </w:rPr>
          <w:t>79.1(1)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29">
        <w:r>
          <w:rPr>
            <w:rStyle w:val="Hyperlink"/>
            <w:rFonts w:ascii="Times New Roman" w:hAnsi="Times New Roman"/>
            <w:b w:val="false"/>
            <w:i w:val="false"/>
            <w:color w:val="000000"/>
            <w:sz w:val="22"/>
          </w:rPr>
          <w:t>79.1(16)</w:t>
        </w:r>
        <w:r>
          <w:rPr>
            <w:rFonts w:ascii="Times New Roman" w:hAnsi="Times New Roman"/>
            <w:b w:val="false"/>
            <w:i/>
            <w:color w:val="000000"/>
            <w:sz w:val="22"/>
          </w:rPr>
          <w:t>“h,”</w:t>
        </w:r>
      </w:hyperlink>
      <w:r>
        <w:rPr>
          <w:rFonts w:ascii="Times New Roman" w:hAnsi="Times New Roman"/>
          <w:b w:val="false"/>
          <w:i w:val="false"/>
          <w:color w:val="000000"/>
          <w:sz w:val="22"/>
        </w:rPr>
        <w:t xml:space="preserve"> outpatient hospital services that have been assigned to an APC with an assigned weight shall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shall be updated pursuant to paragraph </w:t>
      </w:r>
      <w:hyperlink r:id="rId230">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APC payment is calculated as follows: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APC relative weight is multiplied by the blended base APC rate determined according to paragraph </w:t>
      </w:r>
      <w:hyperlink r:id="rId231">
        <w:r>
          <w:rPr>
            <w:rStyle w:val="Hyperlink"/>
            <w:rFonts w:ascii="Times New Roman" w:hAnsi="Times New Roman"/>
            <w:b w:val="false"/>
            <w:i w:val="false"/>
            <w:color w:val="000000"/>
            <w:sz w:val="22"/>
          </w:rPr>
          <w:t>79.1(16)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resulting APC payment is multiplied by a discount factor of 50 percent and by units of service when applicable.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procedure started but discontinued before completion, the department will pay 50 percent of the APC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OPPS Payment Status</w:t>
            </w:r>
          </w:p>
        </w:tc>
      </w:tr>
      <w:tr>
        <w:trPr>
          <w:trHeight w:val="23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Services furnished to a hospital outpatient that are paid by Medicare under a fee schedule or payment system other than OPPS, such as: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Ambulance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Clinical diagnostic laboratory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Diagnostic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Screening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Nonimplantable prosthetic and orthotic devices.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Physical, occupational, and speech therapy.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Erythropoietin for end-stage renal dialysis (ESRD) patients.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Routine dialysis services provided for ESRD patients in a certified dialysis unit of a hospital.</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services covered by Iowa Medicaid as an outpatient hospital service, the service is not paid under OPPS APC, but is paid based on the Iowa Medicaid fee schedule for outpatient hospital services established pursuant to </w:t>
            </w:r>
            <w:hyperlink r:id="rId232">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Not 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May be paid when submitted on a different bill type other than outpatient hospital (13x).</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An alternate code that is payable when submitted on an outpatient hospital bill type (13x) may be available.</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as an outpatient hospital service, the service is not paid under OPPS APC, but is paid based on the Iowa Medicaid fee schedule for outpatient hospital services established pursuant to </w:t>
            </w:r>
            <w:hyperlink r:id="rId233">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as an outpatient hospital service, the service is not paid under OPPS APC. Admit the patient and bill as inpatient care.</w:t>
            </w:r>
          </w:p>
        </w:tc>
      </w:tr>
      <w:tr>
        <w:trPr>
          <w:trHeight w:val="4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paid under OPPS APC or any other Medicaid payment system.</w:t>
            </w:r>
          </w:p>
        </w:tc>
      </w:tr>
      <w:tr>
        <w:trPr>
          <w:trHeight w:val="21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Items, codes, and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based on statutory exclusion and may or may not be covered by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for reasons other than statutory exclusion and may or may not be covered by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recognized by Medicare but for which an alternate code for the same item or service may be available under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34">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Certified registered nurse anesthetist services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Corneal tissue acquisition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35">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163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is not paid under OPPS APC, but is paid based on the Iowa Medicaid fee schedule for outpatient hospital services established pursuant to </w:t>
            </w:r>
            <w:hyperlink r:id="rId236">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device is not paid under OPPS APC, but is paid based on the Iowa Medicaid fee schedule for outpatient hospital services established pursuant to </w:t>
            </w:r>
            <w:hyperlink r:id="rId237">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Non-pass-through drugs and biologicals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Paid under OPPS APC with a separate APC payment when both an APC and an APC weight are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Paid based on the Iowa Medicaid fee schedule for outpatient hospital services established pursuant to </w:t>
            </w:r>
            <w:hyperlink r:id="rId238">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when either no APC or APC weight is established.</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Influenza vaccine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vaccine is not paid under OPPS APC, but is paid based on the Iowa Medicaid fee schedule for outpatient hospital services established pursuant to </w:t>
            </w:r>
            <w:hyperlink r:id="rId239">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vaccine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40">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5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Paid under OPPS APC. Payment, including outliers, is included with payment for other services; therefore, no separate payment is made.</w:t>
            </w:r>
          </w:p>
        </w:tc>
      </w:tr>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 covered service under Iowa Medicaid.</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STVX-packaged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“S,” “T,” “V,” or “X.”</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“T.”</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code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code is not paid under OPPS APC or any other Medicaid payment system.</w:t>
            </w:r>
          </w:p>
        </w:tc>
      </w:tr>
      <w:tr>
        <w:trPr>
          <w:trHeight w:val="13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2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 subject to multiple reduction.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service is paid under OPPS APC with separate APC payment, subject to limits on nonemergency services provided in an emergency room pursuant to </w:t>
            </w:r>
            <w:hyperlink r:id="rId241">
              <w:r>
                <w:rPr>
                  <w:rStyle w:val="Hyperlink"/>
                  <w:rFonts w:ascii="Times New Roman" w:hAnsi="Times New Roman"/>
                  <w:b w:val="false"/>
                  <w:i w:val="false"/>
                  <w:color w:val="000000"/>
                  <w:sz w:val="16"/>
                </w:rPr>
                <w:t>79.1(16)</w:t>
              </w:r>
              <w:r>
                <w:rPr>
                  <w:rFonts w:ascii="Times New Roman" w:hAnsi="Times New Roman"/>
                  <w:b w:val="false"/>
                  <w:i/>
                  <w:color w:val="000000"/>
                  <w:sz w:val="16"/>
                </w:rPr>
                <w:t>“r.”</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Ancillary services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service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items covered by Iowa Medicaid as an outpatient hospital service, the item is not paid under OPPS APC, but is paid based on the Iowa Medicaid fee schedule for outpatient hospital services established pursuant to </w:t>
            </w:r>
            <w:hyperlink r:id="rId242">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case-mix indices. </w:t>
      </w:r>
      <w:r>
        <w:rPr>
          <w:rFonts w:ascii="Times New Roman" w:hAnsi="Times New Roman"/>
          <w:b w:val="false"/>
          <w:i w:val="false"/>
          <w:color w:val="000000"/>
          <w:sz w:val="22"/>
        </w:rPr>
        <w:t>Hospital-specific and statewide case-mix indices shall be calculated using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Hospital-specific case-mix indices are calculated by summing the relative weights for each APC service at that hospital and dividing the total by the number of APC services for that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statewide case-mix index is calculated by summing the relative weights for each APC service for all claims and dividing the total by the statewide total number of APC services. Claims for hospitals receiving reimbursement as critical access hospitals during any of the period included in the base-year cost report are not used in calculating the statewide case-mix index.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hospital-specific base APC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hospital’s base-year cost report, hospital-specific outpatient cost-to-charge ratios are calculated for each ancillary and outpatient cost center of the Medicare cost report, Form CMS 2552-96.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cost-to-charge ratios are applied to each line item charge reported on claims from the Medicaid claim set to calculate the Medicaid cost per service. The hospital’s total outpatient Medicaid cost is the sum of the Medicaid cost per service for all line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subtracted from the hospital’s total outpatient Medicaid costs: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calculated Medicaid direct medical education cost for interns and residents based on the hospital’s base-year cost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total calculated Medicaid cost for services listed at </w:t>
      </w:r>
      <w:hyperlink r:id="rId243">
        <w:r>
          <w:rPr>
            <w:rStyle w:val="Hyperlink"/>
            <w:rFonts w:ascii="Times New Roman" w:hAnsi="Times New Roman"/>
            <w:b w:val="false"/>
            <w:i w:val="false"/>
            <w:color w:val="000000"/>
            <w:sz w:val="22"/>
          </w:rPr>
          <w:t>441—subrule 78.31(1), paragraphs </w:t>
        </w:r>
        <w:r>
          <w:rPr>
            <w:rFonts w:ascii="Times New Roman" w:hAnsi="Times New Roman"/>
            <w:b w:val="false"/>
            <w:i/>
            <w:color w:val="000000"/>
            <w:sz w:val="22"/>
          </w:rPr>
          <w:t>“g”</w:t>
        </w:r>
      </w:hyperlink>
      <w:r>
        <w:rPr>
          <w:rFonts w:ascii="Times New Roman" w:hAnsi="Times New Roman"/>
          <w:b w:val="false"/>
          <w:i w:val="false"/>
          <w:color w:val="000000"/>
          <w:sz w:val="22"/>
        </w:rPr>
        <w:t xml:space="preserve"> to </w:t>
      </w:r>
      <w:hyperlink r:id="rId244">
        <w:r>
          <w:rPr>
            <w:rStyle w:val="Hyperlink"/>
            <w:rFonts w:ascii="Times New Roman" w:hAnsi="Times New Roman"/>
            <w:b w:val="false"/>
            <w:i w:val="false"/>
            <w:color w:val="000000"/>
            <w:sz w:val="22"/>
          </w:rPr>
          <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total calculated Medicaid cost for ambulance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total calculated Medicaid cost for services paid based on the Iowa Medicaid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amount is multiplied by a factor to limit aggregate expenditures to available funding, divided by the hospital-specific case-mix index, and then divided by the total number of APC services for that hospital from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Hospital-specific base APC rates are not computed for hospitals receiving reimbursement as critical access hospitals during any of the period included in the base-year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statewide base APC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average base APC rate is calculated by summing the outpatient Medicaid cost for all hospitals and subtracting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total calculated Medicaid direct medical education cost for interns and residents for all 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total calculated Medicaid cost for services listed at </w:t>
      </w:r>
      <w:hyperlink r:id="rId245">
        <w:r>
          <w:rPr>
            <w:rStyle w:val="Hyperlink"/>
            <w:rFonts w:ascii="Times New Roman" w:hAnsi="Times New Roman"/>
            <w:b w:val="false"/>
            <w:i w:val="false"/>
            <w:color w:val="000000"/>
            <w:sz w:val="22"/>
          </w:rPr>
          <w:t>441—subrule 78.31(1), paragraphs </w:t>
        </w:r>
        <w:r>
          <w:rPr>
            <w:rFonts w:ascii="Times New Roman" w:hAnsi="Times New Roman"/>
            <w:b w:val="false"/>
            <w:i/>
            <w:color w:val="000000"/>
            <w:sz w:val="22"/>
          </w:rPr>
          <w:t>“g”</w:t>
        </w:r>
      </w:hyperlink>
      <w:r>
        <w:rPr>
          <w:rFonts w:ascii="Times New Roman" w:hAnsi="Times New Roman"/>
          <w:b w:val="false"/>
          <w:i w:val="false"/>
          <w:color w:val="000000"/>
          <w:sz w:val="22"/>
        </w:rPr>
        <w:t xml:space="preserve"> to </w:t>
      </w:r>
      <w:hyperlink r:id="rId246">
        <w:r>
          <w:rPr>
            <w:rStyle w:val="Hyperlink"/>
            <w:rFonts w:ascii="Times New Roman" w:hAnsi="Times New Roman"/>
            <w:b w:val="false"/>
            <w:i w:val="false"/>
            <w:color w:val="000000"/>
            <w:sz w:val="22"/>
          </w:rPr>
          <w:t/>
        </w:r>
        <w:r>
          <w:rPr>
            <w:rFonts w:ascii="Times New Roman" w:hAnsi="Times New Roman"/>
            <w:b w:val="false"/>
            <w:i/>
            <w:color w:val="000000"/>
            <w:sz w:val="22"/>
          </w:rPr>
          <w:t>“n,”</w:t>
        </w:r>
      </w:hyperlink>
      <w:r>
        <w:rPr>
          <w:rFonts w:ascii="Times New Roman" w:hAnsi="Times New Roman"/>
          <w:b w:val="false"/>
          <w:i w:val="false"/>
          <w:color w:val="000000"/>
          <w:sz w:val="22"/>
        </w:rPr>
        <w:t xml:space="preserve"> for all hospitals.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total calculated Medicaid cost for ambulance services for all hospitals.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total calculated Medicaid cost for services paid based on the Iowa Medicaid fee schedule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amount is multiplied by a factor to limit aggregate expenditures to available funding, divided by the statewide case-mix index, and then divided by the statewide total number of APC services from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Data for hospitals receiving reimbursement as critical access hospitals during any of the period included in the base-year cost report is not used in calculating the statewide average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Cost outlier payment policy. </w:t>
      </w:r>
      <w:r>
        <w:rPr>
          <w:rFonts w:ascii="Times New Roman" w:hAnsi="Times New Roman"/>
          <w:b w:val="false"/>
          <w:i w:val="false"/>
          <w:color w:val="000000"/>
          <w:sz w:val="22"/>
        </w:rPr>
        <w:t>Additional payment is made for services provided during a single visit that exceed the following Medicaid criteria of cost outliers for each APC. Outlier payments are determined on an APC-by-APC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APC qualifies as a cost outlier when the cost of the service exceeds both the multiple threshold and the fixed-dollar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multiple threshold is met when the cost of furnishing an APC service exceeds 1.75 times the APC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fixed-dollar threshold is met when the cost of furnishing an APC service exceeds the APC payment amount plus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the APC service or procedure is calculated using a single overall hospital-specific cost-to-charge ratio determined from the base-year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Payment to critical access hospitals. </w:t>
      </w:r>
      <w:r>
        <w:rPr>
          <w:rFonts w:ascii="Times New Roman" w:hAnsi="Times New Roman"/>
          <w:b w:val="false"/>
          <w:i w:val="false"/>
          <w:color w:val="000000"/>
          <w:sz w:val="22"/>
        </w:rPr>
        <w:t xml:space="preserve">Initial, interim payments to critical access hospitals as defined in paragraph </w:t>
      </w:r>
      <w:hyperlink r:id="rId247">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shall determine the reasonable costs of services based on the hospital’s annual cost reports and Medicare cost principles. When the interim amounts paid exceed reasonable costs, the department shall recover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any retrospective adjustment, the department shall update the cost-to-charge ratio to reflect as accurately as is possible the reasonable costs of providing the covered service to eligible fee-for-service Medicaid members for the coming year. The department shall base these changes on the most recent utilization as submitted to the Iowa Medicaid enterprise provider cost audit and rate setting unit and Medicare cost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cost-to-charge ratio is not subject to rebasing as provided in paragraph </w:t>
      </w:r>
      <w:hyperlink r:id="rId248">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Cost-reporting requirements. </w:t>
      </w:r>
      <w:r>
        <w:rPr>
          <w:rFonts w:ascii="Times New Roman" w:hAnsi="Times New Roman"/>
          <w:b w:val="false"/>
          <w:i w:val="false"/>
          <w:color w:val="000000"/>
          <w:sz w:val="22"/>
        </w:rPr>
        <w:t>Hospitals shall prepare annual cost reports in accordance with generally accepted accounting principles as defined by the American Institute of Certified Public Accountants and in accordance with Medicare Provider Reimbursement Manual, CMS Publication 15, subject to the exceptions and limitations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electronic media, each hospital shall submit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hospital’s Medicare cost report (Form CMS 2552-96, Hospitals and Healthcare Complex Cost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Either Form 470-4515, Critical Access Hospital Supplemental Cost Report, or Form 470-4514, Hospital Supplemental Cost Report; and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copy of the revenue code crosswalk used to prepare the Medicare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reports and supporting documentation shall be sent to the Iowa Medicaid Enterprise, Provider Cost Audit and Rate Setting Unit, 100 Army Post Road, P.O. Box 36450,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Rebasing.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annually thereafter, the department shall update the OPPS APC relative weights using the most current calendar update as published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blended base APC rates shall be rebased. Cost reports used in rebasing shall be the hospital fiscal year-end Form CMS 2552-96, Hospital and Healthcare Complex Cost Report, as submitted to Medicare in accordance with Medicare cost report submission time lines for the hospital fiscal year ending during the preceding calendar year. If a hospital does not provide this cost report, including the Medicaid cost report and revenue code crosswalk, to the Iowa Medicaid enterprise provider cost audit and rate setting unit by May 31 of a year in which rebasing occurs, the most recent submitted cost report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case-mix indices shall be recalculated using valid claims most nearly matching each hospital’s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shall be updated as provided in subparagraph </w:t>
      </w:r>
      <w:hyperlink r:id="rId249">
        <w:r>
          <w:rPr>
            <w:rStyle w:val="Hyperlink"/>
            <w:rFonts w:ascii="Times New Roman" w:hAnsi="Times New Roman"/>
            <w:b w:val="false"/>
            <w:i w:val="false"/>
            <w:color w:val="000000"/>
            <w:sz w:val="22"/>
          </w:rPr>
          <w:t>79.1(16)</w:t>
        </w:r>
        <w:r>
          <w:rPr>
            <w:rFonts w:ascii="Times New Roman" w:hAnsi="Times New Roman"/>
            <w:b w:val="false"/>
            <w:i/>
            <w:color w:val="000000"/>
            <w:sz w:val="22"/>
          </w:rPr>
          <w:t>“v”</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Out-of-state hospitals providing care to members of Iowa’s Medicaid program shall be reimbursed in the same manner as Iowa hospitals, except as provided in subparagraphs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payments pursuant to paragraph </w:t>
      </w:r>
      <w:hyperlink r:id="rId250">
        <w:r>
          <w:rPr>
            <w:rStyle w:val="Hyperlink"/>
            <w:rFonts w:ascii="Times New Roman" w:hAnsi="Times New Roman"/>
            <w:b w:val="false"/>
            <w:i w:val="false"/>
            <w:color w:val="000000"/>
            <w:sz w:val="22"/>
          </w:rPr>
          <w:t>79.1(16)</w:t>
        </w:r>
        <w:r>
          <w:rPr>
            <w:rFonts w:ascii="Times New Roman" w:hAnsi="Times New Roman"/>
            <w:b w:val="false"/>
            <w:i/>
            <w:color w:val="000000"/>
            <w:sz w:val="22"/>
          </w:rPr>
          <w:t>“v.”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Inpatient or outpatient services that require preadmission or preprocedure approval by the quality improvement organization (QIO) are updated yearly and are available from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the QIO authorization number on the claim form to receive payment. Claims for services requiring preadmission or preprocedure approval that are submitted without this authorization number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safeguard against other inappropriate practices, the department, through the QIO, will monitor admission practices and quality of care. If an abuse of the prospective payment system is identified, payments for abusive practices may be reduced or denied. In reducing or denying payment, Medicaid adopts the Medicare QIO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251">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Division III, a health care access assessment inflation factor shall be applied to the Medicaid blended base APC rate as otherwise calculated pursuant to this subrule for all “participating hospitals” as defined in </w:t>
      </w:r>
      <w:hyperlink r:id="rId252">
        <w:r>
          <w:rPr>
            <w:rStyle w:val="Hyperlink"/>
            <w:rFonts w:ascii="Times New Roman" w:hAnsi="Times New Roman"/>
            <w:b w:val="false"/>
            <w:i w:val="false"/>
            <w:color w:val="000000"/>
            <w:sz w:val="22"/>
          </w:rPr>
          <w:t>441—subrule 36.10(1)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shall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shall not be implemented until federal financial participation to match money collected from the health care access assessment pursuant to </w:t>
      </w:r>
      <w:hyperlink r:id="rId253">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Division III,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End date. Application of the health care access assessment inflation factor shall terminate if the health care access assessment is terminated pursuant to rule </w:t>
      </w:r>
      <w:hyperlink r:id="rId254">
        <w:r>
          <w:rPr>
            <w:rStyle w:val="Hyperlink"/>
            <w:rFonts w:ascii="Times New Roman" w:hAnsi="Times New Roman"/>
            <w:b w:val="false"/>
            <w:i w:val="false"/>
            <w:color w:val="000000"/>
            <w:sz w:val="22"/>
          </w:rPr>
          <w:t>441—36.12</w:t>
        </w:r>
      </w:hyperlink>
      <w:r>
        <w:rPr>
          <w:rFonts w:ascii="Times New Roman" w:hAnsi="Times New Roman"/>
          <w:b w:val="false"/>
          <w:i w:val="false"/>
          <w:color w:val="000000"/>
          <w:sz w:val="22"/>
        </w:rPr>
        <w:t>(83GA,SF2388). If federal match money is unavailable for a retroactive period or the authority to collect the assessment is rescinded for a retroactive period, the department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the QIO to determine the medical necessity of each case. For those outpatient observation cases where medical necessity is not established, reimbursement shall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2"/>
        </w:rPr>
        <w:t>EXCEPTION</w:t>
      </w:r>
      <w:r>
        <w:rPr>
          <w:rFonts w:ascii="Times New Roman" w:hAnsi="Times New Roman"/>
          <w:b w:val="false"/>
          <w:i w:val="false"/>
          <w:color w:val="000000"/>
          <w:sz w:val="22"/>
        </w:rPr>
        <w:t>: This requirement does not apply to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payment amounts for mental health noninpatient (NIP) services. </w:t>
      </w:r>
      <w:r>
        <w:rPr>
          <w:rFonts w:ascii="Times New Roman" w:hAnsi="Times New Roman"/>
          <w:b w:val="false"/>
          <w:i w:val="false"/>
          <w:color w:val="000000"/>
          <w:sz w:val="22"/>
        </w:rPr>
        <w:t xml:space="preserve">Mental health NIP services are limited as set forth at </w:t>
      </w:r>
      <w:hyperlink r:id="rId255">
        <w:r>
          <w:rPr>
            <w:rStyle w:val="Hyperlink"/>
            <w:rFonts w:ascii="Times New Roman" w:hAnsi="Times New Roman"/>
            <w:b w:val="false"/>
            <w:i w:val="false"/>
            <w:color w:val="000000"/>
            <w:sz w:val="22"/>
          </w:rPr>
          <w:t>441—subparagraph 78.31(4)</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are reimbursed on a fee schedule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Services delivered in the emergency room. </w:t>
      </w:r>
      <w:r>
        <w:rPr>
          <w:rFonts w:ascii="Times New Roman" w:hAnsi="Times New Roman"/>
          <w:b w:val="false"/>
          <w:i w:val="false"/>
          <w:color w:val="000000"/>
          <w:sz w:val="22"/>
        </w:rPr>
        <w:t>Payment to a hospital for assessment of any Medicaid member in an emergency room shall be made pursuant to fee schedule. Payment for treatment of a Medicaid member in an emergency room shall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emergency room visit results in an inpatient hospital admission, the treatment provided in the emergency room is paid for as part of the payment for the inpatient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but involves emergency services as defined in paragraph </w:t>
      </w:r>
      <w:hyperlink r:id="rId256">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shall be made at the full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and does not involve emergency services as defined in paragraph </w:t>
      </w:r>
      <w:hyperlink r:id="rId257">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depends on whether the member had a referral to the emergency room.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members who were referred to the emergency room by appropriate medical personnel, payment for treatment provided in the emergency room shall be made at 75 percent of the APC payment for the treatment provided.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members who were not referred to the emergency room by appropriate medical personnel, payment for treatment provided in the emergency room shall be made at 50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Limit on payments. </w:t>
      </w:r>
      <w:r>
        <w:rPr>
          <w:rFonts w:ascii="Times New Roman" w:hAnsi="Times New Roman"/>
          <w:b w:val="false"/>
          <w:i w:val="false"/>
          <w:color w:val="000000"/>
          <w:sz w:val="22"/>
        </w:rPr>
        <w:t xml:space="preserve">Payments under the ambulatory payment classification (APC) methodology, as well as other payments for outpatient services, are subject to upper limit rules set forth in </w:t>
      </w:r>
      <w:r>
        <w:rPr>
          <w:rFonts w:ascii="Times New Roman" w:hAnsi="Times New Roman"/>
          <w:b w:val="false"/>
          <w:i w:val="false"/>
          <w:color w:val="000000"/>
          <w:sz w:val="22"/>
        </w:rPr>
        <w:t>42 CFR 447.321</w:t>
      </w:r>
      <w:r>
        <w:rPr>
          <w:rFonts w:ascii="Times New Roman" w:hAnsi="Times New Roman"/>
          <w:b w:val="false"/>
          <w:i w:val="false"/>
          <w:color w:val="000000"/>
          <w:sz w:val="22"/>
        </w:rPr>
        <w:t xml:space="preserve"> as amended to September 5, 2001, and </w:t>
      </w:r>
      <w:hyperlink r:id="rId258">
        <w:r>
          <w:rPr>
            <w:rStyle w:val="Hyperlink"/>
            <w:rFonts w:ascii="Times New Roman" w:hAnsi="Times New Roman"/>
            <w:b w:val="false"/>
            <w:i w:val="false"/>
            <w:color w:val="000000"/>
            <w:sz w:val="22"/>
          </w:rPr>
          <w:t>447.325</w:t>
        </w:r>
      </w:hyperlink>
      <w:r>
        <w:rPr>
          <w:rFonts w:ascii="Times New Roman" w:hAnsi="Times New Roman"/>
          <w:b w:val="false"/>
          <w:i w:val="false"/>
          <w:color w:val="000000"/>
          <w:sz w:val="22"/>
        </w:rPr>
        <w:t xml:space="preserve"> as amended to January 26, 1993. Requirements under these sections state that, in general, Medicaid may not make payments to providers that would exceed the amount that would be payable to providers under comparable circumstances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QIO review. </w:t>
      </w:r>
      <w:r>
        <w:rPr>
          <w:rFonts w:ascii="Times New Roman" w:hAnsi="Times New Roman"/>
          <w:b w:val="false"/>
          <w:i w:val="false"/>
          <w:color w:val="000000"/>
          <w:sz w:val="22"/>
        </w:rPr>
        <w:t>The QIO will review a yearly random sample of hospital outpatient service cases performed for Medicaid members and identified on claims data from all Iowa and bordering state hospitals in accordance with the terms in the contract between the department and the QIO. The QIO contract is available for review at the Iowa Medicaid Enterprise Office, 100 Army Post Road,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shall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shall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shall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Multiply the total count of outpatient visits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Final settlement for state-owned teaching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July 1, 2010, total annual payments to an Iowa state-owned hospital for inpatient and outpatient hospital services shall equal 100 percent of allowable medical assistance program costs, not to exceed the sum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Payments for inpatient hospital services calculated in accordance with subrule </w:t>
      </w:r>
      <w:hyperlink r:id="rId259">
        <w:r>
          <w:rPr>
            <w:rStyle w:val="Hyperlink"/>
            <w:rFonts w:ascii="Times New Roman" w:hAnsi="Times New Roman"/>
            <w:b w:val="false"/>
            <w:i w:val="false"/>
            <w:color w:val="000000"/>
            <w:sz w:val="22"/>
          </w:rPr>
          <w:t>79.1(5)</w:t>
        </w:r>
      </w:hyperlink>
      <w:r>
        <w:rPr>
          <w:rFonts w:ascii="Times New Roman" w:hAnsi="Times New Roman"/>
          <w:b w:val="false"/>
          <w:i w:val="false"/>
          <w:color w:val="000000"/>
          <w:sz w:val="22"/>
        </w:rPr>
        <w:t>, plus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Payment for outpatient hospital services calculated in accordance with subrule </w:t>
      </w:r>
      <w:hyperlink r:id="rId260">
        <w:r>
          <w:rPr>
            <w:rStyle w:val="Hyperlink"/>
            <w:rFonts w:ascii="Times New Roman" w:hAnsi="Times New Roman"/>
            <w:b w:val="false"/>
            <w:i w:val="false"/>
            <w:color w:val="000000"/>
            <w:sz w:val="22"/>
          </w:rPr>
          <w:t>79.1(16)</w:t>
        </w:r>
      </w:hyperlink>
      <w:r>
        <w:rPr>
          <w:rFonts w:ascii="Times New Roman" w:hAnsi="Times New Roman"/>
          <w:b w:val="false"/>
          <w:i w:val="false"/>
          <w:color w:val="000000"/>
          <w:sz w:val="22"/>
        </w:rPr>
        <w:t>, plus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$9,900,000.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One-twelfth of the $9,900,000 increase in reimbursement shall be distributed to the hospital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shall complete a final settlement based on the hospital’s Medicare cost report. If the aggregate payments are less than the hospital’s actual medical assistance program costs, no additional payment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sum of the inpatient hospital service payments plus outpatient hospital service payments plus the $9,900,000 exceeds 100 percent of allowable inpatient and outpatient costs, the department shall request and collect from the hospital the amount by which payments exceed actual medical assistance program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home- and community-based services home and vehicle modification and equipment. </w:t>
      </w:r>
      <w:r>
        <w:rPr>
          <w:rFonts w:ascii="Times New Roman" w:hAnsi="Times New Roman"/>
          <w:b w:val="false"/>
          <w:i w:val="false"/>
          <w:color w:val="000000"/>
          <w:sz w:val="22"/>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submit the service plan and the contract, invoice or quotations from the providers to the Iowa Medicaid enterprise for prior approval before the modification is initiated or the equipment is purchased. Payment shall not be approved for duplicate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possible, three itemized bids for the modification or quotations for equipment purchase shall be presented for review. The amount payable shall be based on the least expensive item that meets the member’s 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shall be based on a fee schedule and shall conform to the limitations set forth in subrule </w:t>
      </w:r>
      <w:hyperlink r:id="rId261">
        <w:r>
          <w:rPr>
            <w:rStyle w:val="Hyperlink"/>
            <w:rFonts w:ascii="Times New Roman" w:hAnsi="Times New Roman"/>
            <w:b w:val="false"/>
            <w:i w:val="false"/>
            <w:color w:val="000000"/>
            <w:sz w:val="22"/>
          </w:rPr>
          <w:t>79.1(12)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and items that are furnished under Part B of Medicare, the fee shall be the lowest charge allowed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and items that are furnished only under Medicaid, the fee shall be the lowest charge determined by the department according to the Medicare reimbursement method described in </w:t>
      </w:r>
      <w:r>
        <w:rPr>
          <w:rFonts w:ascii="Times New Roman" w:hAnsi="Times New Roman"/>
          <w:b w:val="false"/>
          <w:i w:val="false"/>
          <w:color w:val="000000"/>
          <w:sz w:val="22"/>
        </w:rPr>
        <w:t>Section 1834(a)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1395m</w:t>
      </w:r>
      <w:r>
        <w:rPr>
          <w:rFonts w:ascii="Times New Roman" w:hAnsi="Times New Roman"/>
          <w:b w:val="false"/>
          <w:i w:val="false"/>
          <w:color w:val="000000"/>
          <w:sz w:val="22"/>
        </w:rPr>
        <w:t>), Payment for 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with no established Medicare fee shall be at the average wholesale price for the item less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or average wholesale price shall be made at the manufacturer’s suggested retail price less 15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average wholesale price, or manufacturer’s suggested retail price shall be made at the dealer’s cost plus 10 percent. The actual invoice for the item from the manufacturer must be submitted with the claim. Catalog pages or printouts supplied by the provider are not considered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selected medical services, supplies, and equipment, including equipment servicing, that generally do not vary significantly in quality from one provider to another, the payment shall be the lowest price for which such devices are widely and consistently available in a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for used equipment shall not exceed 80 percent of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 allowance shall be made for delivery, freight, postage, or other provider operating expenses for durable medical equipment, prosthetic devices, or sickroom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79.1(18)</w:t>
      </w:r>
      <w:r>
        <w:rPr>
          <w:rFonts w:ascii="Times New Roman" w:hAnsi="Times New Roman"/>
          <w:b w:val="false"/>
          <w:i w:val="false"/>
          <w:color w:val="000000"/>
          <w:sz w:val="22"/>
        </w:rPr>
        <w:t> </w:t>
      </w:r>
      <w:r>
        <w:rPr>
          <w:rFonts w:ascii="Times New Roman" w:hAnsi="Times New Roman"/>
          <w:b w:val="false"/>
          <w:i/>
          <w:color w:val="000000"/>
          <w:sz w:val="22"/>
        </w:rPr>
        <w:t xml:space="preserve">Pharmaceutical case management services reimbursement. </w:t>
      </w:r>
      <w:r>
        <w:rPr>
          <w:rFonts w:ascii="Times New Roman" w:hAnsi="Times New Roman"/>
          <w:b w:val="false"/>
          <w:i w:val="false"/>
          <w:color w:val="000000"/>
          <w:sz w:val="22"/>
        </w:rPr>
        <w:t xml:space="preserve">Pharmacist and physician pharmaceutical case management (PCM) team members shall be equally reimbursed for participation in each of the four services described in rule </w:t>
      </w:r>
      <w:hyperlink r:id="rId262">
        <w:r>
          <w:rPr>
            <w:rStyle w:val="Hyperlink"/>
            <w:rFonts w:ascii="Times New Roman" w:hAnsi="Times New Roman"/>
            <w:b w:val="false"/>
            <w:i w:val="false"/>
            <w:color w:val="000000"/>
            <w:sz w:val="22"/>
          </w:rPr>
          <w:t>441—78.47</w:t>
        </w:r>
      </w:hyperlink>
      <w:r>
        <w:rPr>
          <w:rFonts w:ascii="Times New Roman" w:hAnsi="Times New Roman"/>
          <w:b w:val="false"/>
          <w:i w:val="false"/>
          <w:color w:val="000000"/>
          <w:sz w:val="22"/>
        </w:rPr>
        <w:t>(249A). The following table contains the amount each team member shall be reimbursed for the services provided and the maximum number of payments for each type of assessment. Payment for services beyond the maximum number of payments shall be considered on an individual basis after peer review of submitted documentation of medical necessity.</w:t>
      </w:r>
    </w:p>
    <w:tbl>
      <w:tblPr>
        <w:tblW w:w="5000" w:type="pct"/>
        <w:tblCellSpacing w:w="0" w:type="auto"/>
        <w:tblBorders>
          <w:top w:val="none"/>
          <w:left w:val="none"/>
          <w:bottom w:val="none"/>
          <w:right w:val="none"/>
          <w:insideH w:val="none"/>
          <w:insideV w:val="none"/>
        </w:tblBorders>
        <w:tblLayout w:type="fixed"/>
      </w:tblPr>
      <w:tblGrid>
        <w:gridCol w:w="4562"/>
        <w:gridCol w:w="2642"/>
        <w:gridCol w:w="3986"/>
      </w:tblGrid>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Service</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Payment amount</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Number of payments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Initial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New problem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Problem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Preventative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 per 6 months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translation and interpretation services. </w:t>
      </w:r>
      <w:r>
        <w:rPr>
          <w:rFonts w:ascii="Times New Roman" w:hAnsi="Times New Roman"/>
          <w:b w:val="false"/>
          <w:i w:val="false"/>
          <w:color w:val="000000"/>
          <w:sz w:val="22"/>
        </w:rPr>
        <w:t xml:space="preserve">Reimbursement for translation and interpretation services shall be made to providers based on the reimbursement methodology for the provider category as defined in subrule </w:t>
      </w:r>
      <w:hyperlink r:id="rId26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cost-related, translation and interpretation services shall be considered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a fee schedule, a fee shall be established for translation and interpretation services, which shall be treated as a reimbursable service. In order for translation or interpretation to be covered, it must be provided by separate employees or contractors solely performing translation or interpretation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79.1(20)</w:t>
      </w:r>
      <w:r>
        <w:rPr>
          <w:rFonts w:ascii="Times New Roman" w:hAnsi="Times New Roman"/>
          <w:b w:val="false"/>
          <w:i w:val="false"/>
          <w:color w:val="000000"/>
          <w:sz w:val="22"/>
        </w:rPr>
        <w:t> </w:t>
      </w:r>
      <w:r>
        <w:rPr>
          <w:rFonts w:ascii="Times New Roman" w:hAnsi="Times New Roman"/>
          <w:b w:val="false"/>
          <w:i/>
          <w:color w:val="000000"/>
          <w:sz w:val="22"/>
        </w:rPr>
        <w:t xml:space="preserve">Dentists. </w:t>
      </w:r>
      <w:r>
        <w:rPr>
          <w:rFonts w:ascii="Times New Roman" w:hAnsi="Times New Roman"/>
          <w:b w:val="false"/>
          <w:i w:val="false"/>
          <w:color w:val="000000"/>
          <w:sz w:val="22"/>
        </w:rPr>
        <w:t>The dental fee schedule is based on the definitions of dental and surgical procedures given in the current version of the Code on Dental Procedures and Nomenclature (CDT) published by the American Dental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agencies. </w:t>
      </w:r>
      <w:r>
        <w:rPr>
          <w:rFonts w:ascii="Times New Roman" w:hAnsi="Times New Roman"/>
          <w:b w:val="false"/>
          <w:i w:val="false"/>
          <w:color w:val="000000"/>
          <w:sz w:val="22"/>
        </w:rPr>
        <w:t xml:space="preserve">Subject to the Medicaid upper limit in </w:t>
      </w:r>
      <w:hyperlink r:id="rId264">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payments to rehabilitation agencies shall be made as provided in the areawide fee schedule established for Medicare by the Centers for Medicare and Medicaid Services (CMS). The Medicare fee schedule is based on the definitions of procedures from the physicians’ Current Procedural Terminology (CPT) published by the American Medical Association. CMS adjusts the fee schedules annually to reflect changes in the consumer price index for all urban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w:t>
      </w:r>
      <w:r>
        <w:rPr>
          <w:rFonts w:ascii="Times New Roman" w:hAnsi="Times New Roman"/>
          <w:b w:val="false"/>
          <w:i w:val="false"/>
          <w:color w:val="000000"/>
          <w:sz w:val="22"/>
        </w:rPr>
        <w:t>Subject to approval of a state plan amendment by the federal Centers for Medicare and Medicaid Services, payment for Medicare crossover claims shall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“Medicaid-allowed amount” </w:t>
      </w:r>
      <w:r>
        <w:rPr>
          <w:rFonts w:ascii="Times New Roman" w:hAnsi="Times New Roman"/>
          <w:b w:val="false"/>
          <w:i w:val="false"/>
          <w:color w:val="000000"/>
          <w:sz w:val="22"/>
        </w:rPr>
        <w:t>means the Medicaid reimbursement for the service(s) rendered (including any portion to be paid by the Medicaid beneficiary as copayment or spenddown),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“Medicare-allowed amount” </w:t>
      </w:r>
      <w:r>
        <w:rPr>
          <w:rFonts w:ascii="Times New Roman" w:hAnsi="Times New Roman"/>
          <w:b w:val="false"/>
          <w:i w:val="false"/>
          <w:color w:val="000000"/>
          <w:sz w:val="22"/>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cost sharing” </w:t>
      </w:r>
      <w:r>
        <w:rPr>
          <w:rFonts w:ascii="Times New Roman" w:hAnsi="Times New Roman"/>
          <w:b w:val="false"/>
          <w:i w:val="false"/>
          <w:color w:val="000000"/>
          <w:sz w:val="22"/>
        </w:rPr>
        <w:t>means the Medicare member’s responsibility to pay for a Medicare-covered service. “Medicare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 </w:t>
      </w:r>
      <w:r>
        <w:rPr>
          <w:rFonts w:ascii="Times New Roman" w:hAnsi="Times New Roman"/>
          <w:b w:val="false"/>
          <w:i w:val="false"/>
          <w:color w:val="000000"/>
          <w:sz w:val="22"/>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deductible and coinsurance amounts” </w:t>
      </w:r>
      <w:r>
        <w:rPr>
          <w:rFonts w:ascii="Times New Roman" w:hAnsi="Times New Roman"/>
          <w:b w:val="false"/>
          <w:i w:val="false"/>
          <w:color w:val="000000"/>
          <w:sz w:val="22"/>
        </w:rPr>
        <w:t>means the portion of the Medicare-allowed amount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provider reimbursement” </w:t>
      </w:r>
      <w:r>
        <w:rPr>
          <w:rFonts w:ascii="Times New Roman" w:hAnsi="Times New Roman"/>
          <w:b w:val="false"/>
          <w:i w:val="false"/>
          <w:color w:val="000000"/>
          <w:sz w:val="22"/>
        </w:rPr>
        <w:t>means the Medicare-allowed amount less any portion thereof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“QMB” </w:t>
      </w:r>
      <w:r>
        <w:rPr>
          <w:rFonts w:ascii="Times New Roman" w:hAnsi="Times New Roman"/>
          <w:b w:val="false"/>
          <w:i w:val="false"/>
          <w:color w:val="000000"/>
          <w:sz w:val="22"/>
        </w:rPr>
        <w:t xml:space="preserve">means an individual who has been determined eligible for the QMB program pursuant to 441—subrule 75.1(29).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“Third-party payment” </w:t>
      </w:r>
      <w:r>
        <w:rPr>
          <w:rFonts w:ascii="Times New Roman" w:hAnsi="Times New Roman"/>
          <w:b w:val="false"/>
          <w:i w:val="false"/>
          <w:color w:val="000000"/>
          <w:sz w:val="22"/>
        </w:rPr>
        <w:t>means payment from any source other than Medicaid, Medicare, or the Medicaid and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Medicare crossover claims. </w:t>
      </w:r>
      <w:r>
        <w:rPr>
          <w:rFonts w:ascii="Times New Roman" w:hAnsi="Times New Roman"/>
          <w:b w:val="false"/>
          <w:i w:val="false"/>
          <w:color w:val="000000"/>
          <w:sz w:val="22"/>
        </w:rPr>
        <w:t>Covered Medicare crossover claims shall be paid by Medicaid at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Medicare deductible and coinsurance amounts, less any third-party payment available to the provider for the Medicare deductible and coinsurance amounts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remedial services. </w:t>
      </w:r>
      <w:r>
        <w:rPr>
          <w:rFonts w:ascii="Times New Roman" w:hAnsi="Times New Roman"/>
          <w:b w:val="false"/>
          <w:i w:val="false"/>
          <w:color w:val="000000"/>
          <w:sz w:val="22"/>
        </w:rPr>
        <w:t xml:space="preserve">Reimbursement for remedial services provided before July 1, 2011, shall be made on the basis of a unit rate that is calculated retrospectively for each provider, considering reasonable and proper costs of operation. The unit rate shall not exceed the established unit-of-service limit on reasonable costs pursuant to subparagraph </w:t>
      </w:r>
      <w:hyperlink r:id="rId265">
        <w:r>
          <w:rPr>
            <w:rStyle w:val="Hyperlink"/>
            <w:rFonts w:ascii="Times New Roman" w:hAnsi="Times New Roman"/>
            <w:b w:val="false"/>
            <w:i w:val="false"/>
            <w:color w:val="000000"/>
            <w:sz w:val="22"/>
          </w:rPr>
          <w:t>79.1(23)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unit of service may be a quarter hour, a half hour, an hour, a half day, or a day, depending on the service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Interim rate. </w:t>
      </w:r>
      <w:r>
        <w:rPr>
          <w:rFonts w:ascii="Times New Roman" w:hAnsi="Times New Roman"/>
          <w:b w:val="false"/>
          <w:i w:val="false"/>
          <w:color w:val="000000"/>
          <w:sz w:val="22"/>
        </w:rPr>
        <w:t xml:space="preserve">Providers shall be reimbursed through a prospective interim rate equal to the previous year’s retrospectively calculated unit-of-service rate. On an interim basis, pending determination of remedial services provider costs, the provider may bill for and shall be reimbursed at a unit-of-service rate that the provider and the Iowa Medicaid enterprise may reasonably expect to produce total payments to the provider for the provider’s fiscal year that are consistent with Medicaid’s obligation to reimburse that provider’s reasonable costs. The interim unit-of-service rate is subject to the established unit-of-service limit on reasonable costs pursuant to subparagraph </w:t>
      </w:r>
      <w:hyperlink r:id="rId266">
        <w:r>
          <w:rPr>
            <w:rStyle w:val="Hyperlink"/>
            <w:rFonts w:ascii="Times New Roman" w:hAnsi="Times New Roman"/>
            <w:b w:val="false"/>
            <w:i w:val="false"/>
            <w:color w:val="000000"/>
            <w:sz w:val="22"/>
          </w:rPr>
          <w:t>79.1(23)</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Cost reports. </w:t>
      </w:r>
      <w:r>
        <w:rPr>
          <w:rFonts w:ascii="Times New Roman" w:hAnsi="Times New Roman"/>
          <w:b w:val="false"/>
          <w:i w:val="false"/>
          <w:color w:val="000000"/>
          <w:sz w:val="22"/>
        </w:rPr>
        <w:t>Reasonable and proper costs of operation shall be determined based on cost reports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Medicaid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complete Form 470-4414, Financial and Statistical Report for Remedial Services, and submit it to the IME Provider Cost Audit and Rate Setting Unit, P.O. Box 36450, Des Moines, Iowa 50315, within three months of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sending a letter to the IME provider cost audit and rate setting unit before the cost report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of services under multiple programs shall submit a cost allocation schedule, prepared in accordance with the generally accepted accounting principles and requirements specified in OMB Circular A-87. Costs reported under remedial services shall not be reported as reimbursable costs under any other funding source. Costs incurred for other services shall not be reported as reimbursable costs under remedial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w:t>
      </w:r>
      <w:r>
        <w:rPr>
          <w:rFonts w:ascii="Times New Roman" w:hAnsi="Times New Roman"/>
          <w:b w:val="false"/>
          <w:i w:val="false"/>
          <w:color w:val="000000"/>
          <w:sz w:val="22"/>
        </w:rPr>
        <w:t>Cost reports as filed shall be subject to review and audit by the Iowa Medicaid enterprise to determine the actual cost of services rendered to Medicaid members, using an accepted method of cost apportionment (as specified in OMB Circular A-87).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reasonable cost for a member is one that does not exceed 110 percent of the average allowable costs reported by Iowa Medicaid providers for providing similar remedial services to members who have similar diagnoses and live in similar settings, less 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reasonable and proper costs of operation are determined, a retroactive adjustment shall be made. The retroactive adjustment represents the difference between the amount received by the provider through an interim rate during the year for covered services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home- and community-based habilitation services. </w:t>
      </w:r>
      <w:r>
        <w:rPr>
          <w:rFonts w:ascii="Times New Roman" w:hAnsi="Times New Roman"/>
          <w:b w:val="false"/>
          <w:i w:val="false"/>
          <w:color w:val="000000"/>
          <w:sz w:val="22"/>
        </w:rPr>
        <w:t xml:space="preserve">Reimbursement for all home- and community-based habilitation services provided on or after January 1, 2016, shall be as provided in paragraph </w:t>
      </w:r>
      <w:hyperlink r:id="rId267">
        <w:r>
          <w:rPr>
            <w:rStyle w:val="Hyperlink"/>
            <w:rFonts w:ascii="Times New Roman" w:hAnsi="Times New Roman"/>
            <w:b w:val="false"/>
            <w:i w:val="false"/>
            <w:color w:val="000000"/>
            <w:sz w:val="22"/>
          </w:rPr>
          <w:t>79.1(24)</w:t>
        </w:r>
        <w:r>
          <w:rPr>
            <w:rFonts w:ascii="Times New Roman" w:hAnsi="Times New Roman"/>
            <w:b w:val="false"/>
            <w:i/>
            <w:color w:val="000000"/>
            <w:sz w:val="22"/>
          </w:rPr>
          <w:t>“d.”</w:t>
        </w:r>
      </w:hyperlink>
      <w:r>
        <w:rPr>
          <w:rFonts w:ascii="Times New Roman" w:hAnsi="Times New Roman"/>
          <w:b w:val="false"/>
          <w:i w:val="false"/>
          <w:color w:val="000000"/>
          <w:sz w:val="22"/>
        </w:rPr>
        <w:t xml:space="preserve"> All rates are subject to the upper limits established in subrule </w:t>
      </w:r>
      <w:hyperlink r:id="rId268">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unit of case management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home-based habilitation is a 15-minute unit (for up to 31 units per day) or one day (for 8 or more hours per day), based on the average hours of service provided during a 24-hour period as an average over a calendar month. Reimbursement for services shall not exceed the upper limit for daily home-based habilitation services set in </w:t>
      </w:r>
      <w:hyperlink r:id="rId269">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daily unit of service shall be used when a member receives services for 8 or more hours provided during a 24-hour period as an average over a calendar month. The 15-minute unit shall be used when the member receives services for 1 to 31 15-minute units provided during a 24-hour period as an average over a calendar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comprehensive service plan must identify and reflect the need for the amount of supervision and skills training requested. The provider’s documentation must support the number of direct support hours identified in the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unit of supported employment habilitation supports to maintain employment is a 15-minute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cost reports. </w:t>
      </w:r>
      <w:r>
        <w:rPr>
          <w:rFonts w:ascii="Times New Roman" w:hAnsi="Times New Roman"/>
          <w:b w:val="false"/>
          <w:i w:val="false"/>
          <w:color w:val="000000"/>
          <w:sz w:val="22"/>
        </w:rPr>
        <w:t>For services provided prior to July 1, 2013, the department shall determine reasonable and proper costs of operation for home-based habilitation, day habilitation, prevocational habilitation, and supported employment based on cost reports submitted by the provider on Form 470-4425, Financial and Statistical Report for HCBS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Medicaid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home-based habilitation, the provider’s cost report shall reflect all staff-to-member ratios and costs associated with members’ specific support needs for travel and transportation, consulting, and instruction, as determined necessary by the interdisciplinary team for each consumer. The specific support needs must be identified in the member’s comprehensive service plan. The total costs shall not exceed $1570 per consumer per year. The provider must maintain records to support all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complete cost report to the IME Provider Cost Audit and Rate Setting Unit, P.O. Box 36450, Des Moines, Iowa 50315, within three months of the end of the provider’s fiscal year. The submission must include a working trial balance. Cost reports submitted without a working trial balance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sending a letter to the IME provider cost audit and rate setting unit before the cost report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of services under multiple programs shall submit a cost allocation schedule, prepared in accordance with the generally accepted accounting principles and requirements specified in OMB Circular A-87. Costs reported under habilitation services shall not be reported as reimbursable costs under any other funding source. Costs incurred for other services shall not be reported as reimbursable costs under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fails to submit a cost report for services provided through June 30, 2013, that meets the requirements of this paragraph, the Iowa Medicaid enterprise shall reduce the provider’s rate to 76 percent of the current rate. The reduced rate shall be paid until the provider’s cost report has been received by the Iowa Medicaid enterprise’s provider cost audit and rate setting unit pursuant to subparagraph </w:t>
      </w:r>
      <w:hyperlink r:id="rId270">
        <w:r>
          <w:rPr>
            <w:rStyle w:val="Hyperlink"/>
            <w:rFonts w:ascii="Times New Roman" w:hAnsi="Times New Roman"/>
            <w:b w:val="false"/>
            <w:i w:val="false"/>
            <w:color w:val="000000"/>
            <w:sz w:val="22"/>
          </w:rPr>
          <w:t>79.1(24)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but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projected cost report shall be submitted when a new habilitation services provider enters the program or an existing habilitation services provider adds a new service code. A prospective interim rate shall be established using the projected cost report. The effective date of the rate shall be the day the provider becomes certified as a Medicaid provider or the day the new service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based on cost reports. </w:t>
      </w:r>
      <w:r>
        <w:rPr>
          <w:rFonts w:ascii="Times New Roman" w:hAnsi="Times New Roman"/>
          <w:b w:val="false"/>
          <w:i w:val="false"/>
          <w:color w:val="000000"/>
          <w:sz w:val="22"/>
        </w:rPr>
        <w:t>For services provided prior to July 1, 2013, reimbursement shall be made using a unit rate that is calculated retrospectively for each provider, considering reasonable and proper costs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Interim rates. Providers shall be reimbursed through a prospective interim rate equal to the previous year’s retrospectively calculated unit-of-service rate. Pending determination of habilitation services provider costs, the provider may bill for and shall be reimbursed at a unit-of-service rate that the provider and the Iowa Medicaid enterprise may reasonably expect to produce total payments to the provider for the provider’s fiscal year that are consistent with Medicaid’s obligation to reimburse that provider’s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 of cost reports. Cost reports as filed shall be subject to review and audit by the Iowa Medicaid enterprise to determine the actual cost of services rendered to Medicaid members, using an accepted method of cost apportionment (as specified in OMB Circular A-87).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adjustment. When the reasonable and proper costs of operation are determined, a retroactive adjustment shall be made. The retroactive adjustment represents the difference between the amount that the provider received during the year for covered services through an interim rate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services provided on or after January 1, 2016.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dates of services on or after January 1, 2016, habilitation services, except for case management, shall be reimbursed by fee schedule. Case management will continue to be reimbursed by retrospective cost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dates of services on or after July 1, 2018, case management services shall be reimbursed by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 mental health centers (CMHCs) and providers of mental health services to county residents pursuant to a waiver approved under Iowa Code section </w:t>
      </w:r>
      <w:hyperlink r:id="rId271">
        <w:r>
          <w:rPr>
            <w:rStyle w:val="Hyperlink"/>
            <w:rFonts w:ascii="Times New Roman" w:hAnsi="Times New Roman"/>
            <w:b w:val="false"/>
            <w:i/>
            <w:color w:val="000000"/>
            <w:sz w:val="22"/>
          </w:rPr>
          <w:t>225C.7(3)</w:t>
        </w:r>
      </w:hyperlink>
      <w:r>
        <w:rPr>
          <w:rFonts w:ascii="Times New Roman" w:hAnsi="Times New Roman"/>
          <w:b w:val="false"/>
          <w:i/>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Reimbursement methodology for providers of mental health services to county residents pursuant to a waiver approved under Iowa Code section </w:t>
      </w:r>
      <w:hyperlink r:id="rId272">
        <w:r>
          <w:rPr>
            <w:rStyle w:val="Hyperlink"/>
            <w:rFonts w:ascii="Times New Roman" w:hAnsi="Times New Roman"/>
            <w:b w:val="false"/>
            <w:i/>
            <w:color w:val="000000"/>
            <w:sz w:val="22"/>
          </w:rPr>
          <w:t>225C.7(3)</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Effective for services rendered on or after October 1, 2006, providers of mental health services to county residents pursuant to a waiver approved under Iowa Code section </w:t>
      </w:r>
      <w:hyperlink r:id="rId273">
        <w:r>
          <w:rPr>
            <w:rStyle w:val="Hyperlink"/>
            <w:rFonts w:ascii="Times New Roman" w:hAnsi="Times New Roman"/>
            <w:b w:val="false"/>
            <w:i w:val="false"/>
            <w:color w:val="000000"/>
            <w:sz w:val="22"/>
          </w:rPr>
          <w:t>225C.7(3)</w:t>
        </w:r>
      </w:hyperlink>
      <w:r>
        <w:rPr>
          <w:rFonts w:ascii="Times New Roman" w:hAnsi="Times New Roman"/>
          <w:b w:val="false"/>
          <w:i w:val="false"/>
          <w:color w:val="000000"/>
          <w:sz w:val="22"/>
        </w:rPr>
        <w:t xml:space="preserve"> that provide clinic services are paid on a reasonable-cost basis as determined by Medicare reimbursement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methodology for community mental health centers. </w:t>
      </w:r>
      <w:r>
        <w:rPr>
          <w:rFonts w:ascii="Times New Roman" w:hAnsi="Times New Roman"/>
          <w:b w:val="false"/>
          <w:i w:val="false"/>
          <w:color w:val="000000"/>
          <w:sz w:val="22"/>
        </w:rPr>
        <w:t xml:space="preserve">Effective for services rendered on or after July 1, 2014, community mental health centers may elect to be paid on either a 100 percent of reasonable costs basis, as determined by Medicare reimbursement principles, or in accordance with an alternative reimbursement rate methodology approved by the department of human services. Once a community mental health center chooses the alternative reimbursement rate methodology, the community mental health center may not change its elected reimbursement methodology to 100 percent of reasonable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Cost-based reimbursement. </w:t>
      </w:r>
      <w:r>
        <w:rPr>
          <w:rFonts w:ascii="Times New Roman" w:hAnsi="Times New Roman"/>
          <w:b w:val="false"/>
          <w:i w:val="false"/>
          <w:color w:val="000000"/>
          <w:sz w:val="22"/>
        </w:rPr>
        <w:t xml:space="preserve">For providers of mental health services to county residents pursuant to a waiver approved under Iowa Code section </w:t>
      </w:r>
      <w:hyperlink r:id="rId274">
        <w:r>
          <w:rPr>
            <w:rStyle w:val="Hyperlink"/>
            <w:rFonts w:ascii="Times New Roman" w:hAnsi="Times New Roman"/>
            <w:b w:val="false"/>
            <w:i w:val="false"/>
            <w:color w:val="000000"/>
            <w:sz w:val="22"/>
          </w:rPr>
          <w:t>225C.7(3)</w:t>
        </w:r>
      </w:hyperlink>
      <w:r>
        <w:rPr>
          <w:rFonts w:ascii="Times New Roman" w:hAnsi="Times New Roman"/>
          <w:b w:val="false"/>
          <w:i w:val="false"/>
          <w:color w:val="000000"/>
          <w:sz w:val="22"/>
        </w:rPr>
        <w:t xml:space="preserve"> and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a provider that was enrolled in the Medicaid program before October 1, 2006, submits a cost report in order to develop a provider-specific interim rate, the Iowa Medicaid enterprise shall make interim payments to the provider based upon 105 percent of the greater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statewide fee schedule for community mental health centers effective July 1, 2006,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Medicaid managed care contracted fee amounts for community mental health centers effective July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provider that enrolls in the Medicaid program on or after October 1, 2006, until a provider-specific interim rate is developed, the Iowa Medicaid enterprise shall make interim payments based upon the average statewide interim rates for community mental health centers at the time services are rendered. A new provider may submit a projected cost report that the Iowa Medicaid enterprise will use to develop a provider-specific interim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reports as filed are subject to review and audit by the Iowa Medicaid enterprise. The Iowa Medicaid enterprise shall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shall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shall use each annual cost report to develop a provider-specific interim fee schedule to be paid prospectively. The effective date of the fee schedule change is the first day of the month following completion of the cost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All providers other than CMHCs that have elected the alternative reimbursement rate methodology established by the Medicaid program’s managed care contractor for mental health services shall submit cost reports using Form 470-4419, Financial and Statistical Report. Hospital-based providers required to submit a cost report shall also submit the Medicare cost report, CMS Form 2552-96. The following requirements apply to all required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2"/>
        </w:rPr>
        <w:t>2 CFR Part 225</w:t>
      </w:r>
      <w:r>
        <w:rPr>
          <w:rFonts w:ascii="Times New Roman" w:hAnsi="Times New Roman"/>
          <w:b w:val="false"/>
          <w:i w:val="false"/>
          <w:color w:val="000000"/>
          <w:sz w:val="22"/>
        </w:rPr>
        <w:t xml:space="preserve"> as amended to August 31,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completed cost reports to the IME Provider Cost Audit and Rate Setting Unit, P.O. Box 36450, Des Moines, Iowa 50315. A provider that is not hospital-based shall submit Form 470-4419 on or before the last day of the third month after the end of the provider’s fiscal year. A hospital-based provider shall submit both Form 470-4419 and CMS Form 2552-96 on or before the last day of the fifth month after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submitting a letter to the IME provider cost audit and rate setting unit before the cost report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provider fails to submit a cost report that meets the requirements of this paragraph, the Iowa Medicaid enterprise shall reduce the provider’s interim payments to 76 percent of the current interim rate. The reduced interim rate shall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79.1(26)</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included under the home health services program are reimbursed on the low utilization payment amount (LUPA) methodology, with state geographic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in effect on July 1, 2013, are the basis for establishing the LUPA methodology for the initial reimbursement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shall be increased July 1 every two years to reflect the most recent Medicare LUPA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services subject to this methodology are skilled nursing, home health aide, physical therapy, occupational therapy, speech therapy, and medical social services provided by Medicare-certified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early periodic screening, diagnosis, and treatment private duty nursing and personal cares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based on cost reports. </w:t>
      </w:r>
      <w:r>
        <w:rPr>
          <w:rFonts w:ascii="Times New Roman" w:hAnsi="Times New Roman"/>
          <w:b w:val="false"/>
          <w:i w:val="false"/>
          <w:color w:val="000000"/>
          <w:sz w:val="22"/>
        </w:rPr>
        <w:t xml:space="preserve">Reimbursement shall be made using an hourly rate that is calculated retrospectively for each provider, considering reasonable and proper costs of operation not to exceed the upper limit as provided in subrule </w:t>
      </w:r>
      <w:hyperlink r:id="rId275">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Interim rates. Providers shall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the Iowa Medicaid enterprise (IME) may reasonably expect to produce total payments to the provider for the provider’s fiscal year that are consistent with Medicaid’s obligation to reimburse that provider’s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 of cost reports. Cost reports as filed shall be subject to review or audit or both by the Iowa Medicaid enterprise to determine the actual cost of services in accordance with generally accepted accounting principles, Medicare cost principles published in Centers for Medicare and Medicaid Services Publication §15-1, and the Office of Management and Budget Circular A-87, Attachment B,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adjustment. When the reasonable and proper costs of operation are determined, a retroactive adjustment shall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and statistical report submission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complete Financial and Statistical Report, Form 1728-94, in an electronic format approved by the department to the IME provider cost audit and rate setting unit within five months of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financial and statistical report by sending a letter to the IME provider cost audit and rate setting unit. The extension request must be received by the IME provider cost audit and rate setting unit before the original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submit a completed financial and statistical report to the IME provider cost audit and rate setting unit in an electronic format that can be opened using the extension xls or xlsx. The supplemental documentation shall be submitted in a generally accepted business format. The report and required supplemental information shall be emailed to </w:t>
      </w:r>
      <w:hyperlink r:id="rId276">
        <w:r>
          <w:rPr>
            <w:rStyle w:val="Hyperlink"/>
            <w:rFonts w:ascii="Times New Roman" w:hAnsi="Times New Roman"/>
            <w:b w:val="false"/>
            <w:i w:val="false"/>
            <w:color w:val="000000"/>
            <w:sz w:val="22"/>
            <w:u w:val="single"/>
          </w:rPr>
          <w:t>costaudit@dhs.state.ia.us</w:t>
        </w:r>
      </w:hyperlink>
      <w:r>
        <w:rPr>
          <w:rFonts w:ascii="Times New Roman" w:hAnsi="Times New Roman"/>
          <w:b w:val="false"/>
          <w:i w:val="false"/>
          <w:color w:val="000000"/>
          <w:sz w:val="22"/>
        </w:rPr>
        <w:t xml:space="preserve"> on or before the last day of the fifth month after the end of the provider’s fiscal year. One signed copy of the certification page of the Medicaid and Medicare cost reports shall be mailed to the IME Provider Cost Audit and Rate Setting Unit, P.O. Box 36450, Des Moines, Iowa 50315,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fails to submit a cost report that meets the requirement of subparagraph </w:t>
      </w:r>
      <w:hyperlink r:id="rId277">
        <w:r>
          <w:rPr>
            <w:rStyle w:val="Hyperlink"/>
            <w:rFonts w:ascii="Times New Roman" w:hAnsi="Times New Roman"/>
            <w:b w:val="false"/>
            <w:i w:val="false"/>
            <w:color w:val="000000"/>
            <w:sz w:val="22"/>
          </w:rPr>
          <w:t>79.1(27)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department shall reduce payment to 75 percent of the current rate(s).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reduced rate(s) shall be effective the first day of the sixth month following the provider’s fiscal year end and shall remain in effect until the first day of the month after the delinquent report is received by the IME provider cost audit and rate setting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reduced rate(s) shall be paid for no longer than three months, after which time no further payments will be made until the first day of the month after the delinquent report is received by the IME provider cost audit and rate setting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Recoupment of Medicaid payments.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Sanctions pursuant to rule </w:t>
      </w:r>
      <w:hyperlink r:id="rId27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projected cost report shall be submitted when a home health agency enters the program or adds private duty nursing and the personal cares program. Prospective interim rates shall be established using the projected cost report. The effective date of the rate shall be the day the provider becomes certified as a Medicaid provider or the day the new program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provider of services under multiple programs shall submit a cost allocation schedule that was used during the preparation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provider continues to include as an item of cost an item or items which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provider of its obligation to immediately inform the department that it has retained Medicaid funds to which it is not entitled as a result of any cost report process. A provider must notify the Iowa Medicaid enterprise when the provider notes that funds are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Terminated home health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home health agency contemplating termination of private duty nursing and the personal cares program shall provide the department of human services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79">
        <w:r>
          <w:rPr>
            <w:rStyle w:val="Hyperlink"/>
            <w:rFonts w:ascii="Times New Roman" w:hAnsi="Times New Roman"/>
            <w:b w:val="false"/>
            <w:i w:val="false"/>
            <w:color w:val="000000"/>
            <w:sz w:val="22"/>
          </w:rPr>
          <w:t>79.1(27)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facilities that terminate activity with the Iowa Medicaid enterprise, a financial and statistical report from the beginning of the fiscal year to the date of termination will be required, regardless if termination is voluntary, involuntary or due to a change in ownership. All documentation in paragraph </w:t>
      </w:r>
      <w:hyperlink r:id="rId280">
        <w:r>
          <w:rPr>
            <w:rStyle w:val="Hyperlink"/>
            <w:rFonts w:ascii="Times New Roman" w:hAnsi="Times New Roman"/>
            <w:b w:val="false"/>
            <w:i w:val="false"/>
            <w:color w:val="000000"/>
            <w:sz w:val="22"/>
          </w:rPr>
          <w:t>79.1(27)</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submitted 45 days after the date of termination, by the terminated (closed) entity. If no report is received within 45 days, the Iowa Medicaid enterprise will begin the process to recoup all funds for dates of service beginning from the last filed cost report to the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79.1(28)</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community-based neurobehavioral rehabilitation residential services and community-based neurobehavioral rehabilitation intermittent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providers. </w:t>
      </w:r>
      <w:r>
        <w:rPr>
          <w:rFonts w:ascii="Times New Roman" w:hAnsi="Times New Roman"/>
          <w:b w:val="false"/>
          <w:i w:val="false"/>
          <w:color w:val="000000"/>
          <w:sz w:val="22"/>
        </w:rPr>
        <w:t>Providers who are newly enrolled shall be paid prospective rates based on projected reasonable and proper costs of operation based on the statewide average rate paid to community-based neurobehavioral rehabilitation service providers in effect June 30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Established providers. </w:t>
      </w:r>
      <w:r>
        <w:rPr>
          <w:rFonts w:ascii="Times New Roman" w:hAnsi="Times New Roman"/>
          <w:b w:val="false"/>
          <w:i w:val="false"/>
          <w:color w:val="000000"/>
          <w:sz w:val="22"/>
        </w:rPr>
        <w:t>After establishment of the initial rate for a provider, the rate will be adjusted annually, effective July 1 each year. The provider’s new rate shall be the previously established rate adjusted by the consumer price index for all urban consumers for the preceding 12-month period ending June 30, not to exceed the limit in effect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health insurance premium payment (HIPP) program providers. </w:t>
      </w:r>
      <w:r>
        <w:rPr>
          <w:rFonts w:ascii="Times New Roman" w:hAnsi="Times New Roman"/>
          <w:b w:val="false"/>
          <w:i w:val="false"/>
          <w:color w:val="000000"/>
          <w:sz w:val="22"/>
        </w:rPr>
        <w:t>Reimbursement for HIPP program providers shall be provided only when such provider is enrolled with Iowa Medicaid for the sole purpose of billing HIPP-eligible in-network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“Coinsurance”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amount paid for covered health care services before the insurance plan starts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member” </w:t>
      </w:r>
      <w:r>
        <w:rPr>
          <w:rFonts w:ascii="Times New Roman" w:hAnsi="Times New Roman"/>
          <w:b w:val="false"/>
          <w:i w:val="false"/>
          <w:color w:val="000000"/>
          <w:sz w:val="22"/>
        </w:rPr>
        <w:t>means an individual eligible for Medicaid pursuant to rule 441—75.1(249A)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who qualifies for and is participating in the department’s HIPP program prescribed under rule 441—75.21(249A).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premium payment (HIPP)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“HIPP program” </w:t>
      </w:r>
      <w:r>
        <w:rPr>
          <w:rFonts w:ascii="Times New Roman" w:hAnsi="Times New Roman"/>
          <w:b w:val="false"/>
          <w:i w:val="false"/>
          <w:color w:val="000000"/>
          <w:sz w:val="22"/>
        </w:rPr>
        <w:t>has the same meaning as provided in rule 441—75.21(249A).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 submission. </w:t>
      </w:r>
      <w:r>
        <w:rPr>
          <w:rFonts w:ascii="Times New Roman" w:hAnsi="Times New Roman"/>
          <w:b w:val="false"/>
          <w:i w:val="false"/>
          <w:color w:val="000000"/>
          <w:sz w:val="22"/>
        </w:rPr>
        <w:t>To submit a claim for reimbursement, a HIPP provider shall use Form 470-5475, Health Insurance Premium Payment (HIPP) Provider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shall be made to eligible providers for a HIPP-eligible member’s coinsurance, copayment, and deductible, when the HIPP-eligible member is active on the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 responsibility. The eligible member may be responsible for a copayment pursuant to subrule 79.1(13).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79.1(30)</w:t>
      </w:r>
      <w:r>
        <w:rPr>
          <w:rFonts w:ascii="Times New Roman" w:hAnsi="Times New Roman"/>
          <w:b w:val="false"/>
          <w:i w:val="false"/>
          <w:color w:val="000000"/>
          <w:sz w:val="22"/>
        </w:rPr>
        <w:t> </w:t>
      </w:r>
      <w:r>
        <w:rPr>
          <w:rFonts w:ascii="Times New Roman" w:hAnsi="Times New Roman"/>
          <w:b w:val="false"/>
          <w:i/>
          <w:color w:val="000000"/>
          <w:sz w:val="22"/>
        </w:rPr>
        <w:t xml:space="preserve">Tiered rates. </w:t>
      </w:r>
      <w:r>
        <w:rPr>
          <w:rFonts w:ascii="Times New Roman" w:hAnsi="Times New Roman"/>
          <w:b w:val="false"/>
          <w:i w:val="false"/>
          <w:color w:val="000000"/>
          <w:sz w:val="22"/>
        </w:rPr>
        <w:t>For supported community living services, residential-based supported community living services, day habilitation services, and adult day care services provided under the intellectual disability waiver, the fee schedule published by the department pursuant to paragraph 79.1(1)</w:t>
      </w:r>
      <w:r>
        <w:rPr>
          <w:rFonts w:ascii="Times New Roman" w:hAnsi="Times New Roman"/>
          <w:b w:val="false"/>
          <w:i/>
          <w:color w:val="000000"/>
          <w:sz w:val="22"/>
        </w:rPr>
        <w:t>“c”</w:t>
      </w:r>
      <w:r>
        <w:rPr>
          <w:rFonts w:ascii="Times New Roman" w:hAnsi="Times New Roman"/>
          <w:b w:val="false"/>
          <w:i w:val="false"/>
          <w:color w:val="000000"/>
          <w:sz w:val="22"/>
        </w:rPr>
        <w:t xml:space="preserve"> provides rates based on the acuity tier of the member, as determined pursuant to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Acuity tiers are based on the results of the Supports Intensity Scale® (SIS) core standardized assessment. The SIS assessment tool and scoring criteria are available on request from the Iowa Medicaid enterprise, bureau of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assignment of members to acuity tiers is based on a mathematically valid process that identifies meaningful differences in the support needs of the members based on the SIS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40 hours or more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less than 40 hours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this purpose, the “SIS activities score” is the sum total of the subscale raw SIS scores converted to standard scores on the following subsections: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Subsection 2A: Home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Subsection 2B: Community Living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Subsection 2E: Health and Safety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Subsection 2F: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Also used in determining a member’s acuity tier, as provided in paragraphs 79.1(30)</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are the subtotal scores on the following subsections: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Subsection 1A: Exceptional Medical Support Needs, excluding questions 16 through 19;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Subsection 1B: Exceptional Behavioral Support Needs, excluding question 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Subject to adjustment pursuant to paragraph 79.1(30)</w:t>
      </w:r>
      <w:r>
        <w:rPr>
          <w:rFonts w:ascii="Times New Roman" w:hAnsi="Times New Roman"/>
          <w:b w:val="false"/>
          <w:i/>
          <w:color w:val="000000"/>
          <w:sz w:val="22"/>
        </w:rPr>
        <w:t>“g,”</w:t>
      </w:r>
      <w:r>
        <w:rPr>
          <w:rFonts w:ascii="Times New Roman" w:hAnsi="Times New Roman"/>
          <w:b w:val="false"/>
          <w:i w:val="false"/>
          <w:color w:val="000000"/>
          <w:sz w:val="22"/>
        </w:rPr>
        <w:t xml:space="preserve"> acuity tiers are the highest applicable tier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Tier 1: SIS activities score of 0 –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Tier 2: SIS activities score of 26 –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Tier 3: SIS activities score of 41 – 44 or SIS activities score of 0 – 40 and a SIS subsection 1B subtotal score of 6 or higher.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Tier 4: SIS activities score of 45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Tier 5: SIS activities score of 41 or higher and a subsection 1B subtotal score of 7 or higher.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Tier 6: SIS subsection 1A or 1B subtotal score of 14 or higher.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RCF tier: Members residing in a residential care facility (RCF) licensed for six or more beds.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RBSCL tier: Members residing in a residential-based supported community living (RBSCL)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Enhanced tier: An individual member rate negotiated between the department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tier determined pursuant to paragraph 79.1(30)</w:t>
      </w:r>
      <w:r>
        <w:rPr>
          <w:rFonts w:ascii="Times New Roman" w:hAnsi="Times New Roman"/>
          <w:b w:val="false"/>
          <w:i/>
          <w:color w:val="000000"/>
          <w:sz w:val="22"/>
        </w:rPr>
        <w:t>“f”</w:t>
      </w:r>
      <w:r>
        <w:rPr>
          <w:rFonts w:ascii="Times New Roman" w:hAnsi="Times New Roman"/>
          <w:b w:val="false"/>
          <w:i w:val="false"/>
          <w:color w:val="000000"/>
          <w:sz w:val="22"/>
        </w:rPr>
        <w:t xml:space="preserve">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members with a subsection 1A subtotal score of 2 or 3, as provided in subparagraph 79.1(30)</w:t>
      </w:r>
      <w:r>
        <w:rPr>
          <w:rFonts w:ascii="Times New Roman" w:hAnsi="Times New Roman"/>
          <w:b w:val="false"/>
          <w:i/>
          <w:color w:val="000000"/>
          <w:sz w:val="22"/>
        </w:rPr>
        <w:t>“e”</w:t>
      </w:r>
      <w:r>
        <w:rPr>
          <w:rFonts w:ascii="Times New Roman" w:hAnsi="Times New Roman"/>
          <w:b w:val="false"/>
          <w:i w:val="false"/>
          <w:color w:val="000000"/>
          <w:sz w:val="22"/>
        </w:rPr>
        <w:t>(1), but with a response of “extensive support needed” (score = 2) in response to any prompt in subsection 1A, as provided in subparagraph 79.1(30)</w:t>
      </w:r>
      <w:r>
        <w:rPr>
          <w:rFonts w:ascii="Times New Roman" w:hAnsi="Times New Roman"/>
          <w:b w:val="false"/>
          <w:i/>
          <w:color w:val="000000"/>
          <w:sz w:val="22"/>
        </w:rPr>
        <w:t>“e”</w:t>
      </w:r>
      <w:r>
        <w:rPr>
          <w:rFonts w:ascii="Times New Roman" w:hAnsi="Times New Roman"/>
          <w:b w:val="false"/>
          <w:i w:val="false"/>
          <w:color w:val="000000"/>
          <w:sz w:val="22"/>
        </w:rPr>
        <w:t>(1) and an otherwise applicable tier of 1 to 4 pursuant to paragraph 79.1(30)</w:t>
      </w:r>
      <w:r>
        <w:rPr>
          <w:rFonts w:ascii="Times New Roman" w:hAnsi="Times New Roman"/>
          <w:b w:val="false"/>
          <w:i/>
          <w:color w:val="000000"/>
          <w:sz w:val="22"/>
        </w:rPr>
        <w:t>“f,”</w:t>
      </w:r>
      <w:r>
        <w:rPr>
          <w:rFonts w:ascii="Times New Roman" w:hAnsi="Times New Roman"/>
          <w:b w:val="false"/>
          <w:i w:val="false"/>
          <w:color w:val="000000"/>
          <w:sz w:val="22"/>
        </w:rPr>
        <w:t xml:space="preserve"> the tier is increased by one tier.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with a subsection 1A subtotal score of 4 – 9, and an otherwise applicable tier of 1 to 4 pursuant to paragraph 79.1(30)</w:t>
      </w:r>
      <w:r>
        <w:rPr>
          <w:rFonts w:ascii="Times New Roman" w:hAnsi="Times New Roman"/>
          <w:b w:val="false"/>
          <w:i/>
          <w:color w:val="000000"/>
          <w:sz w:val="22"/>
        </w:rPr>
        <w:t>“f,”</w:t>
      </w:r>
      <w:r>
        <w:rPr>
          <w:rFonts w:ascii="Times New Roman" w:hAnsi="Times New Roman"/>
          <w:b w:val="false"/>
          <w:i w:val="false"/>
          <w:color w:val="000000"/>
          <w:sz w:val="22"/>
        </w:rPr>
        <w:t xml:space="preserve"> the tier is increased by one tier.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members with a subsection 1A subtotal score of 10 – 13, and an otherwise applicable tier of 1 to 3 pursuant to paragraph 79.1(30)</w:t>
      </w:r>
      <w:r>
        <w:rPr>
          <w:rFonts w:ascii="Times New Roman" w:hAnsi="Times New Roman"/>
          <w:b w:val="false"/>
          <w:i/>
          <w:color w:val="000000"/>
          <w:sz w:val="22"/>
        </w:rPr>
        <w:t>“f,”</w:t>
      </w:r>
      <w:r>
        <w:rPr>
          <w:rFonts w:ascii="Times New Roman" w:hAnsi="Times New Roman"/>
          <w:b w:val="false"/>
          <w:i w:val="false"/>
          <w:color w:val="000000"/>
          <w:sz w:val="22"/>
        </w:rPr>
        <w:t xml:space="preserve"> the tier is increased by two tiers.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members with a subsection 1A subtotal score of 10 – 13, and an otherwise applicable tier of 4 pursuant to paragraph 79.1(30)</w:t>
      </w:r>
      <w:r>
        <w:rPr>
          <w:rFonts w:ascii="Times New Roman" w:hAnsi="Times New Roman"/>
          <w:b w:val="false"/>
          <w:i/>
          <w:color w:val="000000"/>
          <w:sz w:val="22"/>
        </w:rPr>
        <w:t>“f,”</w:t>
      </w:r>
      <w:r>
        <w:rPr>
          <w:rFonts w:ascii="Times New Roman" w:hAnsi="Times New Roman"/>
          <w:b w:val="false"/>
          <w:i w:val="false"/>
          <w:color w:val="000000"/>
          <w:sz w:val="22"/>
        </w:rPr>
        <w:t xml:space="preserve"> the tier is increased by one tier.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member may receive an enhanced tier rate when approved by the department for fee-for-service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Tier redetermination. A member’s acuity tier may be changed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change in the member’s SIS activity scores as determined in the annual level of care redetermination process pursuant to rule 441—83.64(249A).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completed DHS Form 470-5486, Emergency Needs Assessment, indicates a change in the member’s support needs. A member’s case manager may request an emergency needs assessment when a significant change in the member’s needs is identified. When a completed emergency needs assessment indicates significant changes that are likely to continue in three of the five domains assessed, a full SIS core standardized assessment shall be conducted and any change in the SIS scores will be used to determine the member’s acuity tier.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New providers, provider acquisitions, mergers and change in ownership. Any change in provider enrollment status including, but not limited to, new providers, enrolled providers merging into one or more consolidated provider entities, acquisition or takeover of existing HCBS providers, or change in the majority ownership of a provider on or after December 1, 2017, shall require the new provider entity to use the tiered rate fee schedule in accordance with paragraph 79.1(1)</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7937B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8205B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8206B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8344B</w:t>
      </w:r>
      <w:r>
        <w:rPr>
          <w:rFonts w:ascii="Times New Roman" w:hAnsi="Times New Roman"/>
          <w:b w:val="false"/>
          <w:i w:val="false"/>
          <w:color w:val="000000"/>
          <w:sz w:val="16"/>
        </w:rPr>
        <w:t>, IAB 12/2/09, effective 12/1/09</w:t>
      </w:r>
      <w:r>
        <w:rPr>
          <w:rFonts w:ascii="Times New Roman" w:hAnsi="Times New Roman"/>
          <w:b w:val="false"/>
          <w:i w:val="false"/>
          <w:color w:val="000000"/>
          <w:sz w:val="16"/>
        </w:rPr>
        <w:t xml:space="preserve">; </w:t>
      </w:r>
      <w:r>
        <w:rPr>
          <w:rFonts w:ascii="Times New Roman" w:hAnsi="Times New Roman"/>
          <w:b/>
          <w:i w:val="false"/>
          <w:color w:val="000000"/>
          <w:sz w:val="16"/>
        </w:rPr>
        <w:t>ARC 8643B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8647B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8649B</w:t>
      </w:r>
      <w:r>
        <w:rPr>
          <w:rFonts w:ascii="Times New Roman" w:hAnsi="Times New Roman"/>
          <w:b w:val="false"/>
          <w:i w:val="false"/>
          <w:color w:val="000000"/>
          <w:sz w:val="16"/>
        </w:rPr>
        <w:t>, IAB 4/7/10, effective 3/11/10</w:t>
      </w:r>
      <w:r>
        <w:rPr>
          <w:rFonts w:ascii="Times New Roman" w:hAnsi="Times New Roman"/>
          <w:b w:val="false"/>
          <w:i w:val="false"/>
          <w:color w:val="000000"/>
          <w:sz w:val="16"/>
        </w:rPr>
        <w:t xml:space="preserve">; </w:t>
      </w:r>
      <w:r>
        <w:rPr>
          <w:rFonts w:ascii="Times New Roman" w:hAnsi="Times New Roman"/>
          <w:b/>
          <w:i w:val="false"/>
          <w:color w:val="000000"/>
          <w:sz w:val="16"/>
        </w:rPr>
        <w:t>ARC 8894B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8899B</w:t>
      </w:r>
      <w:r>
        <w:rPr>
          <w:rFonts w:ascii="Times New Roman" w:hAnsi="Times New Roman"/>
          <w:b w:val="false"/>
          <w:i w:val="false"/>
          <w:color w:val="000000"/>
          <w:sz w:val="16"/>
        </w:rPr>
        <w:t>, IAB 6/30/10, effective 7/1/10</w:t>
      </w:r>
      <w:r>
        <w:rPr>
          <w:rFonts w:ascii="Times New Roman" w:hAnsi="Times New Roman"/>
          <w:b w:val="false"/>
          <w:i w:val="false"/>
          <w:color w:val="000000"/>
          <w:sz w:val="16"/>
        </w:rPr>
        <w:t xml:space="preserve">; </w:t>
      </w:r>
      <w:r>
        <w:rPr>
          <w:rFonts w:ascii="Times New Roman" w:hAnsi="Times New Roman"/>
          <w:b/>
          <w:i w:val="false"/>
          <w:color w:val="000000"/>
          <w:sz w:val="16"/>
        </w:rPr>
        <w:t>ARC 9046B</w:t>
      </w:r>
      <w:r>
        <w:rPr>
          <w:rFonts w:ascii="Times New Roman" w:hAnsi="Times New Roman"/>
          <w:b w:val="false"/>
          <w:i w:val="false"/>
          <w:color w:val="000000"/>
          <w:sz w:val="16"/>
        </w:rPr>
        <w:t>, IAB 9/8/10, effective 8/12/10</w:t>
      </w:r>
      <w:r>
        <w:rPr>
          <w:rFonts w:ascii="Times New Roman" w:hAnsi="Times New Roman"/>
          <w:b w:val="false"/>
          <w:i w:val="false"/>
          <w:color w:val="000000"/>
          <w:sz w:val="16"/>
        </w:rPr>
        <w:t xml:space="preserve">; </w:t>
      </w:r>
      <w:r>
        <w:rPr>
          <w:rFonts w:ascii="Times New Roman" w:hAnsi="Times New Roman"/>
          <w:b/>
          <w:i w:val="false"/>
          <w:color w:val="000000"/>
          <w:sz w:val="16"/>
        </w:rPr>
        <w:t>ARC 9127B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9134B</w:t>
      </w:r>
      <w:r>
        <w:rPr>
          <w:rFonts w:ascii="Times New Roman" w:hAnsi="Times New Roman"/>
          <w:b w:val="false"/>
          <w:i w:val="false"/>
          <w:color w:val="000000"/>
          <w:sz w:val="16"/>
        </w:rPr>
        <w:t>, IAB 10/6/10,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9132B</w:t>
      </w:r>
      <w:r>
        <w:rPr>
          <w:rFonts w:ascii="Times New Roman" w:hAnsi="Times New Roman"/>
          <w:b w:val="false"/>
          <w:i w:val="false"/>
          <w:color w:val="000000"/>
          <w:sz w:val="16"/>
        </w:rPr>
        <w:t>, IAB 10/6/10, effective 11/1/10</w:t>
      </w:r>
      <w:r>
        <w:rPr>
          <w:rFonts w:ascii="Times New Roman" w:hAnsi="Times New Roman"/>
          <w:b w:val="false"/>
          <w:i w:val="false"/>
          <w:color w:val="000000"/>
          <w:sz w:val="16"/>
        </w:rPr>
        <w:t xml:space="preserve">; </w:t>
      </w:r>
      <w:r>
        <w:rPr>
          <w:rFonts w:ascii="Times New Roman" w:hAnsi="Times New Roman"/>
          <w:b/>
          <w:i w:val="false"/>
          <w:color w:val="000000"/>
          <w:sz w:val="16"/>
        </w:rPr>
        <w:t>ARC 9176B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9316B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 xml:space="preserve">; </w:t>
      </w:r>
      <w:r>
        <w:rPr>
          <w:rFonts w:ascii="Times New Roman" w:hAnsi="Times New Roman"/>
          <w:b/>
          <w:i w:val="false"/>
          <w:color w:val="000000"/>
          <w:sz w:val="16"/>
        </w:rPr>
        <w:t>ARC 9403B</w:t>
      </w:r>
      <w:r>
        <w:rPr>
          <w:rFonts w:ascii="Times New Roman" w:hAnsi="Times New Roman"/>
          <w:b w:val="false"/>
          <w:i w:val="false"/>
          <w:color w:val="000000"/>
          <w:sz w:val="16"/>
        </w:rPr>
        <w:t>, IAB 3/9/11, effective 5/1/11</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9588B</w:t>
      </w:r>
      <w:r>
        <w:rPr>
          <w:rFonts w:ascii="Times New Roman" w:hAnsi="Times New Roman"/>
          <w:b w:val="false"/>
          <w:i w:val="false"/>
          <w:color w:val="000000"/>
          <w:sz w:val="16"/>
        </w:rPr>
        <w:t>, IAB 6/29/11,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9706B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9708B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9710B</w:t>
      </w:r>
      <w:r>
        <w:rPr>
          <w:rFonts w:ascii="Times New Roman" w:hAnsi="Times New Roman"/>
          <w:b w:val="false"/>
          <w:i w:val="false"/>
          <w:color w:val="000000"/>
          <w:sz w:val="16"/>
        </w:rPr>
        <w:t>, IAB 9/7/11,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9704B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9712B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9714B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9719B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9722B</w:t>
      </w:r>
      <w:r>
        <w:rPr>
          <w:rFonts w:ascii="Times New Roman" w:hAnsi="Times New Roman"/>
          <w:b w:val="false"/>
          <w:i w:val="false"/>
          <w:color w:val="000000"/>
          <w:sz w:val="16"/>
        </w:rPr>
        <w:t>, IAB 9/7/11, effective 9/1/11</w:t>
      </w:r>
      <w:r>
        <w:rPr>
          <w:rFonts w:ascii="Times New Roman" w:hAnsi="Times New Roman"/>
          <w:b w:val="false"/>
          <w:i w:val="false"/>
          <w:color w:val="000000"/>
          <w:sz w:val="16"/>
        </w:rPr>
        <w:t xml:space="preserve">; </w:t>
      </w:r>
      <w:r>
        <w:rPr>
          <w:rFonts w:ascii="Times New Roman" w:hAnsi="Times New Roman"/>
          <w:b/>
          <w:i w:val="false"/>
          <w:color w:val="000000"/>
          <w:sz w:val="16"/>
        </w:rPr>
        <w:t>ARC 9884B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9886B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9887B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9958B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9959B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9960B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9996B</w:t>
      </w:r>
      <w:r>
        <w:rPr>
          <w:rFonts w:ascii="Times New Roman" w:hAnsi="Times New Roman"/>
          <w:b w:val="false"/>
          <w:i w:val="false"/>
          <w:color w:val="000000"/>
          <w:sz w:val="16"/>
        </w:rPr>
        <w:t>, IAB 2/8/12, effective 1/19/12</w:t>
      </w:r>
      <w:r>
        <w:rPr>
          <w:rFonts w:ascii="Times New Roman" w:hAnsi="Times New Roman"/>
          <w:b w:val="false"/>
          <w:i w:val="false"/>
          <w:color w:val="000000"/>
          <w:sz w:val="16"/>
        </w:rPr>
        <w:t xml:space="preserve">; </w:t>
      </w:r>
      <w:r>
        <w:rPr>
          <w:rFonts w:ascii="Times New Roman" w:hAnsi="Times New Roman"/>
          <w:b/>
          <w:i w:val="false"/>
          <w:color w:val="000000"/>
          <w:sz w:val="16"/>
        </w:rPr>
        <w:t>ARC 0028C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i w:val="false"/>
          <w:color w:val="000000"/>
          <w:sz w:val="16"/>
        </w:rPr>
        <w:t>ARC 0029C</w:t>
      </w:r>
      <w:r>
        <w:rPr>
          <w:rFonts w:ascii="Times New Roman" w:hAnsi="Times New Roman"/>
          <w:b w:val="false"/>
          <w:i w:val="false"/>
          <w:color w:val="000000"/>
          <w:sz w:val="16"/>
        </w:rPr>
        <w:t>, IAB 3/7/12, effective 4/11/12</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ARC 9959B nullified (See nullification note at end of chapter); </w:t>
      </w:r>
      <w:r>
        <w:rPr>
          <w:rFonts w:ascii="Times New Roman" w:hAnsi="Times New Roman"/>
          <w:b/>
          <w:i w:val="false"/>
          <w:color w:val="000000"/>
          <w:sz w:val="16"/>
        </w:rPr>
        <w:t>ARC 0191C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0194C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0196C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0198C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0359C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0355C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0354C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0360C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0485C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0545C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0548C</w:t>
      </w:r>
      <w:r>
        <w:rPr>
          <w:rFonts w:ascii="Times New Roman" w:hAnsi="Times New Roman"/>
          <w:b w:val="false"/>
          <w:i w:val="false"/>
          <w:color w:val="000000"/>
          <w:sz w:val="16"/>
        </w:rPr>
        <w:t>, IAB 1/9/13,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0581C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0585C</w:t>
      </w:r>
      <w:r>
        <w:rPr>
          <w:rFonts w:ascii="Times New Roman" w:hAnsi="Times New Roman"/>
          <w:b w:val="false"/>
          <w:i w:val="false"/>
          <w:color w:val="000000"/>
          <w:sz w:val="16"/>
        </w:rPr>
        <w:t>, IAB 2/6/13, effective 1/9/13</w:t>
      </w:r>
      <w:r>
        <w:rPr>
          <w:rFonts w:ascii="Times New Roman" w:hAnsi="Times New Roman"/>
          <w:b w:val="false"/>
          <w:i w:val="false"/>
          <w:color w:val="000000"/>
          <w:sz w:val="16"/>
        </w:rPr>
        <w:t xml:space="preserve">; </w:t>
      </w:r>
      <w:r>
        <w:rPr>
          <w:rFonts w:ascii="Times New Roman" w:hAnsi="Times New Roman"/>
          <w:b/>
          <w:i w:val="false"/>
          <w:color w:val="000000"/>
          <w:sz w:val="16"/>
        </w:rPr>
        <w:t>ARC 0665C</w:t>
      </w:r>
      <w:r>
        <w:rPr>
          <w:rFonts w:ascii="Times New Roman" w:hAnsi="Times New Roman"/>
          <w:b w:val="false"/>
          <w:i w:val="false"/>
          <w:color w:val="000000"/>
          <w:sz w:val="16"/>
        </w:rPr>
        <w:t>, IAB 4/3/13, effective 6/1/13</w:t>
      </w:r>
      <w:r>
        <w:rPr>
          <w:rFonts w:ascii="Times New Roman" w:hAnsi="Times New Roman"/>
          <w:b w:val="false"/>
          <w:i w:val="false"/>
          <w:color w:val="000000"/>
          <w:sz w:val="16"/>
        </w:rPr>
        <w:t xml:space="preserve">; </w:t>
      </w:r>
      <w:r>
        <w:rPr>
          <w:rFonts w:ascii="Times New Roman" w:hAnsi="Times New Roman"/>
          <w:b/>
          <w:i w:val="false"/>
          <w:color w:val="000000"/>
          <w:sz w:val="16"/>
        </w:rPr>
        <w:t>ARC 0708C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0710C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0713C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0757C</w:t>
      </w:r>
      <w:r>
        <w:rPr>
          <w:rFonts w:ascii="Times New Roman" w:hAnsi="Times New Roman"/>
          <w:b w:val="false"/>
          <w:i w:val="false"/>
          <w:color w:val="000000"/>
          <w:sz w:val="16"/>
        </w:rPr>
        <w:t>, IAB 5/29/13, effective 8/1/13</w:t>
      </w:r>
      <w:r>
        <w:rPr>
          <w:rFonts w:ascii="Times New Roman" w:hAnsi="Times New Roman"/>
          <w:b w:val="false"/>
          <w:i w:val="false"/>
          <w:color w:val="000000"/>
          <w:sz w:val="16"/>
        </w:rPr>
        <w:t xml:space="preserve">; </w:t>
      </w:r>
      <w:r>
        <w:rPr>
          <w:rFonts w:ascii="Times New Roman" w:hAnsi="Times New Roman"/>
          <w:b/>
          <w:i w:val="false"/>
          <w:color w:val="000000"/>
          <w:sz w:val="16"/>
        </w:rPr>
        <w:t>ARC 0823C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 xml:space="preserve">; </w:t>
      </w:r>
      <w:r>
        <w:rPr>
          <w:rFonts w:ascii="Times New Roman" w:hAnsi="Times New Roman"/>
          <w:b/>
          <w:i w:val="false"/>
          <w:color w:val="000000"/>
          <w:sz w:val="16"/>
        </w:rPr>
        <w:t>ARC 0838C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0840C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0842C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0848C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0864C</w:t>
      </w:r>
      <w:r>
        <w:rPr>
          <w:rFonts w:ascii="Times New Roman" w:hAnsi="Times New Roman"/>
          <w:b w:val="false"/>
          <w:i w:val="false"/>
          <w:color w:val="000000"/>
          <w:sz w:val="16"/>
        </w:rPr>
        <w:t>, IAB 7/24/13,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0994C</w:t>
      </w:r>
      <w:r>
        <w:rPr>
          <w:rFonts w:ascii="Times New Roman" w:hAnsi="Times New Roman"/>
          <w:b w:val="false"/>
          <w:i w:val="false"/>
          <w:color w:val="000000"/>
          <w:sz w:val="16"/>
        </w:rPr>
        <w:t>, IAB 9/4/13, effective 11/1/13</w:t>
      </w:r>
      <w:r>
        <w:rPr>
          <w:rFonts w:ascii="Times New Roman" w:hAnsi="Times New Roman"/>
          <w:b w:val="false"/>
          <w:i w:val="false"/>
          <w:color w:val="000000"/>
          <w:sz w:val="16"/>
        </w:rPr>
        <w:t xml:space="preserve">; </w:t>
      </w:r>
      <w:r>
        <w:rPr>
          <w:rFonts w:ascii="Times New Roman" w:hAnsi="Times New Roman"/>
          <w:b/>
          <w:i w:val="false"/>
          <w:color w:val="000000"/>
          <w:sz w:val="16"/>
        </w:rPr>
        <w:t>ARC 1051C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1056C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1057C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1058C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1071C</w:t>
      </w:r>
      <w:r>
        <w:rPr>
          <w:rFonts w:ascii="Times New Roman" w:hAnsi="Times New Roman"/>
          <w:b w:val="false"/>
          <w:i w:val="false"/>
          <w:color w:val="000000"/>
          <w:sz w:val="16"/>
        </w:rPr>
        <w:t>, IAB 10/2/13, effective 10/1/13</w:t>
      </w:r>
      <w:r>
        <w:rPr>
          <w:rFonts w:ascii="Times New Roman" w:hAnsi="Times New Roman"/>
          <w:b w:val="false"/>
          <w:i w:val="false"/>
          <w:color w:val="000000"/>
          <w:sz w:val="16"/>
        </w:rPr>
        <w:t xml:space="preserve">; </w:t>
      </w:r>
      <w:r>
        <w:rPr>
          <w:rFonts w:ascii="Times New Roman" w:hAnsi="Times New Roman"/>
          <w:b/>
          <w:i w:val="false"/>
          <w:color w:val="000000"/>
          <w:sz w:val="16"/>
        </w:rPr>
        <w:t>ARC 1150C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1152C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1154C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1481C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1519C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1521C</w:t>
      </w:r>
      <w:r>
        <w:rPr>
          <w:rFonts w:ascii="Times New Roman" w:hAnsi="Times New Roman"/>
          <w:b w:val="false"/>
          <w:i w:val="false"/>
          <w:color w:val="000000"/>
          <w:sz w:val="16"/>
        </w:rPr>
        <w:t>, IAB 7/9/14, effective 7/1/14</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1608C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1609C</w:t>
      </w:r>
      <w:r>
        <w:rPr>
          <w:rFonts w:ascii="Times New Roman" w:hAnsi="Times New Roman"/>
          <w:b w:val="false"/>
          <w:i w:val="false"/>
          <w:color w:val="000000"/>
          <w:sz w:val="16"/>
        </w:rPr>
        <w:t>, IAB 9/3/14, effective 10/8/14</w:t>
      </w:r>
      <w:r>
        <w:rPr>
          <w:rFonts w:ascii="Times New Roman" w:hAnsi="Times New Roman"/>
          <w:b w:val="false"/>
          <w:i w:val="false"/>
          <w:color w:val="000000"/>
          <w:sz w:val="16"/>
        </w:rPr>
        <w:t xml:space="preserve">; </w:t>
      </w:r>
      <w:r>
        <w:rPr>
          <w:rFonts w:ascii="Times New Roman" w:hAnsi="Times New Roman"/>
          <w:b/>
          <w:i w:val="false"/>
          <w:color w:val="000000"/>
          <w:sz w:val="16"/>
        </w:rPr>
        <w:t>ARC 1699C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1697C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1977C</w:t>
      </w:r>
      <w:r>
        <w:rPr>
          <w:rFonts w:ascii="Times New Roman" w:hAnsi="Times New Roman"/>
          <w:b w:val="false"/>
          <w:i w:val="false"/>
          <w:color w:val="000000"/>
          <w:sz w:val="16"/>
        </w:rPr>
        <w:t>, IAB 4/29/15,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2026C</w:t>
      </w:r>
      <w:r>
        <w:rPr>
          <w:rFonts w:ascii="Times New Roman" w:hAnsi="Times New Roman"/>
          <w:b w:val="false"/>
          <w:i w:val="false"/>
          <w:color w:val="000000"/>
          <w:sz w:val="16"/>
        </w:rPr>
        <w:t>, IAB 6/10/15, effective 8/1/15</w:t>
      </w:r>
      <w:r>
        <w:rPr>
          <w:rFonts w:ascii="Times New Roman" w:hAnsi="Times New Roman"/>
          <w:b w:val="false"/>
          <w:i w:val="false"/>
          <w:color w:val="000000"/>
          <w:sz w:val="16"/>
        </w:rPr>
        <w:t xml:space="preserve">; </w:t>
      </w:r>
      <w:r>
        <w:rPr>
          <w:rFonts w:ascii="Times New Roman" w:hAnsi="Times New Roman"/>
          <w:b/>
          <w:i w:val="false"/>
          <w:color w:val="000000"/>
          <w:sz w:val="16"/>
        </w:rPr>
        <w:t>ARC 2075C</w:t>
      </w:r>
      <w:r>
        <w:rPr>
          <w:rFonts w:ascii="Times New Roman" w:hAnsi="Times New Roman"/>
          <w:b w:val="false"/>
          <w:i w:val="false"/>
          <w:color w:val="000000"/>
          <w:sz w:val="16"/>
        </w:rPr>
        <w:t>, IAB 8/5/15,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2167C</w:t>
      </w:r>
      <w:r>
        <w:rPr>
          <w:rFonts w:ascii="Times New Roman" w:hAnsi="Times New Roman"/>
          <w:b w:val="false"/>
          <w:i w:val="false"/>
          <w:color w:val="000000"/>
          <w:sz w:val="16"/>
        </w:rPr>
        <w:t>, IAB 9/30/15,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2471C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2846C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2848C</w:t>
      </w:r>
      <w:r>
        <w:rPr>
          <w:rFonts w:ascii="Times New Roman" w:hAnsi="Times New Roman"/>
          <w:b w:val="false"/>
          <w:i w:val="false"/>
          <w:color w:val="000000"/>
          <w:sz w:val="16"/>
        </w:rPr>
        <w:t>, IAB 12/7/16, effective 11/15/16</w:t>
      </w:r>
      <w:r>
        <w:rPr>
          <w:rFonts w:ascii="Times New Roman" w:hAnsi="Times New Roman"/>
          <w:b w:val="false"/>
          <w:i w:val="false"/>
          <w:color w:val="000000"/>
          <w:sz w:val="16"/>
        </w:rPr>
        <w:t xml:space="preserve">; </w:t>
      </w:r>
      <w:r>
        <w:rPr>
          <w:rFonts w:ascii="Times New Roman" w:hAnsi="Times New Roman"/>
          <w:b/>
          <w:i w:val="false"/>
          <w:color w:val="000000"/>
          <w:sz w:val="16"/>
        </w:rPr>
        <w:t>ARC 2930C</w:t>
      </w:r>
      <w:r>
        <w:rPr>
          <w:rFonts w:ascii="Times New Roman" w:hAnsi="Times New Roman"/>
          <w:b w:val="false"/>
          <w:i w:val="false"/>
          <w:color w:val="000000"/>
          <w:sz w:val="16"/>
        </w:rPr>
        <w:t>, IAB 2/1/17, effective 4/1/17</w:t>
      </w:r>
      <w:r>
        <w:rPr>
          <w:rFonts w:ascii="Times New Roman" w:hAnsi="Times New Roman"/>
          <w:b w:val="false"/>
          <w:i w:val="false"/>
          <w:color w:val="000000"/>
          <w:sz w:val="16"/>
        </w:rPr>
        <w:t xml:space="preserve">; </w:t>
      </w:r>
      <w:r>
        <w:rPr>
          <w:rFonts w:ascii="Times New Roman" w:hAnsi="Times New Roman"/>
          <w:b/>
          <w:i w:val="false"/>
          <w:color w:val="000000"/>
          <w:sz w:val="16"/>
        </w:rPr>
        <w:t>ARC 2932C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2936C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3158C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3161C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3162C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3160C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3159C</w:t>
      </w:r>
      <w:r>
        <w:rPr>
          <w:rFonts w:ascii="Times New Roman" w:hAnsi="Times New Roman"/>
          <w:b w:val="false"/>
          <w:i w:val="false"/>
          <w:color w:val="000000"/>
          <w:sz w:val="16"/>
        </w:rPr>
        <w:t>, IAB 7/5/17,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3294C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3295C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3296C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3292C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3293C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3481C</w:t>
      </w:r>
      <w:r>
        <w:rPr>
          <w:rFonts w:ascii="Times New Roman" w:hAnsi="Times New Roman"/>
          <w:b w:val="false"/>
          <w:i w:val="false"/>
          <w:color w:val="000000"/>
          <w:sz w:val="16"/>
        </w:rPr>
        <w:t>, IAB 12/6/17, effective 12/1/17</w:t>
      </w:r>
      <w:r>
        <w:rPr>
          <w:rFonts w:ascii="Times New Roman" w:hAnsi="Times New Roman"/>
          <w:b w:val="false"/>
          <w:i w:val="false"/>
          <w:color w:val="000000"/>
          <w:sz w:val="16"/>
        </w:rPr>
        <w:t xml:space="preserve">; </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3716C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3790C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 xml:space="preserve">; </w:t>
      </w:r>
      <w:r>
        <w:rPr>
          <w:rFonts w:ascii="Times New Roman" w:hAnsi="Times New Roman"/>
          <w:b/>
          <w:i w:val="false"/>
          <w:color w:val="000000"/>
          <w:sz w:val="16"/>
        </w:rPr>
        <w:t>ARC 4067C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4065C</w:t>
      </w:r>
      <w:r>
        <w:rPr>
          <w:rFonts w:ascii="Times New Roman" w:hAnsi="Times New Roman"/>
          <w:b w:val="false"/>
          <w:i w:val="false"/>
          <w:color w:val="000000"/>
          <w:sz w:val="16"/>
        </w:rPr>
        <w:t>, IAB 10/10/18, effective 12/1/18</w:t>
      </w:r>
      <w:r>
        <w:rPr>
          <w:rFonts w:ascii="Times New Roman" w:hAnsi="Times New Roman"/>
          <w:b w:val="false"/>
          <w:i w:val="false"/>
          <w:color w:val="000000"/>
          <w:sz w:val="16"/>
        </w:rPr>
        <w:t xml:space="preserve">; </w:t>
      </w:r>
      <w:r>
        <w:rPr>
          <w:rFonts w:ascii="Times New Roman" w:hAnsi="Times New Roman"/>
          <w:b/>
          <w:i w:val="false"/>
          <w:color w:val="000000"/>
          <w:sz w:val="16"/>
        </w:rPr>
        <w:t>ARC 4066C</w:t>
      </w:r>
      <w:r>
        <w:rPr>
          <w:rFonts w:ascii="Times New Roman" w:hAnsi="Times New Roman"/>
          <w:b w:val="false"/>
          <w:i w:val="false"/>
          <w:color w:val="000000"/>
          <w:sz w:val="16"/>
        </w:rPr>
        <w:t>, IAB 10/10/18, effective 12/1/18</w:t>
      </w:r>
      <w:r>
        <w:rPr>
          <w:rFonts w:ascii="Times New Roman" w:hAnsi="Times New Roman"/>
          <w:b w:val="false"/>
          <w:i w:val="false"/>
          <w:color w:val="000000"/>
          <w:sz w:val="16"/>
        </w:rPr>
        <w:t xml:space="preserve">; </w:t>
      </w:r>
      <w:r>
        <w:rPr>
          <w:rFonts w:ascii="Times New Roman" w:hAnsi="Times New Roman"/>
          <w:b/>
          <w:i w:val="false"/>
          <w:color w:val="000000"/>
          <w:sz w:val="16"/>
        </w:rPr>
        <w:t>ARC 4068C</w:t>
      </w:r>
      <w:r>
        <w:rPr>
          <w:rFonts w:ascii="Times New Roman" w:hAnsi="Times New Roman"/>
          <w:b w:val="false"/>
          <w:i w:val="false"/>
          <w:color w:val="000000"/>
          <w:sz w:val="16"/>
        </w:rPr>
        <w:t>, IAB 10/10/18, effective 12/1/18</w:t>
      </w:r>
      <w:r>
        <w:rPr>
          <w:rFonts w:ascii="Times New Roman" w:hAnsi="Times New Roman"/>
          <w:b w:val="false"/>
          <w:i w:val="false"/>
          <w:color w:val="000000"/>
          <w:sz w:val="16"/>
        </w:rPr>
        <w:t xml:space="preserve">; </w:t>
      </w:r>
      <w:r>
        <w:rPr>
          <w:rFonts w:ascii="Times New Roman" w:hAnsi="Times New Roman"/>
          <w:b/>
          <w:i w:val="false"/>
          <w:color w:val="000000"/>
          <w:sz w:val="16"/>
        </w:rPr>
        <w:t>ARC 4430C</w:t>
      </w:r>
      <w:r>
        <w:rPr>
          <w:rFonts w:ascii="Times New Roman" w:hAnsi="Times New Roman"/>
          <w:b w:val="false"/>
          <w:i w:val="false"/>
          <w:color w:val="000000"/>
          <w:sz w:val="16"/>
        </w:rPr>
        <w:t>, IAB 5/8/19, effective 7/1/19</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4899C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4974C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5175C</w:t>
      </w:r>
      <w:r>
        <w:rPr>
          <w:rFonts w:ascii="Times New Roman" w:hAnsi="Times New Roman"/>
          <w:b w:val="false"/>
          <w:i w:val="false"/>
          <w:color w:val="000000"/>
          <w:sz w:val="16"/>
        </w:rPr>
        <w:t>, IAB 9/9/20, effective 6/1/21</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5809C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5896C</w:t>
      </w:r>
      <w:r>
        <w:rPr>
          <w:rFonts w:ascii="Times New Roman" w:hAnsi="Times New Roman"/>
          <w:b w:val="false"/>
          <w:i w:val="false"/>
          <w:color w:val="000000"/>
          <w:sz w:val="16"/>
        </w:rPr>
        <w:t>, IAB 9/8/21, effective 8/17/21</w:t>
      </w:r>
      <w:r>
        <w:rPr>
          <w:rFonts w:ascii="Times New Roman" w:hAnsi="Times New Roman"/>
          <w:b w:val="false"/>
          <w:i w:val="false"/>
          <w:color w:val="000000"/>
          <w:sz w:val="16"/>
        </w:rPr>
        <w:t xml:space="preserve">; </w:t>
      </w:r>
      <w:r>
        <w:rPr>
          <w:rFonts w:ascii="Times New Roman" w:hAnsi="Times New Roman"/>
          <w:b/>
          <w:i w:val="false"/>
          <w:color w:val="000000"/>
          <w:sz w:val="16"/>
        </w:rPr>
        <w:t>ARC 6122C</w:t>
      </w:r>
      <w:r>
        <w:rPr>
          <w:rFonts w:ascii="Times New Roman" w:hAnsi="Times New Roman"/>
          <w:b w:val="false"/>
          <w:i w:val="false"/>
          <w:color w:val="000000"/>
          <w:sz w:val="16"/>
        </w:rPr>
        <w:t>, IAB 12/29/21, effective 3/1/22</w:t>
      </w:r>
      <w:r>
        <w:rPr>
          <w:rFonts w:ascii="Times New Roman" w:hAnsi="Times New Roman"/>
          <w:b w:val="false"/>
          <w:i w:val="false"/>
          <w:color w:val="000000"/>
          <w:sz w:val="16"/>
        </w:rPr>
        <w:t xml:space="preserve">; </w:t>
      </w:r>
      <w:r>
        <w:rPr>
          <w:rFonts w:ascii="Times New Roman" w:hAnsi="Times New Roman"/>
          <w:b/>
          <w:i w:val="false"/>
          <w:color w:val="000000"/>
          <w:sz w:val="16"/>
        </w:rPr>
        <w:t>ARC 6625C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6735C</w:t>
      </w:r>
      <w:r>
        <w:rPr>
          <w:rFonts w:ascii="Times New Roman" w:hAnsi="Times New Roman"/>
          <w:b w:val="false"/>
          <w:i w:val="false"/>
          <w:color w:val="000000"/>
          <w:sz w:val="16"/>
        </w:rPr>
        <w:t>, IAB 12/14/22, effective 11/15/22</w:t>
      </w:r>
      <w:r>
        <w:rPr>
          <w:rFonts w:ascii="Times New Roman" w:hAnsi="Times New Roman"/>
          <w:b w:val="false"/>
          <w:i w:val="false"/>
          <w:color w:val="000000"/>
          <w:sz w:val="16"/>
        </w:rPr>
        <w:t xml:space="preserve">; </w:t>
      </w:r>
      <w:r>
        <w:rPr>
          <w:rFonts w:ascii="Times New Roman" w:hAnsi="Times New Roman"/>
          <w:b/>
          <w:i w:val="false"/>
          <w:color w:val="000000"/>
          <w:sz w:val="16"/>
        </w:rPr>
        <w:t>ARC 6781C</w:t>
      </w:r>
      <w:r>
        <w:rPr>
          <w:rFonts w:ascii="Times New Roman" w:hAnsi="Times New Roman"/>
          <w:b w:val="false"/>
          <w:i w:val="false"/>
          <w:color w:val="000000"/>
          <w:sz w:val="16"/>
        </w:rPr>
        <w:t>, IAB 12/28/22, effective 1/1/23</w:t>
      </w:r>
      <w:r>
        <w:rPr>
          <w:rFonts w:ascii="Times New Roman" w:hAnsi="Times New Roman"/>
          <w:b w:val="false"/>
          <w:i w:val="false"/>
          <w:color w:val="000000"/>
          <w:sz w:val="16"/>
        </w:rPr>
        <w:t xml:space="preserve">; </w:t>
      </w:r>
      <w:r>
        <w:rPr>
          <w:rFonts w:ascii="Times New Roman" w:hAnsi="Times New Roman"/>
          <w:b/>
          <w:i w:val="false"/>
          <w:color w:val="000000"/>
          <w:sz w:val="16"/>
        </w:rPr>
        <w:t>ARC 6937C</w:t>
      </w:r>
      <w:r>
        <w:rPr>
          <w:rFonts w:ascii="Times New Roman" w:hAnsi="Times New Roman"/>
          <w:b w:val="false"/>
          <w:i w:val="false"/>
          <w:color w:val="000000"/>
          <w:sz w:val="16"/>
        </w:rPr>
        <w:t>, IAB 3/8/23, effective 5/1/23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441—79.2</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“Affiliates” </w:t>
      </w:r>
      <w:r>
        <w:rPr>
          <w:rFonts w:ascii="Times New Roman" w:hAnsi="Times New Roman"/>
          <w:b w:val="false"/>
          <w:i w:val="false"/>
          <w:color w:val="000000"/>
          <w:sz w:val="22"/>
        </w:rPr>
        <w:t>means persons having an overt or covert relationship such that any one of them directly or indirectly controls or influences or has the power to control or influence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Medicaid enterprise” </w:t>
      </w:r>
      <w:r>
        <w:rPr>
          <w:rFonts w:ascii="Times New Roman" w:hAnsi="Times New Roman"/>
          <w:b w:val="false"/>
          <w:i w:val="false"/>
          <w:color w:val="000000"/>
          <w:sz w:val="22"/>
        </w:rPr>
        <w:t>means the entity comprised of department staff and contractors responsible for the management and reimbursement of Medicaid services for the benefit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human being or any company, firm, association, corporation, institution, or other legal entity. “Person” includes but is not limited to a provider and any affiliate of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means a specified period of conditional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 individual human being, firm, corporation, association, institution, or other legal entity, which is providing or has been approved to provide medical assistance to a member pursuant to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from participation” </w:t>
      </w:r>
      <w:r>
        <w:rPr>
          <w:rFonts w:ascii="Times New Roman" w:hAnsi="Times New Roman"/>
          <w:b w:val="false"/>
          <w:i w:val="false"/>
          <w:color w:val="000000"/>
          <w:sz w:val="22"/>
        </w:rPr>
        <w:t>means an exclusion from participation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“Suspension of payments” </w:t>
      </w:r>
      <w:r>
        <w:rPr>
          <w:rFonts w:ascii="Times New Roman" w:hAnsi="Times New Roman"/>
          <w:b w:val="false"/>
          <w:i w:val="false"/>
          <w:color w:val="000000"/>
          <w:sz w:val="22"/>
        </w:rPr>
        <w:t>means the temporary cessation of payments due a person until the resolution of a matter in dispute between a person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from participation” </w:t>
      </w:r>
      <w:r>
        <w:rPr>
          <w:rFonts w:ascii="Times New Roman" w:hAnsi="Times New Roman"/>
          <w:b w:val="false"/>
          <w:i w:val="false"/>
          <w:color w:val="000000"/>
          <w:sz w:val="22"/>
        </w:rPr>
        <w:t>means a permanent exclusion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“Withholding of payments” </w:t>
      </w:r>
      <w:r>
        <w:rPr>
          <w:rFonts w:ascii="Times New Roman" w:hAnsi="Times New Roman"/>
          <w:b w:val="false"/>
          <w:i w:val="false"/>
          <w:color w:val="000000"/>
          <w:sz w:val="22"/>
        </w:rPr>
        <w:t>means a reduction or adjustment of the amounts paid to a person on pending and subsequently submitted bills for purposes of offsetting payments made to, received by, or in the possession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sanctions. </w:t>
      </w:r>
      <w:r>
        <w:rPr>
          <w:rFonts w:ascii="Times New Roman" w:hAnsi="Times New Roman"/>
          <w:b w:val="false"/>
          <w:i w:val="false"/>
          <w:color w:val="000000"/>
          <w:sz w:val="22"/>
        </w:rPr>
        <w:t>The department may impose sanctions against any person when appropriate. Appropriate grounds for the department to impose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intentionally misleading, or fraudulent claim for services 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meeting prior authorization or level of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lawful demand, failing to disclose or make available to the department, the department’s authorized agent, any law enforcement or peace officer, any agent of the department of inspections and appeals’ Medicaid fraud control unit, any agent of the auditor of state, the Iowa department of justice, any false claims investigator as defined under Iowa Code chapter </w:t>
      </w:r>
      <w:hyperlink r:id="rId282">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 or any other duly authorized federal or state agent or agency records of services provided to medical assistance members or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which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Overutilization of the medical assistance program by inducing, furnishing or otherwise causing a member to receive services or merchandise not required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provision of Iowa Code chapter </w:t>
      </w:r>
      <w:hyperlink r:id="rId28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any rule promulgated pursuant thereto, or violating any federal or state false claims Act, including but not limited to Iowa Code chapter </w:t>
      </w:r>
      <w:hyperlink r:id="rId284">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Breaching any settlement or similar agreement with the department, or failing to abide by the terms of any agreement with any other entity relating to, or arising out of,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participation, including but not limited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Exclusion from Medicare or any other state or federally funded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Failing to correct a deficiency in provider operations after receiving notice of the deficiency from the department or other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Formal reprimand or censure by an association of the provider’s peers or similar entity related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for cause from participation in another program, including but not limited to workers’ compensation or any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Violation of a condition of probation, suspension of payments, or other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Loss, restriction, or lack of hospital privileges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Negligent, reckless, or intentional endangerment of the health, welfare, or safety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Billing for services provided by an excluded, nonenrolled, terminated, suspended, or otherwise ineligible provider or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Attempting, aiding or abetting, conspiring, or knowingly advising or encouraging another person in the commission of one or more of the grounds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any of the following sanctions on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Suspension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Suspension of payments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of claims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withholding of a payment or a recoupment of medical assistance funds is not, in itself, a sanction. Overpayments, civil monetary penalties, and interest may also be withheld from payments without imposition of a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Mandatory suspensions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shall be retroactive to the date established by the Centers for Medicare and Medicaid Services or other state or body and, in the case of a suspension, must continue until at least such time as the Medicare or other state’s or body’s suspension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is mandatory upon entry of final judgment, in the Iowa district court or a federal district court of the United States, of liability of the person in a false claims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from participation is mandatory whenever a person, or an affiliate of the person, has an outstanding overpayment of medical assistance funds, as defined in Iowa Code chapter </w:t>
      </w:r>
      <w:hyperlink r:id="rId28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notification from the U.S. Department of Justice, the Iowa department of justice, the department of inspections and appeals, or a similar agency, that a person has failed to respond to a civil investigative demand or other subpoena in a timely manner as set forth in governing law and the demand or other subpoena itself, the department shall immediately suspend the person from participation and suspend all payments to the person. The suspension and payment suspension shall end upon notification that the person has responded to the demand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shall consider the totality of the circumstances in determining the sanctions to be imposed. The factors the department may consider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provisions of this subrule are violated, the department may sanction any person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79.2(6)</w:t>
      </w:r>
      <w:r>
        <w:rPr>
          <w:rFonts w:ascii="Times New Roman" w:hAnsi="Times New Roman"/>
          <w:b w:val="false"/>
          <w:i w:val="false"/>
          <w:color w:val="000000"/>
          <w:sz w:val="22"/>
        </w:rPr>
        <w:t> </w:t>
      </w:r>
      <w:r>
        <w:rPr>
          <w:rFonts w:ascii="Times New Roman" w:hAnsi="Times New Roman"/>
          <w:b w:val="false"/>
          <w:i/>
          <w:color w:val="000000"/>
          <w:sz w:val="22"/>
        </w:rPr>
        <w:t xml:space="preserve">Notice to third parties. </w:t>
      </w:r>
      <w:r>
        <w:rPr>
          <w:rFonts w:ascii="Times New Roman" w:hAnsi="Times New Roman"/>
          <w:b w:val="false"/>
          <w:i w:val="false"/>
          <w:color w:val="000000"/>
          <w:sz w:val="22"/>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2"/>
        </w:rPr>
        <w:t>42 CFR § 1002.212</w:t>
      </w:r>
      <w:r>
        <w:rPr>
          <w:rFonts w:ascii="Times New Roman" w:hAnsi="Times New Roman"/>
          <w:b w:val="false"/>
          <w:i w:val="false"/>
          <w:color w:val="000000"/>
          <w:sz w:val="22"/>
        </w:rPr>
        <w:t xml:space="preserve">, the department must notify other state agencies, applicable licensing boards, the public, and Medicaid members, as provided in </w:t>
      </w:r>
      <w:r>
        <w:rPr>
          <w:rFonts w:ascii="Times New Roman" w:hAnsi="Times New Roman"/>
          <w:b w:val="false"/>
          <w:i w:val="false"/>
          <w:color w:val="000000"/>
          <w:sz w:val="22"/>
        </w:rPr>
        <w:t>42 CFR §§ 1001.2005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1001.2006</w:t>
      </w:r>
      <w:r>
        <w:rPr>
          <w:rFonts w:ascii="Times New Roman" w:hAnsi="Times New Roman"/>
          <w:b w:val="false"/>
          <w:i w:val="false"/>
          <w:color w:val="000000"/>
          <w:sz w:val="22"/>
        </w:rPr>
        <w:t xml:space="preserve">, whenever the department initiates an exclusion under </w:t>
      </w:r>
      <w:r>
        <w:rPr>
          <w:rFonts w:ascii="Times New Roman" w:hAnsi="Times New Roman"/>
          <w:b w:val="false"/>
          <w:i w:val="false"/>
          <w:color w:val="000000"/>
          <w:sz w:val="22"/>
        </w:rPr>
        <w:t>42 CFR § 1002.210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79.2(7)</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of sanction shall be in writing and include the name of the person subject to sanction, identify the ground for the sanction and its effective date, and be sent to the person’s last-known address. If the department sanctions a provider, the order of sanction shall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shall remain effective pending any subsequent appeal under </w:t>
      </w:r>
      <w:hyperlink r:id="rId28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If the provider attempts to show cause but the department determines the sanction should remain effective pending any subsequent appeal under </w:t>
      </w:r>
      <w:hyperlink r:id="rId28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the provider may seek a temporary stay of the department’s action from the director or the director’s designee by filing an application for stay with the appeals section. The director or the director’s designee shall consider the factors listed in Iowa Code section </w:t>
      </w:r>
      <w:hyperlink r:id="rId288">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79.2(8)</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w:t>
      </w:r>
      <w:r>
        <w:rPr>
          <w:rFonts w:ascii="Times New Roman" w:hAnsi="Times New Roman"/>
          <w:b w:val="false"/>
          <w:i w:val="false"/>
          <w:color w:val="000000"/>
          <w:sz w:val="22"/>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shall notify the person in writing within the time frames prescribed by federal law for cases related to a credible allegation of fraud, and within ten days for all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79.2(9)</w:t>
      </w:r>
      <w:r>
        <w:rPr>
          <w:rFonts w:ascii="Times New Roman" w:hAnsi="Times New Roman"/>
          <w:b w:val="false"/>
          <w:i w:val="false"/>
          <w:color w:val="000000"/>
          <w:sz w:val="22"/>
        </w:rPr>
        <w:t> </w:t>
      </w:r>
      <w:r>
        <w:rPr>
          <w:rFonts w:ascii="Times New Roman" w:hAnsi="Times New Roman"/>
          <w:b w:val="false"/>
          <w:i/>
          <w:color w:val="000000"/>
          <w:sz w:val="22"/>
        </w:rPr>
        <w:t xml:space="preserve">Civil monetary penalties and interest. </w:t>
      </w:r>
      <w:r>
        <w:rPr>
          <w:rFonts w:ascii="Times New Roman" w:hAnsi="Times New Roman"/>
          <w:b w:val="false"/>
          <w:i w:val="false"/>
          <w:color w:val="000000"/>
          <w:sz w:val="22"/>
        </w:rPr>
        <w:t xml:space="preserve">Civil monetary penalties and interest assessed in accordance with </w:t>
      </w:r>
      <w:r>
        <w:rPr>
          <w:rFonts w:ascii="Times New Roman" w:hAnsi="Times New Roman"/>
          <w:b w:val="false"/>
          <w:i w:val="false"/>
          <w:color w:val="000000"/>
          <w:sz w:val="22"/>
        </w:rPr>
        <w:t>2013 Iowa Acts, Senate File 357</w:t>
      </w:r>
      <w:r>
        <w:rPr>
          <w:rFonts w:ascii="Times New Roman" w:hAnsi="Times New Roman"/>
          <w:b w:val="false"/>
          <w:i w:val="false"/>
          <w:color w:val="000000"/>
          <w:sz w:val="22"/>
        </w:rPr>
        <w:t>, section 5 or section 11, are not allowable costs for any aspect of determining payment to a person within the medical assistance program. Under no circumstance shall the department reimburse a person for such civil monetary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79.2(10)</w:t>
      </w:r>
      <w:r>
        <w:rPr>
          <w:rFonts w:ascii="Times New Roman" w:hAnsi="Times New Roman"/>
          <w:b w:val="false"/>
          <w:i w:val="false"/>
          <w:color w:val="000000"/>
          <w:sz w:val="22"/>
        </w:rPr>
        <w:t> </w:t>
      </w:r>
      <w:r>
        <w:rPr>
          <w:rFonts w:ascii="Times New Roman" w:hAnsi="Times New Roman"/>
          <w:b w:val="false"/>
          <w:i/>
          <w:color w:val="000000"/>
          <w:sz w:val="22"/>
        </w:rPr>
        <w:t xml:space="preserve">Report and return of identified overpayment.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has identified an overpayment, the person must report and return the overpayment in the form and manner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has identified an overpayment if the person has actual knowledge of the existence of the overpayment or acts in reckless disregard or deliberate ignorance of the existence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required to be reported under </w:t>
      </w:r>
      <w:r>
        <w:rPr>
          <w:rFonts w:ascii="Times New Roman" w:hAnsi="Times New Roman"/>
          <w:b w:val="false"/>
          <w:i w:val="false"/>
          <w:color w:val="000000"/>
          <w:sz w:val="22"/>
        </w:rPr>
        <w:t>2013 Iowa Acts, Senate File 357</w:t>
      </w:r>
      <w:r>
        <w:rPr>
          <w:rFonts w:ascii="Times New Roman" w:hAnsi="Times New Roman"/>
          <w:b w:val="false"/>
          <w:i w:val="false"/>
          <w:color w:val="000000"/>
          <w:sz w:val="22"/>
        </w:rPr>
        <w:t>, section 3, must be made in writing, addressed to the Program Integrity Unit of the Iowa Medicaid Enterprise, and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error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Claim number(s),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National provider identification (NPI)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the corrective action plan to ensure the error does not occur again,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a corporate integrity agreement with the Office of the Inspector General (OIG) or is under the OIG Self-Disclosure Protocol or is presently under sanction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time frame and the total amount of refund for the period during which the problem existed that caused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a statistical sample was used to determine the overpayment amount, a description of the statistically valid methodology used to determine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refund in the amount of the overpayment.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1695C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441—79.3</w:t>
      </w:r>
      <w:r>
        <w:rPr>
          <w:rFonts w:ascii="Times New Roman" w:hAnsi="Times New Roman"/>
          <w:b/>
          <w:i w:val="false"/>
          <w:color w:val="000000"/>
          <w:sz w:val="22"/>
        </w:rPr>
        <w:t xml:space="preserve">(249A) </w:t>
      </w:r>
      <w:r>
        <w:rPr>
          <w:rFonts w:ascii="Times New Roman" w:hAnsi="Times New Roman"/>
          <w:b/>
          <w:i w:val="false"/>
          <w:color w:val="000000"/>
          <w:sz w:val="22"/>
        </w:rPr>
        <w:t xml:space="preserve">Maintenance of records by providers of service. </w:t>
      </w:r>
      <w:r>
        <w:rPr>
          <w:rFonts w:ascii="Times New Roman" w:hAnsi="Times New Roman"/>
          <w:b w:val="false"/>
          <w:i w:val="false"/>
          <w:color w:val="000000"/>
          <w:sz w:val="22"/>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w:t>
      </w:r>
      <w:r>
        <w:rPr>
          <w:rFonts w:ascii="Times New Roman" w:hAnsi="Times New Roman"/>
          <w:b w:val="false"/>
          <w:i w:val="false"/>
          <w:color w:val="000000"/>
          <w:sz w:val="22"/>
        </w:rPr>
        <w:t> </w:t>
      </w:r>
      <w:r>
        <w:rPr>
          <w:rFonts w:ascii="Times New Roman" w:hAnsi="Times New Roman"/>
          <w:b w:val="false"/>
          <w:i/>
          <w:color w:val="000000"/>
          <w:sz w:val="22"/>
        </w:rPr>
        <w:t xml:space="preserve">Financial (fiscal)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service shall maintain records as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 the determination of the provider’s reimbursement rate under the medical assistance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each item of service for which a charge is made to the medical assistance program. These records include financial records and other records as may be necessary for reporting and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record does not constitute a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79.3(2)</w:t>
      </w:r>
      <w:r>
        <w:rPr>
          <w:rFonts w:ascii="Times New Roman" w:hAnsi="Times New Roman"/>
          <w:b w:val="false"/>
          <w:i w:val="false"/>
          <w:color w:val="000000"/>
          <w:sz w:val="22"/>
        </w:rPr>
        <w:t> </w:t>
      </w:r>
      <w:r>
        <w:rPr>
          <w:rFonts w:ascii="Times New Roman" w:hAnsi="Times New Roman"/>
          <w:b w:val="false"/>
          <w:i/>
          <w:color w:val="000000"/>
          <w:sz w:val="22"/>
        </w:rPr>
        <w:t xml:space="preserve">Medical (clinical) records. </w:t>
      </w:r>
      <w:r>
        <w:rPr>
          <w:rFonts w:ascii="Times New Roman" w:hAnsi="Times New Roman"/>
          <w:b w:val="false"/>
          <w:i w:val="false"/>
          <w:color w:val="000000"/>
          <w:sz w:val="22"/>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“Medical record” (also called “clinical record”) means a tangible history that provides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each service and each activity billed to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and last name of the member receiving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medical record shall provide evidence that the service provided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of the member’s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Consistent with professionally recognized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Basis for service—general rule. General requirements for all services are listed herein. For the application of these requirements to specific services, see paragraph </w:t>
      </w:r>
      <w:hyperlink r:id="rId290">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member’s complaint, symptoms, and diagnosis.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member’s medical or social history.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Examination findings.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Diagnostic test reports, laboratory test results, or X-ray reports.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Goals or needs identified in the member’s plan of care.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Physician orders and any prior authorizations required for Medicaid payment.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records, pharmacy records for prescriptions, or providers’ orders.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Related professional consultation reports.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Progress or status notes for the services or activities provided.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All forms required by the department as a condition of payment for the services provided.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Any treatment plan, care plan, service plan, individual health plan, behavioral intervention plan, or individualized education program.</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The provider’s assessment, clinical impression, diagnosis, or narrative, including the complete date thereof and the identity of the person performing the assessment, clinical impression, diagnosis, or narrative.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Any additional documentation necessary to demonstrate the medical necessity of the service provided or otherwise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specific procedures or treatments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complete date of the service, including the beginning and ending date if the service is rendered over more than one day.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location where the service was provided if otherwise required on the billing form or in </w:t>
      </w:r>
      <w:hyperlink r:id="rId291">
        <w:r>
          <w:rPr>
            <w:rStyle w:val="Hyperlink"/>
            <w:rFonts w:ascii="Times New Roman" w:hAnsi="Times New Roman"/>
            <w:b w:val="false"/>
            <w:i w:val="false"/>
            <w:color w:val="000000"/>
            <w:sz w:val="22"/>
          </w:rPr>
          <w:t>441—paragraph 77.30(5)</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w:t>
      </w:r>
      <w:hyperlink r:id="rId292">
        <w:r>
          <w:rPr>
            <w:rStyle w:val="Hyperlink"/>
            <w:rFonts w:ascii="Times New Roman" w:hAnsi="Times New Roman"/>
            <w:b w:val="false"/>
            <w:i w:val="false"/>
            <w:color w:val="000000"/>
            <w:sz w:val="22"/>
          </w:rPr>
          <w:t>441—paragraph 77.33(6)</w:t>
        </w:r>
        <w:r>
          <w:rPr>
            <w:rFonts w:ascii="Times New Roman" w:hAnsi="Times New Roman"/>
            <w:b w:val="false"/>
            <w:i/>
            <w:color w:val="000000"/>
            <w:sz w:val="22"/>
          </w:rPr>
          <w:t>“d,”</w:t>
        </w:r>
        <w:r>
          <w:rPr>
            <w:rFonts w:ascii="Times New Roman" w:hAnsi="Times New Roman"/>
            <w:b w:val="false"/>
            <w:i w:val="false"/>
            <w:color w:val="000000"/>
            <w:sz w:val="22"/>
          </w:rPr>
          <w:t> </w:t>
        </w:r>
      </w:hyperlink>
      <w:hyperlink r:id="rId293">
        <w:r>
          <w:rPr>
            <w:rStyle w:val="Hyperlink"/>
            <w:rFonts w:ascii="Times New Roman" w:hAnsi="Times New Roman"/>
            <w:b w:val="false"/>
            <w:i w:val="false"/>
            <w:color w:val="000000"/>
            <w:sz w:val="22"/>
          </w:rPr>
          <w:t>441—paragraph 77.34(5)</w:t>
        </w:r>
        <w:r>
          <w:rPr>
            <w:rFonts w:ascii="Times New Roman" w:hAnsi="Times New Roman"/>
            <w:b w:val="false"/>
            <w:i/>
            <w:color w:val="000000"/>
            <w:sz w:val="22"/>
          </w:rPr>
          <w:t>“d,”</w:t>
        </w:r>
      </w:hyperlink>
      <w:r>
        <w:rPr>
          <w:rFonts w:ascii="Times New Roman" w:hAnsi="Times New Roman"/>
          <w:b w:val="false"/>
          <w:i w:val="false"/>
          <w:color w:val="000000"/>
          <w:sz w:val="22"/>
        </w:rPr>
        <w:t> </w:t>
      </w:r>
      <w:hyperlink r:id="rId294">
        <w:r>
          <w:rPr>
            <w:rStyle w:val="Hyperlink"/>
            <w:rFonts w:ascii="Times New Roman" w:hAnsi="Times New Roman"/>
            <w:b w:val="false"/>
            <w:i w:val="false"/>
            <w:color w:val="000000"/>
            <w:sz w:val="22"/>
          </w:rPr>
          <w:t>441—paragraph 77.37(15)</w:t>
        </w:r>
        <w:r>
          <w:rPr>
            <w:rFonts w:ascii="Times New Roman" w:hAnsi="Times New Roman"/>
            <w:b w:val="false"/>
            <w:i/>
            <w:color w:val="000000"/>
            <w:sz w:val="22"/>
          </w:rPr>
          <w:t>“d,”</w:t>
        </w:r>
      </w:hyperlink>
      <w:r>
        <w:rPr>
          <w:rFonts w:ascii="Times New Roman" w:hAnsi="Times New Roman"/>
          <w:b w:val="false"/>
          <w:i w:val="false"/>
          <w:color w:val="000000"/>
          <w:sz w:val="22"/>
        </w:rPr>
        <w:t> </w:t>
      </w:r>
      <w:hyperlink r:id="rId295">
        <w:r>
          <w:rPr>
            <w:rStyle w:val="Hyperlink"/>
            <w:rFonts w:ascii="Times New Roman" w:hAnsi="Times New Roman"/>
            <w:b w:val="false"/>
            <w:i w:val="false"/>
            <w:color w:val="000000"/>
            <w:sz w:val="22"/>
          </w:rPr>
          <w:t>441—paragraph 77.39(13)</w:t>
        </w:r>
        <w:r>
          <w:rPr>
            <w:rFonts w:ascii="Times New Roman" w:hAnsi="Times New Roman"/>
            <w:b w:val="false"/>
            <w:i/>
            <w:color w:val="000000"/>
            <w:sz w:val="22"/>
          </w:rPr>
          <w:t>“e,”</w:t>
        </w:r>
      </w:hyperlink>
      <w:r>
        <w:rPr>
          <w:rFonts w:ascii="Times New Roman" w:hAnsi="Times New Roman"/>
          <w:b w:val="false"/>
          <w:i w:val="false"/>
          <w:color w:val="000000"/>
          <w:sz w:val="22"/>
        </w:rPr>
        <w:t> </w:t>
      </w:r>
      <w:hyperlink r:id="rId296">
        <w:r>
          <w:rPr>
            <w:rStyle w:val="Hyperlink"/>
            <w:rFonts w:ascii="Times New Roman" w:hAnsi="Times New Roman"/>
            <w:b w:val="false"/>
            <w:i w:val="false"/>
            <w:color w:val="000000"/>
            <w:sz w:val="22"/>
          </w:rPr>
          <w:t>441—paragraph 77.39(14)</w:t>
        </w:r>
        <w:r>
          <w:rPr>
            <w:rFonts w:ascii="Times New Roman" w:hAnsi="Times New Roman"/>
            <w:b w:val="false"/>
            <w:i/>
            <w:color w:val="000000"/>
            <w:sz w:val="22"/>
          </w:rPr>
          <w:t>“d,”</w:t>
        </w:r>
      </w:hyperlink>
      <w:r>
        <w:rPr>
          <w:rFonts w:ascii="Times New Roman" w:hAnsi="Times New Roman"/>
          <w:b w:val="false"/>
          <w:i w:val="false"/>
          <w:color w:val="000000"/>
          <w:sz w:val="22"/>
        </w:rPr>
        <w:t>  </w:t>
      </w:r>
      <w:hyperlink r:id="rId297">
        <w:r>
          <w:rPr>
            <w:rStyle w:val="Hyperlink"/>
            <w:rFonts w:ascii="Times New Roman" w:hAnsi="Times New Roman"/>
            <w:b w:val="false"/>
            <w:i w:val="false"/>
            <w:color w:val="000000"/>
            <w:sz w:val="22"/>
          </w:rPr>
          <w:t>441—paragraph 77.46(5)</w:t>
        </w:r>
        <w:r>
          <w:rPr>
            <w:rFonts w:ascii="Times New Roman" w:hAnsi="Times New Roman"/>
            <w:b w:val="false"/>
            <w:i/>
            <w:color w:val="000000"/>
            <w:sz w:val="22"/>
          </w:rPr>
          <w:t>“i,”</w:t>
        </w:r>
      </w:hyperlink>
      <w:r>
        <w:rPr>
          <w:rFonts w:ascii="Times New Roman" w:hAnsi="Times New Roman"/>
          <w:b w:val="false"/>
          <w:i w:val="false"/>
          <w:color w:val="000000"/>
          <w:sz w:val="22"/>
        </w:rPr>
        <w:t xml:space="preserve"> or </w:t>
      </w:r>
      <w:hyperlink r:id="rId298">
        <w:r>
          <w:rPr>
            <w:rStyle w:val="Hyperlink"/>
            <w:rFonts w:ascii="Times New Roman" w:hAnsi="Times New Roman"/>
            <w:b w:val="false"/>
            <w:i w:val="false"/>
            <w:color w:val="000000"/>
            <w:sz w:val="22"/>
          </w:rPr>
          <w:t>441—subparagraph 78.9(10)</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Medication administration record (MAR). The name, dosage, and route of administration of any medication dispensed or administered as part of the service.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Mileage log. The name, date, purpose of the trip, and total miles for transportation provided as part of the service.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Narrative description of any incidents or illnesses or unusual or atypical occurrences that occur during service provision.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supplies dispensed as part of the service.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first and last name and professional credentials, if any, of the person providing the service.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signature of the person providing the service, or the initials of the person providing the service if a signature log indicates the person’s identity.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For 24-hour care, documentation for every shift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of service. The medical record shall indicate the member’s progress in response to the services rendered, including any changes in treatment, alteration of the plan of care, or revision of the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Basis for service requirements for specific services. </w:t>
      </w:r>
      <w:r>
        <w:rPr>
          <w:rFonts w:ascii="Times New Roman" w:hAnsi="Times New Roman"/>
          <w:b w:val="false"/>
          <w:i w:val="false"/>
          <w:color w:val="000000"/>
          <w:sz w:val="22"/>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(MD and DO)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Nursing facility physician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Telephone order.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Pharmacy notes.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Dentist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Treatment notes.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Anesthesia notes and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Podiatrist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Certifying physician statement.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Prescription or order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Preanesthesia physical examination report.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Operative report.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Anesthesia record.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advanced registered nurse practitioner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Optometrist and optician services: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Notes or narratives supporting eye examinations, medical services, and auxiliary procedures.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Original prescription or updated prescriptions for corrective lenses or contact lenses.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Psychologist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psychotherapy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Psychological examination report and notes.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Clinic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rural health clinics or federally qualified health centers: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470-2942, Prenatal Risk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provided by community mental health centers: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 evaluation.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Narratives related to the peer review process and peer review activities related to a member’s treatment.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Written plan for accessing emergency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Screening center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Results of health, vision, or hearing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Family planning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Maternal health center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470-2942, Prenatal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Birthing center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470-2942, Prenatal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notes or narratives (history and physical, consultation, operative report, discharge summary).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notes or narratives (history and physical, consultation, operative report, discharge summary).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Diagnostic procedures, including laboratory and X-ray reports.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State mental hospital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 assessment and initial evaluation.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comprehensive treatment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470-0042, Case Activity Report.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Services provided by skilled nursing facilities, nursing facilities, and nursing facilities for persons with mental illness: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Physical therapy, occupational therapy, and speech therapy notes.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Form 470-0042, Case Activity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intermediate care facilities for persons with mental retardation: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Preliminary evaluation.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Comprehensive functional assessment.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Individual program plan.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Form 470-0374, Resident Care Agreement.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Program documentation.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Form 470-0042, Case Activity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Services provided by psychiatric medical institutions for children: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Form 470-0042, Case Activity Report.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certifications for hospice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Form 470-2618, Election of Medicaid Hospice Benefit.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Form 470-2619, Revocation of Medicaid Hospice Benefit.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Services provided by rehabilitation agencies: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 certification, recertifications, and treatment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Narratives from treatment sessions.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Treatment and daily progress or status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habilitation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plan (initial and subsequent).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for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Comprehensive treatment or service plan (initial and subsequent).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Services provided by area education agencies and local education agencies: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Individualized education program (IEP).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health plan (IHP).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Home health agency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 of care or plan of treatment.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Certifications and recertifications.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Physician, nurse practitioner, physician assistant, or clinical nurse specialist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independent laboratories: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Physician order for each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Documentation on the claim or run report supporting medical necessity of the transport.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Documentation supporting mileage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Services of lead investigation agencies: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Child’s lead level logs (including laboratory results).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Written investigation reports to family, owner of building, child’s medical provider, and local childhood lead poisoning prevention program.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Health education notes, including follow-up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Medical supplies: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Certificate of medical necessity.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Medical equipment invoice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Orthopedic shoe dealer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Certifying physician’s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including HCBS case management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Comprehensive service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Reassessment of member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Incident reports in accordance with </w:t>
      </w:r>
      <w:hyperlink r:id="rId299">
        <w:r>
          <w:rPr>
            <w:rStyle w:val="Hyperlink"/>
            <w:rFonts w:ascii="Times New Roman" w:hAnsi="Times New Roman"/>
            <w:b w:val="false"/>
            <w:i w:val="false"/>
            <w:color w:val="000000"/>
            <w:sz w:val="22"/>
          </w:rPr>
          <w:t>441—subrule 24.4(5)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Early access service coordinator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Individualized family service plan (IFSP).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waiver services, other than case management: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logs,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Mileage and transportation logs.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Log of meal delivery.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Invoices or receipts.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Forms 470-3372, HCBS Consumer-Directed Attendant Care Agreement, and 470-4389, Consumer-Directed Attendant Care (CDAC) Service Record.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Physical therapist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order for physical therapy.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Initial physical therapy certification, recertifications, and treatment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notes and forms.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Chiropractor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X-ray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(38)</w:t>
      </w:r>
      <w:r>
        <w:rPr>
          <w:rFonts w:ascii="Times New Roman" w:hAnsi="Times New Roman"/>
          <w:b w:val="false"/>
          <w:i w:val="false"/>
          <w:color w:val="000000"/>
          <w:sz w:val="22"/>
        </w:rPr>
        <w:t>  </w:t>
      </w:r>
      <w:r>
        <w:rPr>
          <w:rFonts w:ascii="Times New Roman" w:hAnsi="Times New Roman"/>
          <w:b w:val="false"/>
          <w:i w:val="false"/>
          <w:color w:val="000000"/>
          <w:sz w:val="22"/>
        </w:rPr>
        <w:t>Hearing aid dealer and audiologist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Physician examinations and audiological testing (Form 470-0361, Sections A, B, and 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Waiver of informed consent.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(39)</w:t>
      </w:r>
      <w:r>
        <w:rPr>
          <w:rFonts w:ascii="Times New Roman" w:hAnsi="Times New Roman"/>
          <w:b w:val="false"/>
          <w:i w:val="false"/>
          <w:color w:val="000000"/>
          <w:sz w:val="22"/>
        </w:rPr>
        <w:t>  </w:t>
      </w:r>
      <w:r>
        <w:rPr>
          <w:rFonts w:ascii="Times New Roman" w:hAnsi="Times New Roman"/>
          <w:b w:val="false"/>
          <w:i w:val="false"/>
          <w:color w:val="000000"/>
          <w:sz w:val="22"/>
        </w:rPr>
        <w:t>Behavioral health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(40)</w:t>
      </w:r>
      <w:r>
        <w:rPr>
          <w:rFonts w:ascii="Times New Roman" w:hAnsi="Times New Roman"/>
          <w:b w:val="false"/>
          <w:i w:val="false"/>
          <w:color w:val="000000"/>
          <w:sz w:val="22"/>
        </w:rPr>
        <w:t>  </w:t>
      </w:r>
      <w:r>
        <w:rPr>
          <w:rFonts w:ascii="Times New Roman" w:hAnsi="Times New Roman"/>
          <w:b w:val="false"/>
          <w:i w:val="false"/>
          <w:color w:val="000000"/>
          <w:sz w:val="22"/>
        </w:rPr>
        <w:t>Health home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Member’s eligibility.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Comprehensive assessment.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Comprehensive care management plan for members receiving chronic condition health home services, or comprehensive person-centered care plan or service plan for members receiving integrated health home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Care coordination and health promotion plan.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Comprehensive transitional care plan, including appropriate follow-up, if relevant.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Continuity of care document.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Documentation of member and family support (including authorized representatives).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Documentation of referral to community and social support services, if relevant.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Other documentation as applicable, including as outlined in </w:t>
      </w:r>
      <w:hyperlink r:id="rId300">
        <w:r>
          <w:rPr>
            <w:rStyle w:val="Hyperlink"/>
            <w:rFonts w:ascii="Times New Roman" w:hAnsi="Times New Roman"/>
            <w:b w:val="false"/>
            <w:i w:val="false"/>
            <w:color w:val="000000"/>
            <w:sz w:val="22"/>
          </w:rPr>
          <w:t>441—subrule 78.53(5)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(41)</w:t>
      </w:r>
      <w:r>
        <w:rPr>
          <w:rFonts w:ascii="Times New Roman" w:hAnsi="Times New Roman"/>
          <w:b w:val="false"/>
          <w:i w:val="false"/>
          <w:color w:val="000000"/>
          <w:sz w:val="22"/>
        </w:rPr>
        <w:t>  </w:t>
      </w:r>
      <w:r>
        <w:rPr>
          <w:rFonts w:ascii="Times New Roman" w:hAnsi="Times New Roman"/>
          <w:b w:val="false"/>
          <w:i w:val="false"/>
          <w:color w:val="000000"/>
          <w:sz w:val="22"/>
        </w:rPr>
        <w:t>Services of public health agencies: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Results of communicable disease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and community-based neurobehavioral rehabilitation intermittent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Department-approved standardized neurobehavioral assessment tool.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Community-based neurobehavioral treatment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Clinical records documenting diagnosis and treatment history.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Therapy notes including but not limited to occupational therapy, physical therapy, and speech-language pathology services as applicable.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(43)</w:t>
      </w:r>
      <w:r>
        <w:rPr>
          <w:rFonts w:ascii="Times New Roman" w:hAnsi="Times New Roman"/>
          <w:b w:val="false"/>
          <w:i w:val="false"/>
          <w:color w:val="000000"/>
          <w:sz w:val="22"/>
        </w:rPr>
        <w:t>  </w:t>
      </w:r>
      <w:r>
        <w:rPr>
          <w:rFonts w:ascii="Times New Roman" w:hAnsi="Times New Roman"/>
          <w:b w:val="false"/>
          <w:i w:val="false"/>
          <w:color w:val="000000"/>
          <w:sz w:val="22"/>
        </w:rPr>
        <w:t>Child care medical services: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Certification and recertification.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Physician orders or medical orders.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Abbreviation list (a copy of the abbreviation list utilized within the member’s record).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(44)</w:t>
      </w:r>
      <w:r>
        <w:rPr>
          <w:rFonts w:ascii="Times New Roman" w:hAnsi="Times New Roman"/>
          <w:b w:val="false"/>
          <w:i w:val="false"/>
          <w:color w:val="000000"/>
          <w:sz w:val="22"/>
        </w:rPr>
        <w:t>  </w:t>
      </w:r>
      <w:r>
        <w:rPr>
          <w:rFonts w:ascii="Times New Roman" w:hAnsi="Times New Roman"/>
          <w:b w:val="false"/>
          <w:i w:val="false"/>
          <w:color w:val="000000"/>
          <w:sz w:val="22"/>
        </w:rPr>
        <w:t xml:space="preser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(45)</w:t>
      </w:r>
      <w:r>
        <w:rPr>
          <w:rFonts w:ascii="Times New Roman" w:hAnsi="Times New Roman"/>
          <w:b w:val="false"/>
          <w:i w:val="false"/>
          <w:color w:val="000000"/>
          <w:sz w:val="22"/>
        </w:rPr>
        <w:t>  </w:t>
      </w:r>
      <w:r>
        <w:rPr>
          <w:rFonts w:ascii="Times New Roman" w:hAnsi="Times New Roman"/>
          <w:b w:val="false"/>
          <w:i w:val="false"/>
          <w:color w:val="000000"/>
          <w:sz w:val="22"/>
        </w:rPr>
        <w:t xml:space="preserve"> Crisis response services, crisis stabilization community-based services and crisis stabilization residential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A provider may correct the medical record before submitting a claim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Corrections must be made or authorized by the person who provided the service or by a person who has first-hand knowledge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correction must indicate the person making the change and any other person authorizing the change, must be dated and signed by the person making the change, and must be clearly connected with the original entry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correction made after a claim has been submitted affects the accuracy or validity of the claim, an amended claim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79.3(3)</w:t>
      </w:r>
      <w:r>
        <w:rPr>
          <w:rFonts w:ascii="Times New Roman" w:hAnsi="Times New Roman"/>
          <w:b w:val="false"/>
          <w:i w:val="false"/>
          <w:color w:val="000000"/>
          <w:sz w:val="22"/>
        </w:rPr>
        <w:t> </w:t>
      </w:r>
      <w:r>
        <w:rPr>
          <w:rFonts w:ascii="Times New Roman" w:hAnsi="Times New Roman"/>
          <w:b w:val="false"/>
          <w:i/>
          <w:color w:val="000000"/>
          <w:sz w:val="22"/>
        </w:rPr>
        <w:t xml:space="preserve">Maintenance requirement. </w:t>
      </w:r>
      <w:r>
        <w:rPr>
          <w:rFonts w:ascii="Times New Roman" w:hAnsi="Times New Roman"/>
          <w:b w:val="false"/>
          <w:i w:val="false"/>
          <w:color w:val="000000"/>
          <w:sz w:val="22"/>
        </w:rPr>
        <w:t>The provider shall maintain records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time the member is receiving services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minimum of five years from the date when a claim for the service was submitted to the medical assistance program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may be required by any licensing authority or accrediting body associated with determining the provider’s qualifications.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7957B</w:t>
      </w:r>
      <w:r>
        <w:rPr>
          <w:rFonts w:ascii="Times New Roman" w:hAnsi="Times New Roman"/>
          <w:b w:val="false"/>
          <w:i w:val="false"/>
          <w:color w:val="000000"/>
          <w:sz w:val="16"/>
        </w:rPr>
        <w:t>, IAB 7/15/09,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8262B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0198C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0358C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0711C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1695C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2341C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3358C</w:t>
      </w:r>
      <w:r>
        <w:rPr>
          <w:rFonts w:ascii="Times New Roman" w:hAnsi="Times New Roman"/>
          <w:b w:val="false"/>
          <w:i w:val="false"/>
          <w:color w:val="000000"/>
          <w:sz w:val="16"/>
        </w:rPr>
        <w:t>, IAB 10/11/17, effective 10/1/17</w:t>
      </w:r>
      <w:r>
        <w:rPr>
          <w:rFonts w:ascii="Times New Roman" w:hAnsi="Times New Roman"/>
          <w:b w:val="false"/>
          <w:i w:val="false"/>
          <w:color w:val="000000"/>
          <w:sz w:val="16"/>
        </w:rPr>
        <w:t xml:space="preserve">; </w:t>
      </w:r>
      <w:r>
        <w:rPr>
          <w:rFonts w:ascii="Times New Roman" w:hAnsi="Times New Roman"/>
          <w:b/>
          <w:i w:val="false"/>
          <w:color w:val="000000"/>
          <w:sz w:val="16"/>
        </w:rPr>
        <w:t>ARC 3551C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3554C</w:t>
      </w:r>
      <w:r>
        <w:rPr>
          <w:rFonts w:ascii="Times New Roman" w:hAnsi="Times New Roman"/>
          <w:b w:val="false"/>
          <w:i w:val="false"/>
          <w:color w:val="000000"/>
          <w:sz w:val="16"/>
        </w:rPr>
        <w:t>, IAB 1/3/18, effective 2/7/18</w:t>
      </w:r>
      <w:r>
        <w:rPr>
          <w:rFonts w:ascii="Times New Roman" w:hAnsi="Times New Roman"/>
          <w:b w:val="false"/>
          <w:i w:val="false"/>
          <w:color w:val="000000"/>
          <w:sz w:val="16"/>
        </w:rPr>
        <w:t xml:space="preserve">; </w:t>
      </w:r>
      <w:r>
        <w:rPr>
          <w:rFonts w:ascii="Times New Roman" w:hAnsi="Times New Roman"/>
          <w:b/>
          <w:i w:val="false"/>
          <w:color w:val="000000"/>
          <w:sz w:val="16"/>
        </w:rPr>
        <w:t>ARC 3716C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4751C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5487C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6563C</w:t>
      </w:r>
      <w:r>
        <w:rPr>
          <w:rFonts w:ascii="Times New Roman" w:hAnsi="Times New Roman"/>
          <w:b w:val="false"/>
          <w:i w:val="false"/>
          <w:color w:val="000000"/>
          <w:sz w:val="16"/>
        </w:rPr>
        <w:t>, IAB 10/5/22, effective 9/16/22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441—79.4</w:t>
      </w:r>
      <w:r>
        <w:rPr>
          <w:rFonts w:ascii="Times New Roman" w:hAnsi="Times New Roman"/>
          <w:b/>
          <w:i w:val="false"/>
          <w:color w:val="000000"/>
          <w:sz w:val="22"/>
        </w:rPr>
        <w:t xml:space="preserve">(249A) </w:t>
      </w:r>
      <w:r>
        <w:rPr>
          <w:rFonts w:ascii="Times New Roman" w:hAnsi="Times New Roman"/>
          <w:b/>
          <w:i w:val="false"/>
          <w:color w:val="000000"/>
          <w:sz w:val="22"/>
        </w:rPr>
        <w:t xml:space="preserve">Reviews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 </w:t>
      </w:r>
      <w:r>
        <w:rPr>
          <w:rFonts w:ascii="Times New Roman" w:hAnsi="Times New Roman"/>
          <w:b w:val="false"/>
          <w:i w:val="false"/>
          <w:color w:val="000000"/>
          <w:sz w:val="22"/>
        </w:rPr>
        <w:t>within the context of this rule, means the person appointed to carry out audit or review procedures, including assigned auditors, reviewers or agents contracted for specific audits, reviews, or audit or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 </w:t>
      </w:r>
      <w:r>
        <w:rPr>
          <w:rFonts w:ascii="Times New Roman" w:hAnsi="Times New Roman"/>
          <w:b w:val="false"/>
          <w:i w:val="false"/>
          <w:color w:val="000000"/>
          <w:sz w:val="22"/>
        </w:rPr>
        <w:t>means each record received by the department or the Iowa Medicaid enterprise that states the amount of requested payment and the service rendered by a specific and particular Medicaid provider to an eligible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record” </w:t>
      </w:r>
      <w:r>
        <w:rPr>
          <w:rFonts w:ascii="Times New Roman" w:hAnsi="Times New Roman"/>
          <w:b w:val="false"/>
          <w:i w:val="false"/>
          <w:color w:val="000000"/>
          <w:sz w:val="22"/>
        </w:rPr>
        <w:t xml:space="preserve">means a legible electronic or hard-copy history that documents the criteria established for medical records as set forth in rule </w:t>
      </w:r>
      <w:hyperlink r:id="rId30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“Confidence level” </w:t>
      </w:r>
      <w:r>
        <w:rPr>
          <w:rFonts w:ascii="Times New Roman" w:hAnsi="Times New Roman"/>
          <w:b w:val="false"/>
          <w:i w:val="false"/>
          <w:color w:val="000000"/>
          <w:sz w:val="22"/>
        </w:rPr>
        <w:t>means the statistical reliability of the sampling parameters used to estimate the proportion of payment errors (overpayment and underpayment) in the universe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“Customary and prevailing fee” </w:t>
      </w:r>
      <w:r>
        <w:rPr>
          <w:rFonts w:ascii="Times New Roman" w:hAnsi="Times New Roman"/>
          <w:b w:val="false"/>
          <w:i w:val="false"/>
          <w:color w:val="000000"/>
          <w:sz w:val="22"/>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“Extrapolation” </w:t>
      </w:r>
      <w:r>
        <w:rPr>
          <w:rFonts w:ascii="Times New Roman" w:hAnsi="Times New Roman"/>
          <w:b w:val="false"/>
          <w:i w:val="false"/>
          <w:color w:val="000000"/>
          <w:sz w:val="22"/>
        </w:rPr>
        <w:t>means that the total amount of overpayment or underpayment will be determined by using sample data meeting the confidence level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record” </w:t>
      </w:r>
      <w:r>
        <w:rPr>
          <w:rFonts w:ascii="Times New Roman" w:hAnsi="Times New Roman"/>
          <w:b w:val="false"/>
          <w:i w:val="false"/>
          <w:color w:val="000000"/>
          <w:sz w:val="22"/>
        </w:rPr>
        <w:t xml:space="preserve">means a legible electronic or hard-copy history that documents the criteria established for fiscal records as set forth in rule </w:t>
      </w:r>
      <w:hyperlink r:id="rId30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fiscal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any payment or portion of a payment made to a provider that is incorrect according to the laws and rules applicable to the Medicaid program and that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“Procedure code” </w:t>
      </w:r>
      <w:r>
        <w:rPr>
          <w:rFonts w:ascii="Times New Roman" w:hAnsi="Times New Roman"/>
          <w:b w:val="false"/>
          <w:i w:val="false"/>
          <w:color w:val="000000"/>
          <w:sz w:val="22"/>
        </w:rPr>
        <w:t>means the identifier that describes medical or remedial services performed or the supplies, drugs, or equipment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“Random sample” </w:t>
      </w:r>
      <w:r>
        <w:rPr>
          <w:rFonts w:ascii="Times New Roman" w:hAnsi="Times New Roman"/>
          <w:b w:val="false"/>
          <w:i w:val="false"/>
          <w:color w:val="000000"/>
          <w:sz w:val="22"/>
        </w:rPr>
        <w:t>means a statistically valid random sample for which the probability of selection for every item in the universe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“Underpayment” </w:t>
      </w:r>
      <w:r>
        <w:rPr>
          <w:rFonts w:ascii="Times New Roman" w:hAnsi="Times New Roman"/>
          <w:b w:val="false"/>
          <w:i w:val="false"/>
          <w:color w:val="000000"/>
          <w:sz w:val="22"/>
        </w:rPr>
        <w:t>means any payment or portion of a payment not made to a provider for services delivered to eligible members according to the laws and rules applicable to the Medicaid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“Universe” </w:t>
      </w:r>
      <w:r>
        <w:rPr>
          <w:rFonts w:ascii="Times New Roman" w:hAnsi="Times New Roman"/>
          <w:b w:val="false"/>
          <w:i w:val="false"/>
          <w:color w:val="000000"/>
          <w:sz w:val="22"/>
        </w:rPr>
        <w:t>means all items or claims under review or audit during the period specified by the audit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79.4(2)</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of clinical and fiscal records by the department. </w:t>
      </w:r>
      <w:r>
        <w:rPr>
          <w:rFonts w:ascii="Times New Roman" w:hAnsi="Times New Roman"/>
          <w:b w:val="false"/>
          <w:i w:val="false"/>
          <w:color w:val="000000"/>
          <w:sz w:val="22"/>
        </w:rPr>
        <w:t>Any Medicaid provider may be audited or reviewed at any time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Authorized representatives of the department shall have the right, upon proper identification, to audit or review the clinical and fiscal records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correctly paid claims for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clinical and fiscal records that substantiate claims submitted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provided were in accordance with Iowa Medicaid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provider records by the Iowa Medicaid enterprise program integrity unit shall include Form 470-4479, Documentation Checklist, which is available at </w:t>
      </w:r>
      <w:hyperlink r:id="rId304">
        <w:r>
          <w:rPr>
            <w:rStyle w:val="Hyperlink"/>
            <w:rFonts w:ascii="Times New Roman" w:hAnsi="Times New Roman"/>
            <w:b w:val="false"/>
            <w:i w:val="false"/>
            <w:color w:val="000000"/>
            <w:sz w:val="22"/>
            <w:u w:val="single"/>
          </w:rPr>
          <w:t>www.ime.state.ia.us/Providers/Forms.html</w:t>
        </w:r>
      </w:hyperlink>
      <w:r>
        <w:rPr>
          <w:rFonts w:ascii="Times New Roman" w:hAnsi="Times New Roman"/>
          <w:b w:val="false"/>
          <w:i w:val="false"/>
          <w:color w:val="000000"/>
          <w:sz w:val="22"/>
        </w:rPr>
        <w:t xml:space="preserve">, listing the specific records that must be provided for the audit or review pursuant to paragraph </w:t>
      </w:r>
      <w:hyperlink r:id="rId305">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to document the basis for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generated and maintained by the department may be used by auditors or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79.4(3)</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procedures. </w:t>
      </w:r>
      <w:r>
        <w:rPr>
          <w:rFonts w:ascii="Times New Roman" w:hAnsi="Times New Roman"/>
          <w:b w:val="false"/>
          <w:i w:val="false"/>
          <w:color w:val="000000"/>
          <w:sz w:val="22"/>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written request for records, the provider must submit all responsive records to the department or its authorized agent within 30 calendar days of the mailing date of the request, except as provided in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time limit for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required submission date of up to 15 calendar days upon written request from the provider or the provider’s designee. The request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Establish good cause for the delay in submitting the records;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received by the department before the date the records are due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these rules, “good cause” has the same meaning as in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for an extension of the time limit for submitting records at its discretion. The department shall issue a written notice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may appeal the department’s denial of a request to extend the time limit for submission of requested records according to the procedures in </w:t>
      </w:r>
      <w:hyperlink r:id="rId30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conduct announced or unannounced on-site reviews or audits. Records must be provided upon request and before the end of the on-site review 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 announced on-site review or audit, the department’s employee or authorized agent may give as little as one day’s advance notice of the review or audit and the records and supporting documentation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is not required for unannounced on-site reviews and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on-site review or audit, the conclusion of that review or audit shall be considered the end of the period within which to produce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Audit or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Comparing clinical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Interviewing members who received goods or services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Examining third-party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Medicaid charges with private-patient charges to determine that the charge to Medicaid is not more than the customary and prevailing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Examining all documents related to the services for which Medicaid was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statistical sampling techniques. The department’s procedures for auditing or reviewing Medicaid providers may include the use of random sampling and extrapolation.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statistically valid random sample will be selected from the universe of records to be audited or reviewed. The sample size shall be selected using accepted sample size estimation methods. The confidence level of the sample size calculation shall not be less than 95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Commonly accepted statistical analysis programs may be used to estimate the sample size and calculate the confidence interval, consistent with the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audit or review findings generated through statistical sampling procedures shall constitute prima facie evidence in all department proceedings regarding the number and amount of overpayments or underpayments received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Self-audit. The department may require a provider to conduct a self-audit and report the results of the self-audit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79.4(4)</w:t>
      </w:r>
      <w:r>
        <w:rPr>
          <w:rFonts w:ascii="Times New Roman" w:hAnsi="Times New Roman"/>
          <w:b w:val="false"/>
          <w:i w:val="false"/>
          <w:color w:val="000000"/>
          <w:sz w:val="22"/>
        </w:rPr>
        <w:t> </w:t>
      </w:r>
      <w:r>
        <w:rPr>
          <w:rFonts w:ascii="Times New Roman" w:hAnsi="Times New Roman"/>
          <w:b w:val="false"/>
          <w:i/>
          <w:color w:val="000000"/>
          <w:sz w:val="22"/>
        </w:rPr>
        <w:t xml:space="preserve">Preliminary report of audit or review findings. </w:t>
      </w:r>
      <w:r>
        <w:rPr>
          <w:rFonts w:ascii="Times New Roman" w:hAnsi="Times New Roman"/>
          <w:b w:val="false"/>
          <w:i w:val="false"/>
          <w:color w:val="000000"/>
          <w:sz w:val="22"/>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79.4(5)</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audit or review findings. </w:t>
      </w:r>
      <w:r>
        <w:rPr>
          <w:rFonts w:ascii="Times New Roman" w:hAnsi="Times New Roman"/>
          <w:b w:val="false"/>
          <w:i w:val="false"/>
          <w:color w:val="000000"/>
          <w:sz w:val="22"/>
        </w:rPr>
        <w:t>If a provider disagrees with the preliminary finding of a tentative overpayment, the provider may request a reevaluation by the department and may present clarifying information and supplemental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Reevaluation request. </w:t>
      </w:r>
      <w:r>
        <w:rPr>
          <w:rFonts w:ascii="Times New Roman" w:hAnsi="Times New Roman"/>
          <w:b w:val="false"/>
          <w:i w:val="false"/>
          <w:color w:val="000000"/>
          <w:sz w:val="22"/>
        </w:rPr>
        <w:t>A request for reevaluation must be submitted in writing within 15 calendar days of the date of the notice of the preliminary finding of a tentative overpayment. The request must specify the issues of disagreement.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the Iowa Medicaid enterprise surveillance and utilization review services unit, the request should be addressed to: IME SURS Unit, P.O. Box 36390,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any other departmental entity, the request should be addressed to: Iowa Department of Human Services, Attention: Fiscal Management Division, Hoover State Office Building, 1305 E.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A provider that has made a reevaluation request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sampling results. </w:t>
      </w:r>
      <w:r>
        <w:rPr>
          <w:rFonts w:ascii="Times New Roman" w:hAnsi="Times New Roman"/>
          <w:b w:val="false"/>
          <w:i w:val="false"/>
          <w:color w:val="000000"/>
          <w:sz w:val="22"/>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an individual or organization with expertise in coding, medical services, and Iowa Medicaid policy if the issues relate to clinical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 if the issues relate to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that were not audited or reviewed in the department’s sample are in compliance with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 within 60 calendar days of the mailing of the preliminary finding of a tentative overpayment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79.4(6)</w:t>
      </w:r>
      <w:r>
        <w:rPr>
          <w:rFonts w:ascii="Times New Roman" w:hAnsi="Times New Roman"/>
          <w:b w:val="false"/>
          <w:i w:val="false"/>
          <w:color w:val="000000"/>
          <w:sz w:val="22"/>
        </w:rPr>
        <w:t> </w:t>
      </w:r>
      <w:r>
        <w:rPr>
          <w:rFonts w:ascii="Times New Roman" w:hAnsi="Times New Roman"/>
          <w:b w:val="false"/>
          <w:i/>
          <w:color w:val="000000"/>
          <w:sz w:val="22"/>
        </w:rPr>
        <w:t xml:space="preserve">Finding and order for repayment. </w:t>
      </w:r>
      <w:r>
        <w:rPr>
          <w:rFonts w:ascii="Times New Roman" w:hAnsi="Times New Roman"/>
          <w:b w:val="false"/>
          <w:i w:val="false"/>
          <w:color w:val="000000"/>
          <w:sz w:val="22"/>
        </w:rPr>
        <w:t>Upon completion of a requested reevaluation or upon expiration of the time to request reevaluation, the department shall issue a finding and order for repayment of any overpayment and may immediately begin withholding payments on other claims to recover any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79.4(7)</w:t>
      </w:r>
      <w:r>
        <w:rPr>
          <w:rFonts w:ascii="Times New Roman" w:hAnsi="Times New Roman"/>
          <w:b w:val="false"/>
          <w:i w:val="false"/>
          <w:color w:val="000000"/>
          <w:sz w:val="22"/>
        </w:rPr>
        <w:t> </w:t>
      </w:r>
      <w:r>
        <w:rPr>
          <w:rFonts w:ascii="Times New Roman" w:hAnsi="Times New Roman"/>
          <w:b w:val="false"/>
          <w:i/>
          <w:color w:val="000000"/>
          <w:sz w:val="22"/>
        </w:rPr>
        <w:t xml:space="preserve">Appeal by provider of care. </w:t>
      </w:r>
      <w:r>
        <w:rPr>
          <w:rFonts w:ascii="Times New Roman" w:hAnsi="Times New Roman"/>
          <w:b w:val="false"/>
          <w:i w:val="false"/>
          <w:color w:val="000000"/>
          <w:sz w:val="22"/>
        </w:rPr>
        <w:t xml:space="preserve">A provider may appeal the finding and order of repayment and withholding of payments pursuant to </w:t>
      </w:r>
      <w:hyperlink r:id="rId30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However, an appeal shall not stay the withholding of payments or other action to collect the overpayment. Records not provided to the department during the review process set forth in subrule </w:t>
      </w:r>
      <w:hyperlink r:id="rId308">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309">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shall not be admissible in any subsequent contested case proceeding arising out of a finding and order for repayment of any overpayment identified under subrule </w:t>
      </w:r>
      <w:hyperlink r:id="rId310">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xml:space="preserve">. This provision does not preclude providers that have provided records to the department during the review process set forth in subrule </w:t>
      </w:r>
      <w:hyperlink r:id="rId311">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312">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from presenting clarifying information or supplemental documentation in the appeals process in order to defend against any overpayment identified under subrule </w:t>
      </w:r>
      <w:hyperlink r:id="rId313">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This provision is intended to minimize potential duplication of effort and delay in the audit or review process, minimize unnecessary appeals, and otherwise forestall fraud, waste, and abuse in the Iowa Medicaid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0712C</w:t>
      </w:r>
      <w:r>
        <w:rPr>
          <w:rFonts w:ascii="Times New Roman" w:hAnsi="Times New Roman"/>
          <w:b w:val="false"/>
          <w:i w:val="false"/>
          <w:color w:val="000000"/>
          <w:sz w:val="16"/>
        </w:rPr>
        <w:t>, IAB 5/1/13,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1155C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441—79.5</w:t>
      </w:r>
      <w:r>
        <w:rPr>
          <w:rFonts w:ascii="Times New Roman" w:hAnsi="Times New Roman"/>
          <w:b/>
          <w:i w:val="false"/>
          <w:color w:val="000000"/>
          <w:sz w:val="22"/>
        </w:rPr>
        <w:t xml:space="preserve">(249A) </w:t>
      </w:r>
      <w:r>
        <w:rPr>
          <w:rFonts w:ascii="Times New Roman" w:hAnsi="Times New Roman"/>
          <w:b/>
          <w:i w:val="false"/>
          <w:color w:val="000000"/>
          <w:sz w:val="22"/>
        </w:rPr>
        <w:t xml:space="preserve">Nondiscrimination on the basis of handicap. </w:t>
      </w:r>
      <w:r>
        <w:rPr>
          <w:rFonts w:ascii="Times New Roman" w:hAnsi="Times New Roman"/>
          <w:b w:val="false"/>
          <w:i w:val="false"/>
          <w:color w:val="000000"/>
          <w:sz w:val="22"/>
        </w:rPr>
        <w:t xml:space="preserve">All providers of service shall comply with </w:t>
      </w:r>
      <w:r>
        <w:rPr>
          <w:rFonts w:ascii="Times New Roman" w:hAnsi="Times New Roman"/>
          <w:b w:val="false"/>
          <w:i w:val="false"/>
          <w:color w:val="000000"/>
          <w:sz w:val="22"/>
        </w:rPr>
        <w:t>Section 504 of the Rehabilitation Act of 1973</w:t>
      </w:r>
      <w:r>
        <w:rPr>
          <w:rFonts w:ascii="Times New Roman" w:hAnsi="Times New Roman"/>
          <w:b w:val="false"/>
          <w:i w:val="false"/>
          <w:color w:val="000000"/>
          <w:sz w:val="22"/>
        </w:rPr>
        <w:t xml:space="preserve"> and Federal regulations </w:t>
      </w:r>
      <w:r>
        <w:rPr>
          <w:rFonts w:ascii="Times New Roman" w:hAnsi="Times New Roman"/>
          <w:b w:val="false"/>
          <w:i w:val="false"/>
          <w:color w:val="000000"/>
          <w:sz w:val="22"/>
        </w:rPr>
        <w:t>45 CFR Part 84</w:t>
      </w:r>
      <w:r>
        <w:rPr>
          <w:rFonts w:ascii="Times New Roman" w:hAnsi="Times New Roman"/>
          <w:b w:val="false"/>
          <w:i w:val="false"/>
          <w:color w:val="000000"/>
          <w:sz w:val="22"/>
        </w:rPr>
        <w:t>, as amended to December 19, 1990, which prohibit discrimination on the basis of handicap in all Department of Health and Human Services funded programs.</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315">
        <w:r>
          <w:rPr>
            <w:rStyle w:val="Hyperlink"/>
            <w:rFonts w:ascii="Times New Roman" w:hAnsi="Times New Roman"/>
            <w:b w:val="false"/>
            <w:i w:val="false"/>
            <w:color w:val="000000"/>
            <w:sz w:val="22"/>
          </w:rPr>
          <w:t>249A.4(6)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441—79.6</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participation agreement. </w:t>
      </w:r>
      <w:r>
        <w:rPr>
          <w:rFonts w:ascii="Times New Roman" w:hAnsi="Times New Roman"/>
          <w:b w:val="false"/>
          <w:i w:val="false"/>
          <w:color w:val="000000"/>
          <w:sz w:val="22"/>
        </w:rPr>
        <w:t>Providers of medical and health care wishing to participate in the program shall execute an agreement with the department on Form 470-2965, Agreement Between Provider of Medical and Health Services and the Iowa Department of Human Services Regarding Participation in Medical Assistance Program.</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Dental providers are required to complete Form 470-3174, Addendum to Dental Provider Agreement for Orthodontia, to receive reimbursement under the early and periodic screening, diagnosis, and treatment program.</w:t>
      </w:r>
    </w:p>
    <w:p>
      <w:pPr>
        <w:spacing w:before="0" w:after="0"/>
        <w:ind w:left="120"/>
        <w:jc w:val="both"/>
      </w:pPr>
      <w:r>
        <w:rPr>
          <w:rFonts w:ascii="Times New Roman" w:hAnsi="Times New Roman"/>
          <w:b w:val="false"/>
          <w:i w:val="false"/>
          <w:color w:val="000000"/>
          <w:sz w:val="22"/>
        </w:rPr>
        <w:t>In these agreements, the provider agrees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79.6(1)</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clinical and fiscal records as specified in rule </w:t>
      </w:r>
      <w:hyperlink r:id="rId31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79.6(2)</w:t>
      </w:r>
      <w:r>
        <w:rPr>
          <w:rFonts w:ascii="Times New Roman" w:hAnsi="Times New Roman"/>
          <w:b w:val="false"/>
          <w:i w:val="false"/>
          <w:color w:val="000000"/>
          <w:sz w:val="22"/>
        </w:rPr>
        <w:t> </w:t>
      </w:r>
      <w:r>
        <w:rPr>
          <w:rFonts w:ascii="Times New Roman" w:hAnsi="Times New Roman"/>
          <w:b w:val="false"/>
          <w:i w:val="false"/>
          <w:color w:val="000000"/>
          <w:sz w:val="22"/>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79.6(3)</w:t>
      </w:r>
      <w:r>
        <w:rPr>
          <w:rFonts w:ascii="Times New Roman" w:hAnsi="Times New Roman"/>
          <w:b w:val="false"/>
          <w:i w:val="false"/>
          <w:color w:val="000000"/>
          <w:sz w:val="22"/>
        </w:rPr>
        <w:t> </w:t>
      </w:r>
      <w:r>
        <w:rPr>
          <w:rFonts w:ascii="Times New Roman" w:hAnsi="Times New Roman"/>
          <w:b w:val="false"/>
          <w:i w:val="false"/>
          <w:color w:val="000000"/>
          <w:sz w:val="22"/>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441—79.7</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Medical assistance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co-chairperson’s term of office shall be two years. A public co-chairperson shall serve no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 shall have the right to vote on any issue before the council. The public health director co-chairperson serves as a nonvoting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department of human services staff. The initial ballot following July 1, 2019, will be distributed by email prior to the first meeting in that fiscal year in order to identify the public co-chairperson prior to the council’s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co-chairpersons shall appoint members to other committees approved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be responsible for development of the agendas for meetings of the council. Agendas will be developed and distributed in compliance with the advance notice requirements of Iowa Code section </w:t>
      </w:r>
      <w:hyperlink r:id="rId31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Agendas will be developed in consultation with the staff and director of human services, taking into consideration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Workplans.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Requests from the director of human services.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preside over all council meetings, calling roll, determining a quorum, counting votes, and following the agenda for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co-chairpersons shall consult with the department of human services on other administrative tasks to oversee the council and shall participate in workgroups and subcommittees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the council shall be as prescribed in Iowa Code section </w:t>
      </w:r>
      <w:hyperlink r:id="rId319">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Council membership of professional and business entities shall number five and be identified from a vote among those entities outlined in Iowa Code section </w:t>
      </w:r>
      <w:hyperlink r:id="rId320">
        <w:r>
          <w:rPr>
            <w:rStyle w:val="Hyperlink"/>
            <w:rFonts w:ascii="Times New Roman" w:hAnsi="Times New Roman"/>
            <w:b w:val="false"/>
            <w:i w:val="false"/>
            <w:color w:val="000000"/>
            <w:sz w:val="22"/>
          </w:rPr>
          <w:t>249A.4B(3)</w:t>
        </w:r>
      </w:hyperlink>
      <w:r>
        <w:rPr>
          <w:rFonts w:ascii="Times New Roman" w:hAnsi="Times New Roman"/>
          <w:b w:val="false"/>
          <w:i w:val="false"/>
          <w:color w:val="000000"/>
          <w:sz w:val="22"/>
        </w:rPr>
        <w:t>. Professional and business entities shall vote every year to identify the entities and their subsequent representatives that will represent the body of professional and business stakeholders on the council. Professional and business entities will also report their contact information to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initial election in SFY 2020 of five professional and business members shall be held. From this initial election of five members, three members with the most votes shall serve a three-year term and the other two members shall serve a two-year term. Once these members have served their initial term, the length of term for all following elected members shall be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Elections shall be organized along the following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will be distributed at the quarterly meeting closest to the beginning of the next state fiscal year and will be collected in paper and electronic format and counted by department of human services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entities that receive the most votes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any vacancy occur on the council, the entity that received the next highest number of votes in the most recent election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voting entity’s representative does not attend more than three consecutive meetings, the department of human services will notify the entity and representative and verify whether an alternative contact is needed. If a fourth consecutive meeting is missed after the notification, the voting entity’s seat will be considered vacant and will be filled as outlined in </w:t>
      </w:r>
      <w:hyperlink r:id="rId321">
        <w:r>
          <w:rPr>
            <w:rStyle w:val="Hyperlink"/>
            <w:rFonts w:ascii="Times New Roman" w:hAnsi="Times New Roman"/>
            <w:b w:val="false"/>
            <w:i w:val="false"/>
            <w:color w:val="000000"/>
            <w:sz w:val="22"/>
          </w:rPr>
          <w:t>subparagraph 79.7(2)</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Council membership of public representatives shall consist of five representatives, of which one must be a recipient of medical assistance. All five public representatives will be appointed by the governor for staggered terms of two years each. All five public representatives will be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the hawki board, created in Iowa Code section </w:t>
      </w:r>
      <w:hyperlink r:id="rId322">
        <w:r>
          <w:rPr>
            <w:rStyle w:val="Hyperlink"/>
            <w:rFonts w:ascii="Times New Roman" w:hAnsi="Times New Roman"/>
            <w:b w:val="false"/>
            <w:i w:val="false"/>
            <w:color w:val="000000"/>
            <w:sz w:val="22"/>
          </w:rPr>
          <w:t>514I.5</w:t>
        </w:r>
      </w:hyperlink>
      <w:r>
        <w:rPr>
          <w:rFonts w:ascii="Times New Roman" w:hAnsi="Times New Roman"/>
          <w:b w:val="false"/>
          <w:i w:val="false"/>
          <w:color w:val="000000"/>
          <w:sz w:val="22"/>
        </w:rPr>
        <w:t>, selected by the members of the hawki board, shall be a member of the council. The hawki board member representative will be a nonvoting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Council membership shall also consist of state agency and medical school partners, including representatives from the department of public health, the department on aging, the office of the long-term care ombudsman, Des Moines University and the University of Iowa College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Partner agency and medical school representatives will be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agency’s or school’s representative does not attend more than three consecutive meetings, the department of human services will notify the agency or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 agencies and medical schools shall determine the length of appointment of their representatives. The department of human services will confirm each representative’s participation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members of the general assembly shall be members of the council, each for a term of two years as provided in Iowa Code section </w:t>
      </w:r>
      <w:hyperlink r:id="rId323">
        <w:r>
          <w:rPr>
            <w:rStyle w:val="Hyperlink"/>
            <w:rFonts w:ascii="Times New Roman" w:hAnsi="Times New Roman"/>
            <w:b w:val="false"/>
            <w:i w:val="false"/>
            <w:color w:val="000000"/>
            <w:sz w:val="22"/>
          </w:rPr>
          <w:t>69.16B</w:t>
        </w:r>
      </w:hyperlink>
      <w:r>
        <w:rPr>
          <w:rFonts w:ascii="Times New Roman" w:hAnsi="Times New Roman"/>
          <w:b w:val="false"/>
          <w:i w:val="false"/>
          <w:color w:val="000000"/>
          <w:sz w:val="22"/>
        </w:rPr>
        <w:t>.  Members appointed from the general assembly will serve as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members of the house of representatives, one appointed by the speaker of the house of representatives and one appointed by the minority leader of the house of representatives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members of the senate, one appointed by the president of the senate after consultation with the majority leader of the senate and one appointed by the minority leader of the senate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duties and meetings. </w:t>
      </w:r>
      <w:r>
        <w:rPr>
          <w:rFonts w:ascii="Times New Roman" w:hAnsi="Times New Roman"/>
          <w:b w:val="false"/>
          <w:i w:val="false"/>
          <w:color w:val="000000"/>
          <w:sz w:val="22"/>
        </w:rPr>
        <w:t>The responsibility of the medical assistance advisory council is to provide recommendations on the medical assistance program to the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 xml:space="preserve">Recommendations made by the council shall be advisory and not binding upon the department of human services or the professional and business entities represented. The director of the department of human services shall consider the recommendations in the director’s preparation of medical assistance budget recommendations to the council on human services, pursuant to Iowa Code section </w:t>
      </w:r>
      <w:hyperlink r:id="rId324">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and implementation of medical assistance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The council shall be provided with information to deliberate and provide input on the medical assistance program. The council will use that input in making final recommendations to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Council meetings.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council will meet no more than quarterly.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Meetings may be called by the co-chairpersons; upon written request of at least 50 percent of members; or by the director of the department of human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Meetings shall be held in the Des Moines, Iowa, area unless other notification is given. Meetings will also be made available via teleconference, when available.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professional and business entities represented and act as liaison between them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council shall perform other functions as may be provided by state or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93</w:t>
      </w:r>
      <w:r>
        <w:rPr>
          <w:rFonts w:ascii="Times New Roman" w:hAnsi="Times New Roman"/>
          <w:b w:val="false"/>
          <w:i w:val="false"/>
          <w:color w:val="000000"/>
          <w:sz w:val="22"/>
        </w:rPr>
        <w:t>, the council shall regularly review Medicaid managed care. The council shall submit an executive summary of pertinent information regarding deliberations during the prior year relating to Medicaid managed care to the department of human services no later than November 15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94</w:t>
      </w:r>
      <w:r>
        <w:rPr>
          <w:rFonts w:ascii="Times New Roman" w:hAnsi="Times New Roman"/>
          <w:b w:val="false"/>
          <w:i w:val="false"/>
          <w:color w:val="000000"/>
          <w:sz w:val="22"/>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79.7(4)</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50 percent (five persons) of the current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quorum is present, a position is carried by two-thirds of the present council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Minutes of council meetings and other written materials developed by the council shall be distributed by the department to each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79.7(5)</w:t>
      </w:r>
      <w:r>
        <w:rPr>
          <w:rFonts w:ascii="Times New Roman" w:hAnsi="Times New Roman"/>
          <w:b w:val="false"/>
          <w:i w:val="false"/>
          <w:color w:val="000000"/>
          <w:sz w:val="22"/>
        </w:rPr>
        <w:t> </w:t>
      </w:r>
      <w:r>
        <w:rPr>
          <w:rFonts w:ascii="Times New Roman" w:hAnsi="Times New Roman"/>
          <w:b w:val="false"/>
          <w:i/>
          <w:color w:val="000000"/>
          <w:sz w:val="22"/>
        </w:rPr>
        <w:t xml:space="preserve">Expenses, staff support, and technical assistance. </w:t>
      </w:r>
      <w:r>
        <w:rPr>
          <w:rFonts w:ascii="Times New Roman" w:hAnsi="Times New Roman"/>
          <w:b w:val="false"/>
          <w:i w:val="false"/>
          <w:color w:val="000000"/>
          <w:sz w:val="22"/>
        </w:rPr>
        <w:t>Expenses of the council, such as those for clerical services, mailing, telephone, and meeting place, shall be the responsibility of the department of human services. The department shall arrange for a meeting place, related services, and accommodations. The department shall provide staff support and independent technical assistance to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reports, data, and proposed and final amendments to rules, laws, and guidelines to the council for its information,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present the annual budget for the medical assistance program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permit staff members to appear before the council to review and discuss specific information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current list of members on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responsible for the organization of all council meetings and notice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in Iowa Code section </w:t>
      </w:r>
      <w:hyperlink r:id="rId32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minutes of the meetings of the council will be kept by the department. The council will review minutes before distribution to the public.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8263B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3006C</w:t>
      </w:r>
      <w:r>
        <w:rPr>
          <w:rFonts w:ascii="Times New Roman" w:hAnsi="Times New Roman"/>
          <w:b w:val="false"/>
          <w:i w:val="false"/>
          <w:color w:val="000000"/>
          <w:sz w:val="16"/>
        </w:rPr>
        <w:t>, IAB 3/29/17, effective 6/1/17</w:t>
      </w:r>
      <w:r>
        <w:rPr>
          <w:rFonts w:ascii="Times New Roman" w:hAnsi="Times New Roman"/>
          <w:b w:val="false"/>
          <w:i w:val="false"/>
          <w:color w:val="000000"/>
          <w:sz w:val="16"/>
        </w:rPr>
        <w:t xml:space="preserve">; </w:t>
      </w:r>
      <w:r>
        <w:rPr>
          <w:rFonts w:ascii="Times New Roman" w:hAnsi="Times New Roman"/>
          <w:b/>
          <w:i w:val="false"/>
          <w:color w:val="000000"/>
          <w:sz w:val="16"/>
        </w:rPr>
        <w:t>ARC 4975C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441—79.8</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prior authorization. </w:t>
      </w:r>
      <w:r>
        <w:rPr>
          <w:rFonts w:ascii="Times New Roman" w:hAnsi="Times New Roman"/>
          <w:b w:val="false"/>
          <w:i w:val="false"/>
          <w:color w:val="000000"/>
          <w:sz w:val="22"/>
        </w:rPr>
        <w:t>This rule governs requests for prior authorization for services not provided through a managed care organization. For services provided through a managed care organization, the prior authorization request is submitted, reviewed, and authorized by the managed care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79.8(1)</w:t>
      </w:r>
      <w:r>
        <w:rPr>
          <w:rFonts w:ascii="Times New Roman" w:hAnsi="Times New Roman"/>
          <w:b w:val="false"/>
          <w:i w:val="false"/>
          <w:color w:val="000000"/>
          <w:sz w:val="22"/>
        </w:rPr>
        <w:t> </w:t>
      </w:r>
      <w:r>
        <w:rPr>
          <w:rFonts w:ascii="Times New Roman" w:hAnsi="Times New Roman"/>
          <w:b w:val="false"/>
          <w:i/>
          <w:color w:val="000000"/>
          <w:sz w:val="22"/>
        </w:rPr>
        <w:t xml:space="preserve">Making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may submit requests for prior authorization for any items or procedures, other than prescription drugs, by mail or by facsimile transmission (fax) using Form 470-5595, Outpatient Prior Authorization Request,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32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send requests for prior authorization to the Iowa Medicaid enterprise. The request should address the relevant criteria applicable to the particular service, medication or equipment for which prior authorization is sought, according to rule </w:t>
      </w:r>
      <w:hyperlink r:id="rId328">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Copies of history and examination results may be attached to rather than incorporated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prior authorization submitted electronically requires attachments or supporting clinical documentation and a national electronic attachment has not been adopted,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Form 470-0829, Prior Authorization Attachment Control, as the cover sheet for the paper attachments or supporting clinical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on Form 470-0829 the attachment control number submitted on the ASC X12N 278 electronic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79.8(2)</w:t>
      </w:r>
      <w:r>
        <w:rPr>
          <w:rFonts w:ascii="Times New Roman" w:hAnsi="Times New Roman"/>
          <w:b w:val="false"/>
          <w:i w:val="false"/>
          <w:color w:val="000000"/>
          <w:sz w:val="22"/>
        </w:rPr>
        <w:t> </w:t>
      </w:r>
      <w:r>
        <w:rPr>
          <w:rFonts w:ascii="Times New Roman" w:hAnsi="Times New Roman"/>
          <w:b w:val="false"/>
          <w:i w:val="false"/>
          <w:color w:val="000000"/>
          <w:sz w:val="22"/>
        </w:rPr>
        <w:t>The policy applies to services or items specifically designated as requiring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79.8(3)</w:t>
      </w:r>
      <w:r>
        <w:rPr>
          <w:rFonts w:ascii="Times New Roman" w:hAnsi="Times New Roman"/>
          <w:b w:val="false"/>
          <w:i w:val="false"/>
          <w:color w:val="000000"/>
          <w:sz w:val="22"/>
        </w:rPr>
        <w:t> </w:t>
      </w:r>
      <w:r>
        <w:rPr>
          <w:rFonts w:ascii="Times New Roman" w:hAnsi="Times New Roman"/>
          <w:b w:val="false"/>
          <w:i w:val="false"/>
          <w:color w:val="000000"/>
          <w:sz w:val="22"/>
        </w:rPr>
        <w:t>The provider shall receive a notice of approval or denial for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prescription drugs, notices of approval or denial will be faxed to the prescriber and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2"/>
        </w:rPr>
        <w:t>42 CFR 438.210(d)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79.8(4)</w:t>
      </w:r>
      <w:r>
        <w:rPr>
          <w:rFonts w:ascii="Times New Roman" w:hAnsi="Times New Roman"/>
          <w:b w:val="false"/>
          <w:i w:val="false"/>
          <w:color w:val="000000"/>
          <w:sz w:val="22"/>
        </w:rPr>
        <w:t> </w:t>
      </w:r>
      <w:r>
        <w:rPr>
          <w:rFonts w:ascii="Times New Roman" w:hAnsi="Times New Roman"/>
          <w:b w:val="false"/>
          <w:i w:val="false"/>
          <w:color w:val="000000"/>
          <w:sz w:val="22"/>
        </w:rPr>
        <w:t>Prior authorizations approved because a decision is not timely made shall not be considered a precedent for future similar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79.8(5)</w:t>
      </w:r>
      <w:r>
        <w:rPr>
          <w:rFonts w:ascii="Times New Roman" w:hAnsi="Times New Roman"/>
          <w:b w:val="false"/>
          <w:i w:val="false"/>
          <w:color w:val="000000"/>
          <w:sz w:val="22"/>
        </w:rPr>
        <w:t> </w:t>
      </w:r>
      <w:r>
        <w:rPr>
          <w:rFonts w:ascii="Times New Roman" w:hAnsi="Times New Roman"/>
          <w:b w:val="false"/>
          <w:i w:val="false"/>
          <w:color w:val="000000"/>
          <w:sz w:val="22"/>
        </w:rPr>
        <w:t>Approved prior authorization applies to covered services and does not apply to the recipient’s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is unsure if an item or service is covered because it is rare or unusual, the provider may submit a request for prior approval in the same manner as other requests for prior approval in </w:t>
      </w:r>
      <w:hyperlink r:id="rId329">
        <w:r>
          <w:rPr>
            <w:rStyle w:val="Hyperlink"/>
            <w:rFonts w:ascii="Times New Roman" w:hAnsi="Times New Roman"/>
            <w:b w:val="false"/>
            <w:i w:val="false"/>
            <w:color w:val="000000"/>
            <w:sz w:val="22"/>
          </w:rPr>
          <w:t>79.8(1)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79.8(7)</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prior approval of services shall be reviewed according to rule </w:t>
      </w:r>
      <w:hyperlink r:id="rId330">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 xml:space="preserve">(249A) and the conditions for payment as established by rule in </w:t>
      </w:r>
      <w:hyperlink r:id="rId331">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ambiguity exists as to whether a particular item or service is covered, requests for prior approval shall be reviewed according to the following criteria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conditions for payment outlined in the provider manual with reference to coverage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made by the Medicare program unless specifically stated differently in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recommendation to the department from the appropriate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other less expensive procedures which are covered and which would be 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advice of an appropriate professional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Iowa Medicaid enterprise has not reached a decision on a request for prior authorization after 60 days from the date of receipt,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duration and scope of the Medicaid program is outlined in </w:t>
      </w:r>
      <w:hyperlink r:id="rId332">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w:t>
      </w:r>
      <w:hyperlink r:id="rId333">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w:t>
      </w:r>
      <w:hyperlink r:id="rId334">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335">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33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Additional clarification of the policies is available in the provider manual distributed and updated to all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79.8(9)</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Medicaid enterprise shall issue a notice of decision to the recipient upon a denial of request for prior approval pursuant to </w:t>
      </w:r>
      <w:hyperlink r:id="rId33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Iowa Medicaid enterprise shall mail the notice of decision to the recipient within five working days of the date the prior approval form is returned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79.8(10)</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prior approval is denied by the Iowa Medicaid enterprise, the request may be resubmitted for reconsideration with additional information justifying the request. The aggrieved party may file an appeal in accordance with </w:t>
      </w:r>
      <w:hyperlink r:id="rId3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4751C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5362C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441—79.9</w:t>
      </w:r>
      <w:r>
        <w:rPr>
          <w:rFonts w:ascii="Times New Roman" w:hAnsi="Times New Roman"/>
          <w:b/>
          <w:i w:val="false"/>
          <w:color w:val="000000"/>
          <w:sz w:val="22"/>
        </w:rPr>
        <w:t xml:space="preserve">(249A) </w:t>
      </w:r>
      <w:r>
        <w:rPr>
          <w:rFonts w:ascii="Times New Roman" w:hAnsi="Times New Roman"/>
          <w:b/>
          <w:i w:val="false"/>
          <w:color w:val="000000"/>
          <w:sz w:val="22"/>
        </w:rPr>
        <w:t xml:space="preserve">General provisions for Medicaid coverage applicable to all Medicaid providers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w:t>
      </w:r>
      <w:r>
        <w:rPr>
          <w:rFonts w:ascii="Times New Roman" w:hAnsi="Times New Roman"/>
          <w:b w:val="false"/>
          <w:i w:val="false"/>
          <w:color w:val="000000"/>
          <w:sz w:val="22"/>
        </w:rPr>
        <w:t> </w:t>
      </w:r>
      <w:r>
        <w:rPr>
          <w:rFonts w:ascii="Times New Roman" w:hAnsi="Times New Roman"/>
          <w:b w:val="false"/>
          <w:i w:val="false"/>
          <w:color w:val="000000"/>
          <w:sz w:val="22"/>
        </w:rPr>
        <w:t>Medicare definitions and policies shall apply to services provided unless specifically defined differently.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79.9(2)</w:t>
      </w:r>
      <w:r>
        <w:rPr>
          <w:rFonts w:ascii="Times New Roman" w:hAnsi="Times New Roman"/>
          <w:b w:val="false"/>
          <w:i w:val="false"/>
          <w:color w:val="000000"/>
          <w:sz w:val="22"/>
        </w:rPr>
        <w:t> </w:t>
      </w:r>
      <w:r>
        <w:rPr>
          <w:rFonts w:ascii="Times New Roman" w:hAnsi="Times New Roman"/>
          <w:b w:val="false"/>
          <w:i w:val="false"/>
          <w:color w:val="000000"/>
          <w:sz w:val="22"/>
        </w:rPr>
        <w:t>The services covered by Medicaid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consistent with the diagnosis and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accordance with standards of good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required to meet the medical need of the patient and be for reasons other than the convenience of the patient or the patient’s practitioner or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the least costly type of service which would reasonably meet the medical need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eligible for federal financial participation unless specifically covered by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within the scope of the licensure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provided with the full knowledge and consent of the recipient or someone acting in the recipient’s behalf unless otherwise required by law or court order or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Be supplied by a provider who is eligible to participate in the Medicaid program. The provider must use the billing procedures and documentation requirements described in </w:t>
      </w:r>
      <w:hyperlink r:id="rId340">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and </w:t>
      </w:r>
      <w:hyperlink r:id="rId341">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79.9(3)</w:t>
      </w:r>
      <w:r>
        <w:rPr>
          <w:rFonts w:ascii="Times New Roman" w:hAnsi="Times New Roman"/>
          <w:b w:val="false"/>
          <w:i w:val="false"/>
          <w:color w:val="000000"/>
          <w:sz w:val="22"/>
        </w:rPr>
        <w:t> </w:t>
      </w:r>
      <w:r>
        <w:rPr>
          <w:rFonts w:ascii="Times New Roman" w:hAnsi="Times New Roman"/>
          <w:b w:val="false"/>
          <w:i w:val="false"/>
          <w:color w:val="000000"/>
          <w:sz w:val="22"/>
        </w:rPr>
        <w:t>Providers shall supply all the same services to Medicaid eligibles served by the provider as are offered to other clients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79.9(4)</w:t>
      </w:r>
      <w:r>
        <w:rPr>
          <w:rFonts w:ascii="Times New Roman" w:hAnsi="Times New Roman"/>
          <w:b w:val="false"/>
          <w:i w:val="false"/>
          <w:color w:val="000000"/>
          <w:sz w:val="22"/>
        </w:rPr>
        <w:t> </w:t>
      </w:r>
      <w:r>
        <w:rPr>
          <w:rFonts w:ascii="Times New Roman" w:hAnsi="Times New Roman"/>
          <w:b w:val="false"/>
          <w:i w:val="false"/>
          <w:color w:val="000000"/>
          <w:sz w:val="22"/>
        </w:rPr>
        <w:t>Recipients must be informed before the service is provided that the recipient will be responsible for the bill if a noncovered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79.9(5)</w:t>
      </w:r>
      <w:r>
        <w:rPr>
          <w:rFonts w:ascii="Times New Roman" w:hAnsi="Times New Roman"/>
          <w:b w:val="false"/>
          <w:i w:val="false"/>
          <w:color w:val="000000"/>
          <w:sz w:val="22"/>
        </w:rPr>
        <w:t> </w:t>
      </w:r>
      <w:r>
        <w:rPr>
          <w:rFonts w:ascii="Times New Roman" w:hAnsi="Times New Roman"/>
          <w:b w:val="false"/>
          <w:i w:val="false"/>
          <w:color w:val="000000"/>
          <w:sz w:val="22"/>
        </w:rPr>
        <w:t>Coverage in public institutions. Medical services provided to a person while the person is an inmate of a public jail, prison, juvenile detention center, or other public penal institution of more than four beds are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79.9(6)</w:t>
      </w:r>
      <w:r>
        <w:rPr>
          <w:rFonts w:ascii="Times New Roman" w:hAnsi="Times New Roman"/>
          <w:b w:val="false"/>
          <w:i w:val="false"/>
          <w:color w:val="000000"/>
          <w:sz w:val="22"/>
        </w:rPr>
        <w:t> </w:t>
      </w:r>
      <w:r>
        <w:rPr>
          <w:rFonts w:ascii="Times New Roman" w:hAnsi="Times New Roman"/>
          <w:b w:val="false"/>
          <w:i w:val="false"/>
          <w:color w:val="000000"/>
          <w:sz w:val="22"/>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79.9(7)</w:t>
      </w:r>
      <w:r>
        <w:rPr>
          <w:rFonts w:ascii="Times New Roman" w:hAnsi="Times New Roman"/>
          <w:b w:val="false"/>
          <w:i w:val="false"/>
          <w:color w:val="000000"/>
          <w:sz w:val="22"/>
        </w:rPr>
        <w:t> </w:t>
      </w:r>
      <w:r>
        <w:rPr>
          <w:rFonts w:ascii="Times New Roman" w:hAnsi="Times New Roman"/>
          <w:b w:val="false"/>
          <w:i w:val="false"/>
          <w:color w:val="000000"/>
          <w:sz w:val="22"/>
        </w:rPr>
        <w:t>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42">
        <w:r>
          <w:rPr>
            <w:rStyle w:val="Hyperlink"/>
            <w:rFonts w:ascii="Times New Roman" w:hAnsi="Times New Roman"/>
            <w:b w:val="false"/>
            <w:i w:val="false"/>
            <w:color w:val="000000"/>
            <w:sz w:val="22"/>
          </w:rPr>
          <w:t>79.9(7)</w:t>
        </w:r>
        <w:r>
          <w:rPr>
            <w:rFonts w:ascii="Times New Roman" w:hAnsi="Times New Roman"/>
            <w:b w:val="false"/>
            <w:i/>
            <w:color w:val="000000"/>
            <w:sz w:val="22"/>
          </w:rPr>
          <w:t>“b,”</w:t>
        </w:r>
      </w:hyperlink>
      <w:r>
        <w:rPr>
          <w:rFonts w:ascii="Times New Roman" w:hAnsi="Times New Roman"/>
          <w:b w:val="false"/>
          <w:i w:val="false"/>
          <w:color w:val="000000"/>
          <w:sz w:val="22"/>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43">
        <w:r>
          <w:rPr>
            <w:rStyle w:val="Hyperlink"/>
            <w:rFonts w:ascii="Times New Roman" w:hAnsi="Times New Roman"/>
            <w:b w:val="false"/>
            <w:i w:val="false"/>
            <w:color w:val="000000"/>
            <w:sz w:val="22"/>
          </w:rPr>
          <w:t>79.9(7)</w:t>
        </w:r>
        <w:r>
          <w:rPr>
            <w:rFonts w:ascii="Times New Roman" w:hAnsi="Times New Roman"/>
            <w:b w:val="false"/>
            <w:i/>
            <w:color w:val="000000"/>
            <w:sz w:val="22"/>
          </w:rPr>
          <w:t>“a,”</w:t>
        </w:r>
      </w:hyperlink>
      <w:r>
        <w:rPr>
          <w:rFonts w:ascii="Times New Roman" w:hAnsi="Times New Roman"/>
          <w:b w:val="false"/>
          <w:i w:val="false"/>
          <w:color w:val="000000"/>
          <w:sz w:val="22"/>
        </w:rPr>
        <w:t xml:space="preserve"> medical assistance funds are not incorrectly paid when an individual who serves as a member’s legal representative provides services to the member under a home- and community-based services waiver consumer-directed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79.9(8)</w:t>
      </w:r>
      <w:r>
        <w:rPr>
          <w:rFonts w:ascii="Times New Roman" w:hAnsi="Times New Roman"/>
          <w:b w:val="false"/>
          <w:i w:val="false"/>
          <w:color w:val="000000"/>
          <w:sz w:val="22"/>
        </w:rPr>
        <w:t> </w:t>
      </w:r>
      <w:r>
        <w:rPr>
          <w:rFonts w:ascii="Times New Roman" w:hAnsi="Times New Roman"/>
          <w:b w:val="false"/>
          <w:i w:val="false"/>
          <w:color w:val="000000"/>
          <w:sz w:val="22"/>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1155C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1610C</w:t>
      </w:r>
      <w:r>
        <w:rPr>
          <w:rFonts w:ascii="Times New Roman" w:hAnsi="Times New Roman"/>
          <w:b w:val="false"/>
          <w:i w:val="false"/>
          <w:color w:val="000000"/>
          <w:sz w:val="16"/>
        </w:rPr>
        <w:t>, IAB 9/3/14, effective 8/13/14</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441—79.10</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preadmission review. </w:t>
      </w:r>
      <w:r>
        <w:rPr>
          <w:rFonts w:ascii="Times New Roman" w:hAnsi="Times New Roman"/>
          <w:b w:val="false"/>
          <w:i w:val="false"/>
          <w:color w:val="000000"/>
          <w:sz w:val="22"/>
        </w:rPr>
        <w:t xml:space="preserve">The inpatient hospitalization of Medicaid recipients is subject to preadmission review by the Iowa Medicaid enterprise (IME) medical services unit as required in rule </w:t>
      </w:r>
      <w:hyperlink r:id="rId345">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The patient’s admitting physician, the physician’s designee, or the hospital will contact the IME medical services unit to request approval of Medicaid coverage for the hospitalization, according to instructions issued to providers by the IME medical services unit and instructions in the Medicaid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Medicaid payment will not be made to the hospital if the IME medical services unit denies the procedure requested in the preadmission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shall issue a letter of denial to the patient, the physician, and the hospital when a request is denied. The patient, the physician, or the hospital may request a reconsideration of the decision by filing a written request with the IME medical services unit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the IME medical services unit according to </w:t>
      </w:r>
      <w:hyperlink r:id="rId34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347">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441—79.11</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preprocedure surgical review. </w:t>
      </w:r>
      <w:r>
        <w:rPr>
          <w:rFonts w:ascii="Times New Roman" w:hAnsi="Times New Roman"/>
          <w:b w:val="false"/>
          <w:i w:val="false"/>
          <w:color w:val="000000"/>
          <w:sz w:val="22"/>
        </w:rPr>
        <w:t xml:space="preserve">The Iowa Medicaid enterprise (IME) medical services unit conducts a preprocedure review of certain frequently performed surgical procedures to determine the necessity of the procedures and if Medicaid payment will be approved according to requirements found in 441—subrules </w:t>
      </w:r>
      <w:hyperlink r:id="rId34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w:t>
      </w:r>
      <w:hyperlink r:id="rId350">
        <w:r>
          <w:rPr>
            <w:rStyle w:val="Hyperlink"/>
            <w:rFonts w:ascii="Times New Roman" w:hAnsi="Times New Roman"/>
            <w:b w:val="false"/>
            <w:i w:val="false"/>
            <w:color w:val="000000"/>
            <w:sz w:val="22"/>
          </w:rPr>
          <w:t>78.3(18)</w:t>
        </w:r>
      </w:hyperlink>
      <w:r>
        <w:rPr>
          <w:rFonts w:ascii="Times New Roman" w:hAnsi="Times New Roman"/>
          <w:b w:val="false"/>
          <w:i w:val="false"/>
          <w:color w:val="000000"/>
          <w:sz w:val="22"/>
        </w:rPr>
        <w:t xml:space="preserve">, and </w:t>
      </w:r>
      <w:hyperlink r:id="rId351">
        <w:r>
          <w:rPr>
            <w:rStyle w:val="Hyperlink"/>
            <w:rFonts w:ascii="Times New Roman" w:hAnsi="Times New Roman"/>
            <w:b w:val="false"/>
            <w:i w:val="false"/>
            <w:color w:val="000000"/>
            <w:sz w:val="22"/>
          </w:rPr>
          <w:t>78.26(3)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val="false"/>
          <w:color w:val="000000"/>
          <w:sz w:val="22"/>
        </w:rPr>
        <w:t>The physician must request approval from the IME medical services unit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the IME medical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shall issue the physician a validation number for each request and shall advise whether payment for the procedure will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val="false"/>
          <w:color w:val="000000"/>
          <w:sz w:val="22"/>
        </w:rPr>
        <w:t>Medicaid payment will not be made to the physician and other medical personnel or the facility in which the procedure is performed, i.e., hospital or ambulatory surgical center, if the IME medical services unit does not give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val="false"/>
          <w:color w:val="000000"/>
          <w:sz w:val="22"/>
        </w:rPr>
        <w:t>The IME medical services unit shall issue a denial letter to the patient, the physician, and the facility when the requested procedure is not approved. The patient, the physician, or the facility may request a reconsideration of the decision by filing a written request with the IME medical services unit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the IME medical services unit in accordance with </w:t>
      </w:r>
      <w:hyperlink r:id="rId352">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preprocedure surgical review is waived when the patient is enrolled in the managed health care option known as patient management and proper authorization for the procedure has been obtained from the patient manager as described in </w:t>
      </w:r>
      <w:hyperlink r:id="rId353">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441—79.12</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 directives. </w:t>
      </w:r>
      <w:r>
        <w:rPr>
          <w:rFonts w:ascii="Times New Roman" w:hAnsi="Times New Roman"/>
          <w:b w:val="false"/>
          <w:i w:val="false"/>
          <w:color w:val="000000"/>
          <w:sz w:val="22"/>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A hospital at the time of a person’s admission as an inpatient, a home health care provider in advance of a person’s coming under the care of the provider, a hospice provider at the time of initial receipt of hospice care by a person, and a health maintenance organization at the time of enrollment of the person with the organization shall provide written information to each adult which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document in the person’s medical record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not condition the provision of care or otherwise discriminate against a person based on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ensure compliance with requirements of state law regarding advance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provide for education for staff and the community on issues concerning advance directives.</w:t>
      </w:r>
    </w:p>
    <w:p>
      <w:pPr>
        <w:spacing w:before="0" w:after="0"/>
        <w:ind w:left="120"/>
        <w:jc w:val="both"/>
      </w:pPr>
      <w:r>
        <w:rPr>
          <w:rFonts w:ascii="Times New Roman" w:hAnsi="Times New Roman"/>
          <w:b w:val="false"/>
          <w:i w:val="false"/>
          <w:color w:val="000000"/>
          <w:sz w:val="22"/>
        </w:rPr>
        <w:t>Nothing in this rule shall be construed to prohibit the application of a state law which allows for an objection on the basis of conscience for any provider or organization which as a matter of conscience cannot implement an advance directive.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441—79.13</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enrolled Medicaid providers supplying laboratory services. </w:t>
      </w:r>
      <w:r>
        <w:rPr>
          <w:rFonts w:ascii="Times New Roman" w:hAnsi="Times New Roman"/>
          <w:b w:val="false"/>
          <w:i w:val="false"/>
          <w:color w:val="000000"/>
          <w:sz w:val="22"/>
        </w:rPr>
        <w:t xml:space="preserve">Medicaid enrolled entities providing laboratory services are subject to the provisions of the Clinical Laboratory Improvement Amendments of 1988 (CLIA), Public Law 100-578, and implementing federal regulations published at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December 29, 2000. Medicaid payment shall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441—79.14</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w:t>
      </w:r>
      <w:r>
        <w:rPr>
          <w:rFonts w:ascii="Times New Roman" w:hAnsi="Times New Roman"/>
          <w:b w:val="false"/>
          <w:i w:val="false"/>
          <w:color w:val="000000"/>
          <w:sz w:val="22"/>
        </w:rPr>
        <w:t> </w:t>
      </w:r>
      <w:r>
        <w:rPr>
          <w:rFonts w:ascii="Times New Roman" w:hAnsi="Times New Roman"/>
          <w:b w:val="false"/>
          <w:i w:val="false"/>
          <w:color w:val="000000"/>
          <w:sz w:val="22"/>
        </w:rPr>
        <w:t>Application request. Iowa Medicaid providers, including those enrolled with a managed care organization, shall begin the enrollment process by completing the appropriate application on the Iowa Medicaid enterprise website. Managed care organizations and fiscal agents are exempt from completing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shall submit Form 470-2917, Medicaid HCBS Provider Application, at least 90 days before the planned service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enrolling as ordering or referring providers shall submit Form 470-5111, Iowa Medicaid Ordering/Referring Provider Enrollment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providers shall submit Form 470-0254, Iowa Medicaid Provider Enrollment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also complete the process set forth in </w:t>
      </w:r>
      <w:hyperlink r:id="rId357">
        <w:r>
          <w:rPr>
            <w:rStyle w:val="Hyperlink"/>
            <w:rFonts w:ascii="Times New Roman" w:hAnsi="Times New Roman"/>
            <w:b w:val="false"/>
            <w:i w:val="false"/>
            <w:color w:val="000000"/>
            <w:sz w:val="22"/>
          </w:rPr>
          <w:t>441—subrule 81.13(1)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shall also complete the process set forth in </w:t>
      </w:r>
      <w:hyperlink r:id="rId358">
        <w:r>
          <w:rPr>
            <w:rStyle w:val="Hyperlink"/>
            <w:rFonts w:ascii="Times New Roman" w:hAnsi="Times New Roman"/>
            <w:b w:val="false"/>
            <w:i w:val="false"/>
            <w:color w:val="000000"/>
            <w:sz w:val="22"/>
          </w:rPr>
          <w:t>441—subrule 82.3(1)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Medicare beneficiary (QMB) providers shall enroll using Form 470-5262, Qualified Medicare Beneficiaries (QMB) or Health Insurance Premium Payment (HIPP) Program Provider Enrollment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insurance premium payment (HIPP) providers shall enroll using Form 470-5262, Qualified Medicare Beneficiaries (QMB) or Health Insurance Premium Payment (HIPP) Program Provider Enrollment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79.14(2)</w:t>
      </w:r>
      <w:r>
        <w:rPr>
          <w:rFonts w:ascii="Times New Roman" w:hAnsi="Times New Roman"/>
          <w:b w:val="false"/>
          <w:i w:val="false"/>
          <w:color w:val="000000"/>
          <w:sz w:val="22"/>
        </w:rPr>
        <w:t> </w:t>
      </w:r>
      <w:r>
        <w:rPr>
          <w:rFonts w:ascii="Times New Roman" w:hAnsi="Times New Roman"/>
          <w:b w:val="false"/>
          <w:i w:val="false"/>
          <w:color w:val="000000"/>
          <w:sz w:val="22"/>
        </w:rPr>
        <w:t>Submittal of application. The provider shall submit the appropriate application forms, including the application fee, if required, to the Iowa Medicaid enterprise provider services unit by personal delivery, by email, via online enrollment systems, or by mail to P.O. Box 36450,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provider’s national provider identifier number or shall indicate that the provider is an atypical provider that is not issued a national provider identifier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an assertive community treatment program shall submit Form 470-4842, Assertive Community Services (ACT) Provider Agreement Addendum, and agree to file with the department an annual report containing information to be used for rate setting,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by practitioner on the utilization by Medicaid members of all the services included in assertive community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by practitioner type and by type of service actually delivered as part of 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470-5273, or as a supplement to a previously submitted application, providers of health home services must submit Form 470-5100, Health Home Provider Agreement, or Form 470-5160, Integrated Health Home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who are enrolling or reenrolling in the Iowa Medicaid program shall submit an application fee with their application unless they are exempt as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2"/>
        </w:rPr>
        <w:t>42 U.S.C. 1395c</w:t>
      </w:r>
      <w:r>
        <w:rPr>
          <w:rFonts w:ascii="Times New Roman" w:hAnsi="Times New Roman"/>
          <w:b w:val="false"/>
          <w:i w:val="false"/>
          <w:color w:val="000000"/>
          <w:sz w:val="22"/>
        </w:rPr>
        <w:t>c(j)(2)(C).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Nonrefundable. The application fee is nonrefundable, except if submitted with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hardship exception request that is subsequently approved by the Secretary.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application that is subsequently denied as a result of a temporary moratorium under </w:t>
      </w:r>
      <w:r>
        <w:rPr>
          <w:rFonts w:ascii="Times New Roman" w:hAnsi="Times New Roman"/>
          <w:b w:val="false"/>
          <w:i w:val="false"/>
          <w:color w:val="000000"/>
          <w:sz w:val="22"/>
        </w:rPr>
        <w:t>2013 Iowa Acts, Senate File 357</w:t>
      </w:r>
      <w:r>
        <w:rPr>
          <w:rFonts w:ascii="Times New Roman" w:hAnsi="Times New Roman"/>
          <w:b w:val="false"/>
          <w:i w:val="false"/>
          <w:color w:val="000000"/>
          <w:sz w:val="22"/>
        </w:rPr>
        <w:t>, section 12.</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application or other transaction in which the application fee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enrolling or reenrolling a provider will not begin until the application fee has been received by the department or a hardship exception request has been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Exempt providers. The following providers shall not be required to submit an application fee: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Individual physicians or nonphysician practitioners.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Providers that are enrolled in Medicare, another state’s Medicaid program or another state’s children’s health insurance program.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Providers that have paid the applicable application fee within 12 months of the date of application submission to a Medicare contractor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collected shall be used for the costs associated with the screening procedures as described in subrule </w:t>
      </w:r>
      <w:hyperlink r:id="rId359">
        <w:r>
          <w:rPr>
            <w:rStyle w:val="Hyperlink"/>
            <w:rFonts w:ascii="Times New Roman" w:hAnsi="Times New Roman"/>
            <w:b w:val="false"/>
            <w:i w:val="false"/>
            <w:color w:val="000000"/>
            <w:sz w:val="22"/>
          </w:rPr>
          <w:t>79.14(4)</w:t>
        </w:r>
      </w:hyperlink>
      <w:r>
        <w:rPr>
          <w:rFonts w:ascii="Times New Roman" w:hAnsi="Times New Roman"/>
          <w:b w:val="false"/>
          <w:i w:val="false"/>
          <w:color w:val="000000"/>
          <w:sz w:val="22"/>
        </w:rPr>
        <w:t xml:space="preserve">. Any unused portion of the application fees collected shall be returned to the federal government in accordance with </w:t>
      </w:r>
      <w:r>
        <w:rPr>
          <w:rFonts w:ascii="Times New Roman" w:hAnsi="Times New Roman"/>
          <w:b w:val="false"/>
          <w:i w:val="false"/>
          <w:color w:val="000000"/>
          <w:sz w:val="22"/>
        </w:rPr>
        <w:t>42 CFR § 455.460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79.14(3)</w:t>
      </w:r>
      <w:r>
        <w:rPr>
          <w:rFonts w:ascii="Times New Roman" w:hAnsi="Times New Roman"/>
          <w:b w:val="false"/>
          <w:i w:val="false"/>
          <w:color w:val="000000"/>
          <w:sz w:val="22"/>
        </w:rPr>
        <w:t> </w:t>
      </w:r>
      <w:r>
        <w:rPr>
          <w:rFonts w:ascii="Times New Roman" w:hAnsi="Times New Roman"/>
          <w:b w:val="false"/>
          <w:i w:val="false"/>
          <w:color w:val="000000"/>
          <w:sz w:val="22"/>
        </w:rPr>
        <w:t>Program integrity information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including but not limited to managed care organizations and Medicaid fiscal agents, applying for participation in the Iowa Medicaid program must disclose all information required to be submitted pursuant to </w:t>
      </w:r>
      <w:r>
        <w:rPr>
          <w:rFonts w:ascii="Times New Roman" w:hAnsi="Times New Roman"/>
          <w:b w:val="false"/>
          <w:i w:val="false"/>
          <w:color w:val="000000"/>
          <w:sz w:val="22"/>
        </w:rPr>
        <w:t>42 CFR Part 455</w:t>
      </w:r>
      <w:r>
        <w:rPr>
          <w:rFonts w:ascii="Times New Roman" w:hAnsi="Times New Roman"/>
          <w:b w:val="false"/>
          <w:i w:val="false"/>
          <w:color w:val="000000"/>
          <w:sz w:val="22"/>
        </w:rPr>
        <w:t>. In addition, all providers shall disclose any current, or previous, direct or indirect affiliation with a present or former Iowa Medicaid provider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uncollected debt owed to Medicaid or any other health care program funded by any governmental entity, including but not limited to the federal and state of Iowa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or is subject to a payment suspension under a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excluded from participation under Medicaid, Medicare, or any other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had its billing privileges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administratively dissolved by the Iowa secretary of state, or similar action has been taken by a comparable agency in another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Shares a national provider identification (NPI) number or tax ID number with another provider that meets the criteria specified in subparagraph </w:t>
      </w:r>
      <w:hyperlink r:id="rId360">
        <w:r>
          <w:rPr>
            <w:rStyle w:val="Hyperlink"/>
            <w:rFonts w:ascii="Times New Roman" w:hAnsi="Times New Roman"/>
            <w:b w:val="false"/>
            <w:i w:val="false"/>
            <w:color w:val="000000"/>
            <w:sz w:val="22"/>
          </w:rPr>
          <w:t>79.14(3)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36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w:t>
      </w:r>
      <w:hyperlink r:id="rId362">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hyperlink r:id="rId363">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or </w:t>
      </w:r>
      <w:hyperlink r:id="rId364">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Medicaid enterprise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365">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but, notwithstanding any provision to the contrary in that chapter, the provider shall bear the burden to prove by clear and convincing evidence that the affiliation does not pose any risk of fraud, waste, or abuse. The Iowa Medicaid enterprise shall deny enrollment to or shall immediately disenroll any person that the Iowa Medicaid enterprise, Medicare, or any other state Medicaid program has ever terminated under rule </w:t>
      </w:r>
      <w:hyperlink r:id="rId366">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 xml:space="preserve">(249A) or a similar provision and shall deny enrollment to any person presently suspended from participation, or who would be subject to a suspension, under paragraph </w:t>
      </w:r>
      <w:hyperlink r:id="rId367">
        <w:r>
          <w:rPr>
            <w:rStyle w:val="Hyperlink"/>
            <w:rFonts w:ascii="Times New Roman" w:hAnsi="Times New Roman"/>
            <w:b w:val="false"/>
            <w:i w:val="false"/>
            <w:color w:val="000000"/>
            <w:sz w:val="22"/>
          </w:rPr>
          <w:t>79.2(3)</w:t>
        </w:r>
        <w:r>
          <w:rPr>
            <w:rFonts w:ascii="Times New Roman" w:hAnsi="Times New Roman"/>
            <w:b w:val="false"/>
            <w:i/>
            <w:color w:val="000000"/>
            <w:sz w:val="22"/>
          </w:rPr>
          <w:t>“c.”</w:t>
        </w:r>
      </w:hyperlink>
      <w:r>
        <w:rPr>
          <w:rFonts w:ascii="Times New Roman" w:hAnsi="Times New Roman"/>
          <w:b w:val="false"/>
          <w:i w:val="false"/>
          <w:color w:val="000000"/>
          <w:sz w:val="22"/>
        </w:rPr>
        <w:t xml:space="preserve"> Further, a person sanctioned under rule </w:t>
      </w:r>
      <w:hyperlink r:id="rId368">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or a similar provision may not manage consumer choices option (CCO) funds for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compensation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ownership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Managerial authority over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of one member of the affiliation to control or influence any 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of a third party to control or influence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79.14(4)</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2"/>
        </w:rPr>
        <w:t>42 CFR §455.450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types of providers that are recognized as a provider under the Medicare program, the Iowa Medicaid enterprise shall use the same categorical risk screening procedures and requirements assigned to that provider type by Medicare pursuant to </w:t>
      </w:r>
      <w:r>
        <w:rPr>
          <w:rFonts w:ascii="Times New Roman" w:hAnsi="Times New Roman"/>
          <w:b w:val="false"/>
          <w:i w:val="false"/>
          <w:color w:val="000000"/>
          <w:sz w:val="22"/>
        </w:rPr>
        <w:t>42 CFR §424.518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types not assigned a screening level by the Medicare program shall be subject to the procedures of the “limited” risk screening level pursuant to </w:t>
      </w:r>
      <w:r>
        <w:rPr>
          <w:rFonts w:ascii="Times New Roman" w:hAnsi="Times New Roman"/>
          <w:b w:val="false"/>
          <w:i w:val="false"/>
          <w:color w:val="000000"/>
          <w:sz w:val="22"/>
        </w:rPr>
        <w:t>42 CFR §455.450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 of risk level. The Iowa Medicaid enterprise shall adjust the categorical risk screening procedures and requirements from “limited” or “moderate” to “high”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Medicaid enterprise or the Centers for Medicare and Medicaid Services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79.14(5)</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A provider shall be notified of the decision on the provider’s application within 30 calendar days of receipt by the Iowa Medicaid enterprise provider services unit of a complete and correct application with all required documents, including, but not limited to, if applicable, any application fees or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not approved as the Medicaid provider type requested shall have the right to appeal under </w:t>
      </w:r>
      <w:hyperlink r:id="rId36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79.14(7)</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the Iowa Medicaid enterprise provider services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approved for certification as a Medicaid provider shall complete a provider participation agreement as required by rule </w:t>
      </w:r>
      <w:hyperlink r:id="rId370">
        <w:r>
          <w:rPr>
            <w:rStyle w:val="Hyperlink"/>
            <w:rFonts w:ascii="Times New Roman" w:hAnsi="Times New Roman"/>
            <w:b w:val="false"/>
            <w:i w:val="false"/>
            <w:color w:val="000000"/>
            <w:sz w:val="22"/>
          </w:rPr>
          <w:t>441—79.6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79.14(9)</w:t>
      </w:r>
      <w:r>
        <w:rPr>
          <w:rFonts w:ascii="Times New Roman" w:hAnsi="Times New Roman"/>
          <w:b w:val="false"/>
          <w:i w:val="false"/>
          <w:color w:val="000000"/>
          <w:sz w:val="22"/>
        </w:rPr>
        <w:t> </w:t>
      </w:r>
      <w:r>
        <w:rPr>
          <w:rFonts w:ascii="Times New Roman" w:hAnsi="Times New Roman"/>
          <w:b w:val="false"/>
          <w:i w:val="false"/>
          <w:color w:val="000000"/>
          <w:sz w:val="22"/>
        </w:rPr>
        <w:t>No payment shall be made to a provider for care or services provided prior to the effective date of the Iowa Medicaid enterprise’s approval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79.14(10)</w:t>
      </w:r>
      <w:r>
        <w:rPr>
          <w:rFonts w:ascii="Times New Roman" w:hAnsi="Times New Roman"/>
          <w:b w:val="false"/>
          <w:i w:val="false"/>
          <w:color w:val="000000"/>
          <w:sz w:val="22"/>
        </w:rPr>
        <w:t> </w:t>
      </w:r>
      <w:r>
        <w:rPr>
          <w:rFonts w:ascii="Times New Roman" w:hAnsi="Times New Roman"/>
          <w:b w:val="false"/>
          <w:i w:val="false"/>
          <w:color w:val="000000"/>
          <w:sz w:val="22"/>
        </w:rPr>
        <w:t>Payment rates dependent on the nature of the provider or the nature of the care or services provided shall be based on information on the application, together with information on claim forms, or on rates paid the provider prior to April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an application shall be submitted to the Iowa Medicaid enterprise provider services unit and shall be approved or denied within 30 calendar days. Approval of an amendment shall be retroactive to the date requested by the provider or the date the provider meets all applicable criteria, whichever is later, not to exceed 30 days prior to the receipt of the amendment by the Iowa Medicaid enterprise provider services unit. Denial of an amendment may be appealed under </w:t>
      </w:r>
      <w:hyperlink r:id="rId37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79.14(12)</w:t>
      </w:r>
      <w:r>
        <w:rPr>
          <w:rFonts w:ascii="Times New Roman" w:hAnsi="Times New Roman"/>
          <w:b w:val="false"/>
          <w:i w:val="false"/>
          <w:color w:val="000000"/>
          <w:sz w:val="22"/>
        </w:rPr>
        <w:t> </w:t>
      </w:r>
      <w:r>
        <w:rPr>
          <w:rFonts w:ascii="Times New Roman" w:hAnsi="Times New Roman"/>
          <w:b w:val="false"/>
          <w:i w:val="false"/>
          <w:color w:val="000000"/>
          <w:sz w:val="22"/>
        </w:rPr>
        <w:t>A provider that has not submitted a claim in the last 24 months will be sent a notice asking if the provider wishes to continue participation. A provider that fails to reply to the notice within 30 calendar days of the date on the notice will be terminated as a provider. Providers that do not submit any claims in 48 months will be terminated as providers without further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changes. The provider shall inform the Iowa Medicaid enterprise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372">
        <w:r>
          <w:rPr>
            <w:rStyle w:val="Hyperlink"/>
            <w:rFonts w:ascii="Times New Roman" w:hAnsi="Times New Roman"/>
            <w:b w:val="false"/>
            <w:i w:val="false"/>
            <w:color w:val="000000"/>
            <w:sz w:val="22"/>
          </w:rPr>
          <w:t>79.14(3)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provider reports false, incomplete, or misleading information on any application or reapplication, or fails to provide current information within the 35-day period, the Iowa Medicaid enterprise may immediately terminate the provider’s Medicaid enrollment. The termination may be appealed under </w:t>
      </w:r>
      <w:hyperlink r:id="rId37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Such termination remains in effect notwithstanding any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incurs an informational tax-reporting fine or is required to repay the federal share of medical assistance paid to the provider because a provider submitted inaccurate information or failed to submit changes to the Iowa Medicaid enterprise in a timely manner, the fine or repayment shall be the responsibility of the individual provider to the extent that the fine or repayment relates to or arises out of the provider’s failure to keep all provider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amount of the fine or repayment to the department within 30 days of notification by the department that the fine has been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fine or repayment may be appealed under </w:t>
      </w:r>
      <w:hyperlink r:id="rId37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termination or denial of enrollment. The Iowa Medicaid enterprise must terminate or deny any provider enrollment when the provider has violated any requirements identified in </w:t>
      </w:r>
      <w:r>
        <w:rPr>
          <w:rFonts w:ascii="Times New Roman" w:hAnsi="Times New Roman"/>
          <w:b w:val="false"/>
          <w:i w:val="false"/>
          <w:color w:val="000000"/>
          <w:sz w:val="22"/>
        </w:rPr>
        <w:t>42 CFR §455.416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moratoria. The Iowa Medicaid enterprise must impose any temporary moratorium pursuant to </w:t>
      </w:r>
      <w:r>
        <w:rPr>
          <w:rFonts w:ascii="Times New Roman" w:hAnsi="Times New Roman"/>
          <w:b w:val="false"/>
          <w:i w:val="false"/>
          <w:color w:val="000000"/>
          <w:sz w:val="22"/>
        </w:rPr>
        <w:t>2013 Iowa Acts, Senate File 357</w:t>
      </w:r>
      <w:r>
        <w:rPr>
          <w:rFonts w:ascii="Times New Roman" w:hAnsi="Times New Roman"/>
          <w:b w:val="false"/>
          <w:i w:val="false"/>
          <w:color w:val="000000"/>
          <w:sz w:val="22"/>
        </w:rPr>
        <w:t>, section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79.14(16)</w:t>
      </w:r>
      <w:r>
        <w:rPr>
          <w:rFonts w:ascii="Times New Roman" w:hAnsi="Times New Roman"/>
          <w:b w:val="false"/>
          <w:i w:val="false"/>
          <w:color w:val="000000"/>
          <w:sz w:val="22"/>
        </w:rPr>
        <w:t> </w:t>
      </w:r>
      <w:r>
        <w:rPr>
          <w:rFonts w:ascii="Times New Roman" w:hAnsi="Times New Roman"/>
          <w:b w:val="false"/>
          <w:i w:val="false"/>
          <w:color w:val="000000"/>
          <w:sz w:val="22"/>
        </w:rPr>
        <w:t>Provider revalidation. Providers are required to complete the application process and screening requirements as detailed in this rule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79.14(17)</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A provider is strictly liable for any failure to disclose the information required by subrule </w:t>
      </w:r>
      <w:hyperlink r:id="rId375">
        <w:r>
          <w:rPr>
            <w:rStyle w:val="Hyperlink"/>
            <w:rFonts w:ascii="Times New Roman" w:hAnsi="Times New Roman"/>
            <w:b w:val="false"/>
            <w:i w:val="false"/>
            <w:color w:val="000000"/>
            <w:sz w:val="22"/>
          </w:rPr>
          <w:t>79.14(3)</w:t>
        </w:r>
      </w:hyperlink>
      <w:r>
        <w:rPr>
          <w:rFonts w:ascii="Times New Roman" w:hAnsi="Times New Roman"/>
          <w:b w:val="false"/>
          <w:i w:val="false"/>
          <w:color w:val="000000"/>
          <w:sz w:val="22"/>
        </w:rPr>
        <w:t xml:space="preserve"> or any failure to report a change required by subrule </w:t>
      </w:r>
      <w:hyperlink r:id="rId376">
        <w:r>
          <w:rPr>
            <w:rStyle w:val="Hyperlink"/>
            <w:rFonts w:ascii="Times New Roman" w:hAnsi="Times New Roman"/>
            <w:b w:val="false"/>
            <w:i w:val="false"/>
            <w:color w:val="000000"/>
            <w:sz w:val="22"/>
          </w:rPr>
          <w:t>79.14(13)</w:t>
        </w:r>
      </w:hyperlink>
      <w:r>
        <w:rPr>
          <w:rFonts w:ascii="Times New Roman" w:hAnsi="Times New Roman"/>
          <w:b w:val="false"/>
          <w:i w:val="false"/>
          <w:color w:val="000000"/>
          <w:sz w:val="22"/>
        </w:rPr>
        <w:t>. The department shall recoup as incorrectly paid all funds paid to the provider before a complete disclosure or report of change was made. The department shall also recoup as incorrectly paid all funds to any provider that billed the Iowa Medicaid enterprise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0198C</w:t>
      </w:r>
      <w:r>
        <w:rPr>
          <w:rFonts w:ascii="Times New Roman" w:hAnsi="Times New Roman"/>
          <w:b w:val="false"/>
          <w:i w:val="false"/>
          <w:color w:val="000000"/>
          <w:sz w:val="16"/>
        </w:rPr>
        <w:t>, IAB 7/11/12, effective 7/1/12</w:t>
      </w:r>
      <w:r>
        <w:rPr>
          <w:rFonts w:ascii="Times New Roman" w:hAnsi="Times New Roman"/>
          <w:b w:val="false"/>
          <w:i w:val="false"/>
          <w:color w:val="000000"/>
          <w:sz w:val="16"/>
        </w:rPr>
        <w:t xml:space="preserve">; </w:t>
      </w:r>
      <w:r>
        <w:rPr>
          <w:rFonts w:ascii="Times New Roman" w:hAnsi="Times New Roman"/>
          <w:b/>
          <w:i w:val="false"/>
          <w:color w:val="000000"/>
          <w:sz w:val="16"/>
        </w:rPr>
        <w:t>ARC 0580C</w:t>
      </w:r>
      <w:r>
        <w:rPr>
          <w:rFonts w:ascii="Times New Roman" w:hAnsi="Times New Roman"/>
          <w:b w:val="false"/>
          <w:i w:val="false"/>
          <w:color w:val="000000"/>
          <w:sz w:val="16"/>
        </w:rPr>
        <w:t>, IAB 2/6/13, effective 4/1/13</w:t>
      </w:r>
      <w:r>
        <w:rPr>
          <w:rFonts w:ascii="Times New Roman" w:hAnsi="Times New Roman"/>
          <w:b w:val="false"/>
          <w:i w:val="false"/>
          <w:color w:val="000000"/>
          <w:sz w:val="16"/>
        </w:rPr>
        <w:t xml:space="preserve">; </w:t>
      </w:r>
      <w:r>
        <w:rPr>
          <w:rFonts w:ascii="Times New Roman" w:hAnsi="Times New Roman"/>
          <w:b/>
          <w:i w:val="false"/>
          <w:color w:val="000000"/>
          <w:sz w:val="16"/>
        </w:rPr>
        <w:t>ARC 1153C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1695C</w:t>
      </w:r>
      <w:r>
        <w:rPr>
          <w:rFonts w:ascii="Times New Roman" w:hAnsi="Times New Roman"/>
          <w:b w:val="false"/>
          <w:i w:val="false"/>
          <w:color w:val="000000"/>
          <w:sz w:val="16"/>
        </w:rPr>
        <w:t>, IAB 10/29/14,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3494C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441—79.15</w:t>
      </w:r>
      <w:r>
        <w:rPr>
          <w:rFonts w:ascii="Times New Roman" w:hAnsi="Times New Roman"/>
          <w:b/>
          <w:i w:val="false"/>
          <w:color w:val="000000"/>
          <w:sz w:val="22"/>
        </w:rPr>
        <w:t xml:space="preserve">(249A) </w:t>
      </w:r>
      <w:r>
        <w:rPr>
          <w:rFonts w:ascii="Times New Roman" w:hAnsi="Times New Roman"/>
          <w:b/>
          <w:i w:val="false"/>
          <w:color w:val="000000"/>
          <w:sz w:val="22"/>
        </w:rPr>
        <w:t xml:space="preserve">Education about false claims recovery. </w:t>
      </w:r>
      <w:r>
        <w:rPr>
          <w:rFonts w:ascii="Times New Roman" w:hAnsi="Times New Roman"/>
          <w:b w:val="false"/>
          <w:i w:val="false"/>
          <w:color w:val="000000"/>
          <w:sz w:val="22"/>
        </w:rPr>
        <w:t>The provisions in this rule apply to any entity that has received medical assistance payments totaling at least $5 million during a federal fiscal year (ending on September 30). For entities whose payments reach this threshold, compliance with this rule is a condition of receiving payments under the medical assistance program during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color w:val="000000"/>
          <w:sz w:val="22"/>
        </w:rPr>
        <w:t xml:space="preserve">Policy requirements. </w:t>
      </w:r>
      <w:r>
        <w:rPr>
          <w:rFonts w:ascii="Times New Roman" w:hAnsi="Times New Roman"/>
          <w:b w:val="false"/>
          <w:i w:val="false"/>
          <w:color w:val="000000"/>
          <w:sz w:val="22"/>
        </w:rPr>
        <w:t>Any entity whose medical assistance payments meet the threshold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for all employees of the entity and for all employees of any contractor or agent of the entity, including management, which provide detailed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False Claims Act established under Title 31, United States Code, Sections 3729 through 3733;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remedies for false claims and statements established under Title 31, United States Code, Chapter 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state laws pertaining to civil or criminal penalties for false claims and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Whistle blower protections under the laws described in subparagraphs (1) to (3) with respect to the role of these laws in preventing and detecting fraud, waste, and abuse in federal health care programs, as defined in Title 42, United States Code, Section 1320a-7b(f);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in any employee handbook a specific discussion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laws described in paragraph </w:t>
      </w:r>
      <w:hyperlink r:id="rId378">
        <w:r>
          <w:rPr>
            <w:rStyle w:val="Hyperlink"/>
            <w:rFonts w:ascii="Times New Roman" w:hAnsi="Times New Roman"/>
            <w:b w:val="false"/>
            <w:i w:val="false"/>
            <w:color w:val="000000"/>
            <w:sz w:val="22"/>
          </w:rPr>
          <w:t>79.15(1)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employees to be protected as whistle blowers;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entity whose medical assistance payments meet the specified threshold during a federal fiscal year shall provide the following information to the Iowa Medicaid enterprise by the following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national provider identification numbers under which the entity receives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or electronic policies that meet the requirements of subrule </w:t>
      </w:r>
      <w:hyperlink r:id="rId379">
        <w:r>
          <w:rPr>
            <w:rStyle w:val="Hyperlink"/>
            <w:rFonts w:ascii="Times New Roman" w:hAnsi="Times New Roman"/>
            <w:b w:val="false"/>
            <w:i w:val="false"/>
            <w:color w:val="000000"/>
            <w:sz w:val="22"/>
          </w:rPr>
          <w:t>79.15(1)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policies are made available and disseminated to all employees of the entity and to all employees of any contractor or agent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may be provided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Mailing the information to the IME Program Integrity Unit, P.O. Box 36390, Des Moines, Iowa 50315;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Faxing the information to (515)725-1354.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Any entity that fails to comply with the requirements of this rule shall be subject to sanction under rule </w:t>
      </w:r>
      <w:hyperlink r:id="rId380">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including probation, suspension or withholding of payments, and suspension or termination from participation in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109-171, Section 6032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9440B</w:t>
      </w:r>
      <w:r>
        <w:rPr>
          <w:rFonts w:ascii="Times New Roman" w:hAnsi="Times New Roman"/>
          <w:b w:val="false"/>
          <w:i w:val="false"/>
          <w:color w:val="000000"/>
          <w:sz w:val="16"/>
        </w:rPr>
        <w:t>, IAB 4/6/11, effective 4/1/11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441—79.16</w:t>
      </w:r>
      <w:r>
        <w:rPr>
          <w:rFonts w:ascii="Times New Roman" w:hAnsi="Times New Roman"/>
          <w:b/>
          <w:i w:val="false"/>
          <w:color w:val="000000"/>
          <w:sz w:val="22"/>
        </w:rPr>
        <w:t xml:space="preserve">(249A) </w:t>
      </w:r>
      <w:r>
        <w:rPr>
          <w:rFonts w:ascii="Times New Roman" w:hAnsi="Times New Roman"/>
          <w:b/>
          <w:i w:val="false"/>
          <w:color w:val="000000"/>
          <w:sz w:val="22"/>
        </w:rPr>
        <w:t xml:space="preserve">Electronic health record incentive program. </w:t>
      </w:r>
      <w:r>
        <w:rPr>
          <w:rFonts w:ascii="Times New Roman" w:hAnsi="Times New Roman"/>
          <w:b w:val="false"/>
          <w:i w:val="false"/>
          <w:color w:val="000000"/>
          <w:sz w:val="22"/>
        </w:rPr>
        <w:t xml:space="preserve">The department has elected to participate in the electronic health record (EHR) incentive program authorized under </w:t>
      </w:r>
      <w:r>
        <w:rPr>
          <w:rFonts w:ascii="Times New Roman" w:hAnsi="Times New Roman"/>
          <w:b w:val="false"/>
          <w:i w:val="false"/>
          <w:color w:val="000000"/>
          <w:sz w:val="22"/>
        </w:rPr>
        <w:t>Section 4201 of the American Recovery and Reinvestment Act of 2009</w:t>
      </w:r>
      <w:r>
        <w:rPr>
          <w:rFonts w:ascii="Times New Roman" w:hAnsi="Times New Roman"/>
          <w:b w:val="false"/>
          <w:i w:val="false"/>
          <w:color w:val="000000"/>
          <w:sz w:val="22"/>
        </w:rPr>
        <w:t xml:space="preserve"> (ARRA),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111-5. The electronic health record incentive program provides incentive payments to eligible hospitals and professionals participating in the Iowa Medicaid program that adopt and successfully demonstrate meaningful use of certified electronic health record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79.16(1)</w:t>
      </w:r>
      <w:r>
        <w:rPr>
          <w:rFonts w:ascii="Times New Roman" w:hAnsi="Times New Roman"/>
          <w:b w:val="false"/>
          <w:i w:val="false"/>
          <w:color w:val="000000"/>
          <w:sz w:val="22"/>
        </w:rPr>
        <w:t> </w:t>
      </w:r>
      <w:r>
        <w:rPr>
          <w:rFonts w:ascii="Times New Roman" w:hAnsi="Times New Roman"/>
          <w:b w:val="false"/>
          <w:i/>
          <w:color w:val="000000"/>
          <w:sz w:val="22"/>
        </w:rPr>
        <w:t xml:space="preserve">State elections. </w:t>
      </w:r>
      <w:r>
        <w:rPr>
          <w:rFonts w:ascii="Times New Roman" w:hAnsi="Times New Roman"/>
          <w:b w:val="false"/>
          <w:i w:val="false"/>
          <w:color w:val="000000"/>
          <w:sz w:val="22"/>
        </w:rPr>
        <w:t xml:space="preserve">In addition to the statutory provisions in ARRA Section 4201, the electronic health record incentive program is governed by federal regulations at </w:t>
      </w:r>
      <w:r>
        <w:rPr>
          <w:rFonts w:ascii="Times New Roman" w:hAnsi="Times New Roman"/>
          <w:b w:val="false"/>
          <w:i w:val="false"/>
          <w:color w:val="000000"/>
          <w:sz w:val="22"/>
        </w:rPr>
        <w:t>42 CFR Part 495</w:t>
      </w:r>
      <w:r>
        <w:rPr>
          <w:rFonts w:ascii="Times New Roman" w:hAnsi="Times New Roman"/>
          <w:b w:val="false"/>
          <w:i w:val="false"/>
          <w:color w:val="000000"/>
          <w:sz w:val="22"/>
        </w:rPr>
        <w:t xml:space="preserve"> as amended to September 4, 2012. In compliance with the requirements of federal law, the department establishes the following state options under the Iowa electronic health record incentive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 term “hospital-based eligible professional (EP)” as set forth in </w:t>
      </w:r>
      <w:r>
        <w:rPr>
          <w:rFonts w:ascii="Times New Roman" w:hAnsi="Times New Roman"/>
          <w:b w:val="false"/>
          <w:i w:val="false"/>
          <w:color w:val="000000"/>
          <w:sz w:val="22"/>
        </w:rPr>
        <w:t>42 CFR Section 495.4</w:t>
      </w:r>
      <w:r>
        <w:rPr>
          <w:rFonts w:ascii="Times New Roman" w:hAnsi="Times New Roman"/>
          <w:b w:val="false"/>
          <w:i w:val="false"/>
          <w:color w:val="000000"/>
          <w:sz w:val="22"/>
        </w:rPr>
        <w:t xml:space="preserve"> as amended to September 4, 2012, the department elects the calendar year preceding the payment year as the period used to gather data to determine whether or not an eligible professional is “hospital-based” for purposes of the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calculating patient volume as required by </w:t>
      </w:r>
      <w:r>
        <w:rPr>
          <w:rFonts w:ascii="Times New Roman" w:hAnsi="Times New Roman"/>
          <w:b w:val="false"/>
          <w:i w:val="false"/>
          <w:color w:val="000000"/>
          <w:sz w:val="22"/>
        </w:rPr>
        <w:t>42 CFR Section 495.306</w:t>
      </w:r>
      <w:r>
        <w:rPr>
          <w:rFonts w:ascii="Times New Roman" w:hAnsi="Times New Roman"/>
          <w:b w:val="false"/>
          <w:i w:val="false"/>
          <w:color w:val="000000"/>
          <w:sz w:val="22"/>
        </w:rPr>
        <w:t xml:space="preserve"> as amended to September 4, 2012, the department has elected that eligible providers may use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encounter methodology found in </w:t>
      </w:r>
      <w:r>
        <w:rPr>
          <w:rFonts w:ascii="Times New Roman" w:hAnsi="Times New Roman"/>
          <w:b w:val="false"/>
          <w:i w:val="false"/>
          <w:color w:val="000000"/>
          <w:sz w:val="22"/>
        </w:rPr>
        <w:t>42 CFR Section 495.306(c)</w:t>
      </w:r>
      <w:r>
        <w:rPr>
          <w:rFonts w:ascii="Times New Roman" w:hAnsi="Times New Roman"/>
          <w:b w:val="false"/>
          <w:i w:val="false"/>
          <w:color w:val="000000"/>
          <w:sz w:val="22"/>
        </w:rPr>
        <w:t xml:space="preserve"> as amended to September 4, 2012,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panel methodology found in </w:t>
      </w:r>
      <w:r>
        <w:rPr>
          <w:rFonts w:ascii="Times New Roman" w:hAnsi="Times New Roman"/>
          <w:b w:val="false"/>
          <w:i w:val="false"/>
          <w:color w:val="000000"/>
          <w:sz w:val="22"/>
        </w:rPr>
        <w:t>42 CFR Section 495.306(d)</w:t>
      </w:r>
      <w:r>
        <w:rPr>
          <w:rFonts w:ascii="Times New Roman" w:hAnsi="Times New Roman"/>
          <w:b w:val="false"/>
          <w:i w:val="false"/>
          <w:color w:val="000000"/>
          <w:sz w:val="22"/>
        </w:rPr>
        <w:t xml:space="preserve"> as amended to September 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w:t>
      </w:r>
      <w:r>
        <w:rPr>
          <w:rFonts w:ascii="Times New Roman" w:hAnsi="Times New Roman"/>
          <w:b w:val="false"/>
          <w:i w:val="false"/>
          <w:color w:val="000000"/>
          <w:sz w:val="22"/>
        </w:rPr>
        <w:t>42 CFR Section 495.310(g)(1)(i)(B)</w:t>
      </w:r>
      <w:r>
        <w:rPr>
          <w:rFonts w:ascii="Times New Roman" w:hAnsi="Times New Roman"/>
          <w:b w:val="false"/>
          <w:i w:val="false"/>
          <w:color w:val="000000"/>
          <w:sz w:val="22"/>
        </w:rPr>
        <w:t xml:space="preserve"> as amended to September 4, 2012, the “12-month period selected by the state” shall mean the hospital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w:t>
      </w:r>
      <w:r>
        <w:rPr>
          <w:rFonts w:ascii="Times New Roman" w:hAnsi="Times New Roman"/>
          <w:b w:val="false"/>
          <w:i w:val="false"/>
          <w:color w:val="000000"/>
          <w:sz w:val="22"/>
        </w:rPr>
        <w:t>42 CFR Section 495.310(g)(2)(i)</w:t>
      </w:r>
      <w:r>
        <w:rPr>
          <w:rFonts w:ascii="Times New Roman" w:hAnsi="Times New Roman"/>
          <w:b w:val="false"/>
          <w:i w:val="false"/>
          <w:color w:val="000000"/>
          <w:sz w:val="22"/>
        </w:rPr>
        <w:t xml:space="preserve"> as amended to September 4, 2012, the “12-month period selected by the state” shall mean the hospital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79.16(2)</w:t>
      </w:r>
      <w:r>
        <w:rPr>
          <w:rFonts w:ascii="Times New Roman" w:hAnsi="Times New Roman"/>
          <w:b w:val="false"/>
          <w:i w:val="false"/>
          <w:color w:val="000000"/>
          <w:sz w:val="22"/>
        </w:rPr>
        <w:t> </w:t>
      </w:r>
      <w:r>
        <w:rPr>
          <w:rFonts w:ascii="Times New Roman" w:hAnsi="Times New Roman"/>
          <w:b w:val="false"/>
          <w:i/>
          <w:color w:val="000000"/>
          <w:sz w:val="22"/>
        </w:rPr>
        <w:t xml:space="preserve">Eligible providers. </w:t>
      </w:r>
      <w:r>
        <w:rPr>
          <w:rFonts w:ascii="Times New Roman" w:hAnsi="Times New Roman"/>
          <w:b w:val="false"/>
          <w:i w:val="false"/>
          <w:color w:val="000000"/>
          <w:sz w:val="22"/>
        </w:rPr>
        <w:t>To be deemed an “eligible provider” for the electronic health record incentive program, a provider must satisfy the applicable criterion in each paragraph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must be currently enrolled as an Iowa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must be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eligible professional, listed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dentist,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certified nurse midwife,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nurse practitioner,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physician assistant practicing in a federally qualified health center or a rural health clinic when the physician assistant is the primary provider, clinical or medical director, or owner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acute care hospital, as defined in </w:t>
      </w:r>
      <w:r>
        <w:rPr>
          <w:rFonts w:ascii="Times New Roman" w:hAnsi="Times New Roman"/>
          <w:b w:val="false"/>
          <w:i w:val="false"/>
          <w:color w:val="000000"/>
          <w:sz w:val="22"/>
        </w:rPr>
        <w:t>42 CFR Section 495.302</w:t>
      </w:r>
      <w:r>
        <w:rPr>
          <w:rFonts w:ascii="Times New Roman" w:hAnsi="Times New Roman"/>
          <w:b w:val="false"/>
          <w:i w:val="false"/>
          <w:color w:val="000000"/>
          <w:sz w:val="22"/>
        </w:rPr>
        <w:t xml:space="preserve"> as amended to September 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hospital, as defined in </w:t>
      </w:r>
      <w:r>
        <w:rPr>
          <w:rFonts w:ascii="Times New Roman" w:hAnsi="Times New Roman"/>
          <w:b w:val="false"/>
          <w:i w:val="false"/>
          <w:color w:val="000000"/>
          <w:sz w:val="22"/>
        </w:rPr>
        <w:t>42 CFR Section 495.302</w:t>
      </w:r>
      <w:r>
        <w:rPr>
          <w:rFonts w:ascii="Times New Roman" w:hAnsi="Times New Roman"/>
          <w:b w:val="false"/>
          <w:i w:val="false"/>
          <w:color w:val="000000"/>
          <w:sz w:val="22"/>
        </w:rPr>
        <w:t xml:space="preserve"> as amended to September 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year for which the provider is applying for an incentive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acute care hospital must have 10 percent Medicaid patient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eligible professional must have at least 30 percent of the professional’s patient volume enrolled in Medicaid, except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pediatrician must have at least 20 percent Medicaid patient volume. For purposes of this subrule, a “pediatrician” is a physician who is board-certified in pediatrics by the American Board of Pediatrics or the American Osteopathic Board of Pediatrics or who is eligible for board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a professional has at least 50 percent of patient encounters in a federally qualified health center or rural health clinic, patients who were furnished services either at no cost or at a reduced cost based on a sliding scale or ability to pay, patients covered by the hawki program, and Medicaid members may be counted to meet the 30 percent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79.16(3)</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w:t>
      </w:r>
      <w:r>
        <w:rPr>
          <w:rFonts w:ascii="Times New Roman" w:hAnsi="Times New Roman"/>
          <w:b w:val="false"/>
          <w:i w:val="false"/>
          <w:color w:val="000000"/>
          <w:sz w:val="22"/>
        </w:rPr>
        <w:t>Any eligible provider that intends to participate in the Iowa electronic health record incentive program must declare the intent to participate by registering with the CMS Registration and Attestation website, as developed by the Centers for Medicare and Medicaid Services (CMS). CMS will notify the department of an eligible provider’s application for the incentive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an application for participation in the program, the department will contact the applicant with instructions for accessing the Iowa EHR Medicaid incentive payment administration website at </w:t>
      </w:r>
      <w:hyperlink r:id="rId382">
        <w:r>
          <w:rPr>
            <w:rStyle w:val="Hyperlink"/>
            <w:rFonts w:ascii="Times New Roman" w:hAnsi="Times New Roman"/>
            <w:b w:val="false"/>
            <w:i w:val="false"/>
            <w:color w:val="000000"/>
            <w:sz w:val="22"/>
            <w:u w:val="single"/>
          </w:rPr>
          <w:t>www.imeincentives.com</w:t>
        </w:r>
      </w:hyperlink>
      <w:r>
        <w:rPr>
          <w:rFonts w:ascii="Times New Roman" w:hAnsi="Times New Roman"/>
          <w:b w:val="false"/>
          <w:i w:val="false"/>
          <w:color w:val="000000"/>
          <w:sz w:val="22"/>
        </w:rPr>
        <w:t>. The applicant shall use the website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Attest to the applicant’s qualifications to receive the incentive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Digitally sign Form 470-4976, Iowa Electronic Health Record Incentive Program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second year of participation, eligible providers must submit meaningful use and clinical quality measures to the department, either through attestation or electronically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verify the applicant’s eligibility, including patient volume and practice type, and the applicant’s use of certified electronic health record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department shall issue the incentive payment only after confirming that all eligibility and performance criteria have been satisfied. Payments will be processed and paid to the tax identification number designated by the applicant. The department will communicate the payment or denial of payment to the CMS Registration and Attestation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primary communication channel from the department to the provider will be the Iowa EHR Medicaid incentive payment administration website. If the department finds that the applicant is ineligible or has failed to achieve the criteria necessary for the payment, the department shall notify the provider through the website. Providers shall access the website to determine the status of their payment, including whether the department denied payment and the reason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must retain records supporting their eligibility for the incentive payment for a minimum of six years. The department will select providers for audit after issuance of an incentive payment. Incentive recipients shall cooperate with the department by providing proof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 of certified electronic health record technology,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Meaningful use of electronic health record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79.16(5)</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appeal. </w:t>
      </w:r>
      <w:r>
        <w:rPr>
          <w:rFonts w:ascii="Times New Roman" w:hAnsi="Times New Roman"/>
          <w:b w:val="false"/>
          <w:i w:val="false"/>
          <w:color w:val="000000"/>
          <w:sz w:val="22"/>
        </w:rPr>
        <w:t xml:space="preserve">Any eligible provider or any provider that claims to be an eligible provider and who has been subject to an adverse action related to the Iowa electronic health record incentive program may seek review of the department’s action pursuant to </w:t>
      </w:r>
      <w:hyperlink r:id="rId38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Appealable issues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Incentive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of adopting, implementing, upgrading and meaningful use of technology.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4">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Public Law No. 111-5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9254B</w:t>
      </w:r>
      <w:r>
        <w:rPr>
          <w:rFonts w:ascii="Times New Roman" w:hAnsi="Times New Roman"/>
          <w:b w:val="false"/>
          <w:i w:val="false"/>
          <w:color w:val="000000"/>
          <w:sz w:val="16"/>
        </w:rPr>
        <w:t>, IAB 12/1/10,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9531B</w:t>
      </w:r>
      <w:r>
        <w:rPr>
          <w:rFonts w:ascii="Times New Roman" w:hAnsi="Times New Roman"/>
          <w:b w:val="false"/>
          <w:i w:val="false"/>
          <w:color w:val="000000"/>
          <w:sz w:val="16"/>
        </w:rPr>
        <w:t>, IAB 6/1/11, effective 5/12/11</w:t>
      </w:r>
      <w:r>
        <w:rPr>
          <w:rFonts w:ascii="Times New Roman" w:hAnsi="Times New Roman"/>
          <w:b w:val="false"/>
          <w:i w:val="false"/>
          <w:color w:val="000000"/>
          <w:sz w:val="16"/>
        </w:rPr>
        <w:t xml:space="preserve">; </w:t>
      </w:r>
      <w:r>
        <w:rPr>
          <w:rFonts w:ascii="Times New Roman" w:hAnsi="Times New Roman"/>
          <w:b/>
          <w:i w:val="false"/>
          <w:color w:val="000000"/>
          <w:sz w:val="16"/>
        </w:rPr>
        <w:t>ARC 0824C</w:t>
      </w:r>
      <w:r>
        <w:rPr>
          <w:rFonts w:ascii="Times New Roman" w:hAnsi="Times New Roman"/>
          <w:b w:val="false"/>
          <w:i w:val="false"/>
          <w:color w:val="000000"/>
          <w:sz w:val="16"/>
        </w:rPr>
        <w:t>, IAB 7/10/13, effective 9/1/13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441—79.17</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prescribing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79.17(1)</w:t>
      </w:r>
      <w:r>
        <w:rPr>
          <w:rFonts w:ascii="Times New Roman" w:hAnsi="Times New Roman"/>
          <w:b w:val="false"/>
          <w:i w:val="false"/>
          <w:color w:val="000000"/>
          <w:sz w:val="22"/>
        </w:rPr>
        <w:t> </w:t>
      </w:r>
      <w:r>
        <w:rPr>
          <w:rFonts w:ascii="Times New Roman" w:hAnsi="Times New Roman"/>
          <w:b w:val="false"/>
          <w:i/>
          <w:color w:val="000000"/>
          <w:sz w:val="22"/>
        </w:rPr>
        <w:t xml:space="preserve">Review of Iowa prescription monitoring program database. </w:t>
      </w:r>
      <w:r>
        <w:rPr>
          <w:rFonts w:ascii="Times New Roman" w:hAnsi="Times New Roman"/>
          <w:b w:val="false"/>
          <w:i w:val="false"/>
          <w:color w:val="000000"/>
          <w:sz w:val="22"/>
        </w:rPr>
        <w:t xml:space="preserve">A prescribing practitioner, as defined in Iowa Code section </w:t>
      </w:r>
      <w:hyperlink r:id="rId385">
        <w:r>
          <w:rPr>
            <w:rStyle w:val="Hyperlink"/>
            <w:rFonts w:ascii="Times New Roman" w:hAnsi="Times New Roman"/>
            <w:b w:val="false"/>
            <w:i w:val="false"/>
            <w:color w:val="000000"/>
            <w:sz w:val="22"/>
          </w:rPr>
          <w:t>124.550</w:t>
        </w:r>
      </w:hyperlink>
      <w:r>
        <w:rPr>
          <w:rFonts w:ascii="Times New Roman" w:hAnsi="Times New Roman"/>
          <w:b w:val="false"/>
          <w:i w:val="false"/>
          <w:color w:val="000000"/>
          <w:sz w:val="22"/>
        </w:rPr>
        <w:t>, or the prescribing practitioner’s designated agent, shall review patient information in the Iowa prescription monitoring program (PMP) database prior to issuing a prescription for a controlled substance as defined in 42 U.S.C. 1396w–3a, inclusive of Schedules II, III and IV, unless the patient is receiving inpatient hospice care or long-term residential facility care. Review shall be conducted in accordance with all requirements under the prescribing practitioner’s specific professional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The prescribing practitioner shall include documentation in the patient file to demonstrate compliance with </w:t>
      </w:r>
      <w:hyperlink r:id="rId386">
        <w:r>
          <w:rPr>
            <w:rStyle w:val="Hyperlink"/>
            <w:rFonts w:ascii="Times New Roman" w:hAnsi="Times New Roman"/>
            <w:b w:val="false"/>
            <w:i w:val="false"/>
            <w:color w:val="000000"/>
            <w:sz w:val="22"/>
          </w:rPr>
          <w:t>subrule 79.17(1)</w:t>
        </w:r>
      </w:hyperlink>
      <w:r>
        <w:rPr>
          <w:rFonts w:ascii="Times New Roman" w:hAnsi="Times New Roman"/>
          <w:b w:val="false"/>
          <w:i w:val="false"/>
          <w:color w:val="000000"/>
          <w:sz w:val="22"/>
        </w:rPr>
        <w:t xml:space="preserve">. Subject to the requirements under Iowa Code chapter </w:t>
      </w:r>
      <w:hyperlink r:id="rId387">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 if the prescribing practitioner is not able to conduct a review of the PMP database despite a good-faith effort, the prescribing practitioner must document in the patient file such good-faith effort, including the reasons why the prescribing practitioner was not able to conduct the review. The prescribing practitioner shall submit such documentation to the Iowa Medicaid program upon request.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88">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38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5901C</w:t>
      </w:r>
      <w:r>
        <w:rPr>
          <w:rFonts w:ascii="Times New Roman" w:hAnsi="Times New Roman"/>
          <w:b w:val="false"/>
          <w:i w:val="false"/>
          <w:color w:val="000000"/>
          <w:sz w:val="16"/>
        </w:rPr>
        <w:t>, IAB 9/8/21, effective 10/1/21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March 11, 1970]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3/25/77, Notice 12/1/76—published 4/20/77, effective 5/25/77]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10/10/78, Notice 7/26/78—published 11/1/78, effective 12/6/78]</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12/5/79, Notice 10/3/79—published 12/26/79, effective 1/30/80]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4/23/81—published 5/13/81, effective 4/23/81]</w:t>
      </w:r>
    </w:p>
    <w:p>
      <w:pPr>
        <w:spacing w:before="0" w:after="0"/>
        <w:ind w:left="120"/>
        <w:jc w:val="center"/>
      </w:pPr>
      <w:r>
        <w:rPr>
          <w:rFonts w:ascii="Times New Roman" w:hAnsi="Times New Roman"/>
          <w:b w:val="false"/>
          <w:i w:val="false"/>
          <w:color w:val="000000"/>
          <w:sz w:val="21"/>
        </w:rPr>
        <w:t>[Filed 8/24/81, Notice 3/4/81—published 9/16/81,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emergency 8/20/82 after Notice of 6/23/82—published 9/15/82, effective 10/1/82]</w:t>
      </w:r>
    </w:p>
    <w:p>
      <w:pPr>
        <w:spacing w:before="0" w:after="0"/>
        <w:ind w:left="120"/>
        <w:jc w:val="center"/>
      </w:pPr>
      <w:r>
        <w:rPr>
          <w:rFonts w:ascii="Times New Roman" w:hAnsi="Times New Roman"/>
          <w:b w:val="false"/>
          <w:i w:val="false"/>
          <w:color w:val="000000"/>
          <w:sz w:val="21"/>
        </w:rPr>
        <w:t>[Filed 11/19/82, Notice 9/29/82—published 12/8/82, effective 2/1/83]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emergency 10/28/83—published 11/23/83, effective 12/1/83]</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1/13/84, Notice 11/23/84—published 2/1/84, effective 3/7/84]</w:t>
      </w:r>
    </w:p>
    <w:p>
      <w:pPr>
        <w:spacing w:before="0" w:after="0"/>
        <w:ind w:left="120"/>
        <w:jc w:val="center"/>
      </w:pPr>
      <w:r>
        <w:rPr>
          <w:rFonts w:ascii="Times New Roman" w:hAnsi="Times New Roman"/>
          <w:b w:val="false"/>
          <w:i w:val="false"/>
          <w:color w:val="000000"/>
          <w:sz w:val="21"/>
        </w:rPr>
        <w:t>[Filed 2/10/84, Notice 12/7/83—published 2/29/84, effective 5/1/84]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after Notice 11/1/84, Notice 7/18/84—published 11/21/84, effective 11/1/84]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10/9/85—published 12/18/85, effective 2/1/86]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10/23/87, Notice 8/26/87—published 11/18/87, effective 1/1/88]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11/30/87, Notice 10/7/87—published 12/16/87, effective 2/1/88]</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10/28/88—published 11/16/88,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emergency 12/22/88 after Notice of 11/16/88—published 1/11/89, effective 1/1/89]</w:t>
      </w:r>
    </w:p>
    <w:p>
      <w:pPr>
        <w:spacing w:before="0" w:after="0"/>
        <w:ind w:left="120"/>
        <w:jc w:val="center"/>
      </w:pPr>
      <w:r>
        <w:rPr>
          <w:rFonts w:ascii="Times New Roman" w:hAnsi="Times New Roman"/>
          <w:b w:val="false"/>
          <w:i w:val="false"/>
          <w:color w:val="000000"/>
          <w:sz w:val="21"/>
        </w:rPr>
        <w:t>[Filed 12/22/88, Notices 11/16/88</w:t>
      </w:r>
      <w:r>
        <w:rPr>
          <w:rFonts w:ascii="Times New Roman" w:hAnsi="Times New Roman"/>
          <w:b w:val="false"/>
          <w:i w:val="false"/>
          <w:color w:val="000000"/>
          <w:sz w:val="14"/>
        </w:rPr>
        <w:t>◊</w:t>
      </w:r>
      <w:r>
        <w:rPr>
          <w:rFonts w:ascii="Times New Roman" w:hAnsi="Times New Roman"/>
          <w:b w:val="false"/>
          <w:i w:val="false"/>
          <w:color w:val="000000"/>
          <w:sz w:val="21"/>
        </w:rPr>
        <w:t>—published 1/11/89, effective 3/1/89]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1/10/90 after Notice of 10/4/89—published 1/10/90, effective 1/1/90]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5/11/90—published 5/30/90, effective 6/1/90]</w:t>
      </w:r>
    </w:p>
    <w:p>
      <w:pPr>
        <w:spacing w:before="0" w:after="0"/>
        <w:ind w:left="120"/>
        <w:jc w:val="center"/>
      </w:pPr>
      <w:r>
        <w:rPr>
          <w:rFonts w:ascii="Times New Roman" w:hAnsi="Times New Roman"/>
          <w:b w:val="false"/>
          <w:i w:val="false"/>
          <w:color w:val="000000"/>
          <w:sz w:val="21"/>
        </w:rPr>
        <w:t>[Filed 5/11/90, Notice 4/4/90—published 5/30/90, effective 8/1/90]</w:t>
      </w:r>
    </w:p>
    <w:p>
      <w:pPr>
        <w:spacing w:before="0" w:after="0"/>
        <w:ind w:left="120"/>
        <w:jc w:val="center"/>
      </w:pPr>
      <w:r>
        <w:rPr>
          <w:rFonts w:ascii="Times New Roman" w:hAnsi="Times New Roman"/>
          <w:b w:val="false"/>
          <w:i w:val="false"/>
          <w:color w:val="000000"/>
          <w:sz w:val="21"/>
        </w:rPr>
        <w:t>[Filed emergency 6/14/90 after Notice 5/2/90—published 7/11/90, effective 7/1/90]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8/16/90, Notices 7/11/90</w:t>
      </w:r>
      <w:r>
        <w:rPr>
          <w:rFonts w:ascii="Times New Roman" w:hAnsi="Times New Roman"/>
          <w:b w:val="false"/>
          <w:i w:val="false"/>
          <w:color w:val="000000"/>
          <w:sz w:val="14"/>
        </w:rPr>
        <w:t>◊</w:t>
      </w:r>
      <w:r>
        <w:rPr>
          <w:rFonts w:ascii="Times New Roman" w:hAnsi="Times New Roman"/>
          <w:b w:val="false"/>
          <w:i w:val="false"/>
          <w:color w:val="000000"/>
          <w:sz w:val="21"/>
        </w:rPr>
        <w:t>—published 9/5/90, effective 11/1/90]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 after Notice 11/28/90—published 2/6/91,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5/17/91, Notice 4/3/91—published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emergency 9/18/91 after Notice 7/24/91—published 10/16/91,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without Notice 6/11/92—published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12/30/92 after Notice 11/25/92—published 1/20/93, effective 1/1/93]</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6/11/93, Notice 4/28/93—published 7/7/93, effective 9/1/93]</w:t>
      </w:r>
    </w:p>
    <w:p>
      <w:pPr>
        <w:spacing w:before="0" w:after="0"/>
        <w:ind w:left="120"/>
        <w:jc w:val="center"/>
      </w:pPr>
      <w:r>
        <w:rPr>
          <w:rFonts w:ascii="Times New Roman" w:hAnsi="Times New Roman"/>
          <w:b w:val="false"/>
          <w:i w:val="false"/>
          <w:color w:val="000000"/>
          <w:sz w:val="21"/>
        </w:rPr>
        <w:t>[Filed emergency 6/25/93—published 7/21/93,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3/10/94, Notices 1/19/94, 2/2/94—published 3/30/94, effective 6/1/94]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3/1/95]</w:t>
      </w:r>
    </w:p>
    <w:p>
      <w:pPr>
        <w:spacing w:before="0" w:after="0"/>
        <w:ind w:left="120"/>
        <w:jc w:val="center"/>
      </w:pPr>
      <w:r>
        <w:rPr>
          <w:rFonts w:ascii="Times New Roman" w:hAnsi="Times New Roman"/>
          <w:b w:val="false"/>
          <w:i w:val="false"/>
          <w:color w:val="000000"/>
          <w:sz w:val="21"/>
        </w:rPr>
        <w:t>[Filed 3/20/95, Notice 2/1/95—published 4/12/95, effective 6/1/95]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Notices 8/2/95, 9/27/95—published 12/6/95, effective 2/1/96]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11/13/96, Notice 9/11/96—published 12/4/96, effective 2/1/97]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11/12/97—published 12/3/97,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Notices 11/19/97, 12/3/97—published 2/11/98, effective 4/1/98]</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5/5/99—published 6/30/99, effective 9/1/99]</w:t>
      </w:r>
    </w:p>
    <w:p>
      <w:pPr>
        <w:spacing w:before="0" w:after="0"/>
        <w:ind w:left="120"/>
        <w:jc w:val="center"/>
      </w:pPr>
      <w:r>
        <w:rPr>
          <w:rFonts w:ascii="Times New Roman" w:hAnsi="Times New Roman"/>
          <w:b w:val="false"/>
          <w:i w:val="false"/>
          <w:color w:val="000000"/>
          <w:sz w:val="21"/>
        </w:rPr>
        <w:t>[Filed 7/15/99, Notice 5/19/99—published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2/9/00—published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9/20/00—published 11/29/00, effective 2/1/01]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4/4/01—published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10/10/01, Notice 8/22/01—published 10/31/01, effective 1/1/02]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2/6/02—published 5/1/02, effective 7/1/02]</w:t>
      </w:r>
    </w:p>
    <w:p>
      <w:pPr>
        <w:spacing w:before="0" w:after="0"/>
        <w:ind w:left="120"/>
        <w:jc w:val="center"/>
      </w:pPr>
      <w:r>
        <w:rPr>
          <w:rFonts w:ascii="Times New Roman" w:hAnsi="Times New Roman"/>
          <w:b w:val="false"/>
          <w:i w:val="false"/>
          <w:color w:val="000000"/>
          <w:sz w:val="21"/>
        </w:rPr>
        <w:t>[Filed 7/15/02, Notice 5/1/02—published 8/7/02, effective 10/1/02]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8/15/02, Notice 6/12/02—published 9/4/02, effective 11/1/02]</w:t>
      </w:r>
    </w:p>
    <w:p>
      <w:pPr>
        <w:spacing w:before="0" w:after="0"/>
        <w:ind w:left="120"/>
        <w:jc w:val="center"/>
      </w:pPr>
      <w:r>
        <w:rPr>
          <w:rFonts w:ascii="Times New Roman" w:hAnsi="Times New Roman"/>
          <w:b w:val="false"/>
          <w:i w:val="false"/>
          <w:color w:val="000000"/>
          <w:sz w:val="21"/>
        </w:rPr>
        <w:t>[Filed 8/15/02, Notice 6/26/02—published 9/4/02, effective 11/1/02]</w:t>
      </w:r>
    </w:p>
    <w:p>
      <w:pPr>
        <w:spacing w:before="0" w:after="0"/>
        <w:ind w:left="120"/>
        <w:jc w:val="center"/>
      </w:pPr>
      <w:r>
        <w:rPr>
          <w:rFonts w:ascii="Times New Roman" w:hAnsi="Times New Roman"/>
          <w:b w:val="false"/>
          <w:i w:val="false"/>
          <w:color w:val="000000"/>
          <w:sz w:val="21"/>
        </w:rPr>
        <w:t>[Filed emergency 9/12/02—published 10/2/02, effective 9/12/02]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emergency 6/14/04—published 7/7/04, effective 7/1/04]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9/23/04, Notice 7/7/04—published 10/13/04, effective 11/17/04]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6/25/05]</w:t>
      </w:r>
    </w:p>
    <w:p>
      <w:pPr>
        <w:spacing w:before="0" w:after="0"/>
        <w:ind w:left="120"/>
        <w:jc w:val="center"/>
      </w:pPr>
      <w:r>
        <w:rPr>
          <w:rFonts w:ascii="Times New Roman" w:hAnsi="Times New Roman"/>
          <w:b w:val="false"/>
          <w:i w:val="false"/>
          <w:color w:val="000000"/>
          <w:sz w:val="21"/>
        </w:rPr>
        <w:t>[Filed emergency 6/17/05—published 7/6/05, effective 7/1/05]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 after Notice 7/6/05—published 11/9/05, effective 10/21/05]</w:t>
      </w:r>
    </w:p>
    <w:p>
      <w:pPr>
        <w:spacing w:before="0" w:after="0"/>
        <w:ind w:left="120"/>
        <w:jc w:val="center"/>
      </w:pPr>
      <w:r>
        <w:rPr>
          <w:rFonts w:ascii="Times New Roman" w:hAnsi="Times New Roman"/>
          <w:b w:val="false"/>
          <w:i w:val="false"/>
          <w:color w:val="000000"/>
          <w:sz w:val="21"/>
        </w:rPr>
        <w:t>[Filed 10/21/05, Notices 5/11/05 and 7/6/05</w:t>
      </w:r>
      <w:r>
        <w:rPr>
          <w:rFonts w:ascii="Times New Roman" w:hAnsi="Times New Roman"/>
          <w:b w:val="false"/>
          <w:i w:val="false"/>
          <w:color w:val="000000"/>
          <w:sz w:val="10"/>
        </w:rPr>
        <w:t>1</w:t>
      </w:r>
      <w:r>
        <w:rPr>
          <w:rFonts w:ascii="Times New Roman" w:hAnsi="Times New Roman"/>
          <w:b w:val="false"/>
          <w:i w:val="false"/>
          <w:color w:val="000000"/>
          <w:sz w:val="21"/>
        </w:rPr>
        <w:t>—published 11/9/05, effective 12/14/05]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6/16/06, Notice 4/26/06—published 7/5/06, effective 9/1/06]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8/10/06, Notice 2/15/06—published 8/30/06, effective 11/1/06]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emergency 8/9/07 after Notice 7/4/07—published 8/29/07, effective 8/10/07]</w:t>
      </w:r>
    </w:p>
    <w:p>
      <w:pPr>
        <w:spacing w:before="0" w:after="0"/>
        <w:ind w:left="120"/>
        <w:jc w:val="center"/>
      </w:pPr>
      <w:r>
        <w:rPr>
          <w:rFonts w:ascii="Times New Roman" w:hAnsi="Times New Roman"/>
          <w:b w:val="false"/>
          <w:i w:val="false"/>
          <w:color w:val="000000"/>
          <w:sz w:val="21"/>
        </w:rPr>
        <w:t>[Filed 8/9/07, Notice 7/4/07—published 8/29/07, effective 10/3/07]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10/10/07—published 11/7/07, effective 10/10/07]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7835B</w:t>
      </w:r>
      <w:r>
        <w:rPr>
          <w:rFonts w:ascii="Times New Roman" w:hAnsi="Times New Roman"/>
          <w:b w:val="false"/>
          <w:i w:val="false"/>
          <w:color w:val="000000"/>
          <w:sz w:val="21"/>
        </w:rPr>
        <w:t xml:space="preserve"> (Notice ARC 7627B, IAB 3/11/09)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7937B, IAB 7/1/09, effective 7/1/09]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8206B</w:t>
      </w:r>
      <w:r>
        <w:rPr>
          <w:rFonts w:ascii="Times New Roman" w:hAnsi="Times New Roman"/>
          <w:b w:val="false"/>
          <w:i w:val="false"/>
          <w:color w:val="000000"/>
          <w:sz w:val="21"/>
        </w:rPr>
        <w:t xml:space="preserve"> (Notice ARC 7938B,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8262B</w:t>
      </w:r>
      <w:r>
        <w:rPr>
          <w:rFonts w:ascii="Times New Roman" w:hAnsi="Times New Roman"/>
          <w:b w:val="false"/>
          <w:i w:val="false"/>
          <w:color w:val="000000"/>
          <w:sz w:val="21"/>
        </w:rPr>
        <w:t xml:space="preserve"> (Notice ARC 8084B, IAB 8/26/09)</w:t>
      </w:r>
      <w:r>
        <w:rPr>
          <w:rFonts w:ascii="Times New Roman" w:hAnsi="Times New Roman"/>
          <w:b w:val="false"/>
          <w:i w:val="false"/>
          <w:color w:val="000000"/>
          <w:sz w:val="21"/>
        </w:rPr>
        <w:t>, IAB 11/4/09, effective 12/9/09]</w:t>
      </w:r>
      <w:r>
        <w:br/>
      </w:r>
      <w:r>
        <w:rPr>
          <w:rFonts w:ascii="Times New Roman" w:hAnsi="Times New Roman"/>
          <w:b w:val="false"/>
          <w:i w:val="false"/>
          <w:color w:val="000000"/>
          <w:sz w:val="21"/>
        </w:rPr>
        <w:t>[Filed ARC 8263B</w:t>
      </w:r>
      <w:r>
        <w:rPr>
          <w:rFonts w:ascii="Times New Roman" w:hAnsi="Times New Roman"/>
          <w:b w:val="false"/>
          <w:i w:val="false"/>
          <w:color w:val="000000"/>
          <w:sz w:val="21"/>
        </w:rPr>
        <w:t xml:space="preserve"> (Notice ARC 8059B,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ARC 8647B, IAB 4/7/10, effective 3/11/10]</w:t>
      </w:r>
      <w:r>
        <w:br/>
      </w:r>
      <w:r>
        <w:rPr>
          <w:rFonts w:ascii="Times New Roman" w:hAnsi="Times New Roman"/>
          <w:b w:val="false"/>
          <w:i w:val="false"/>
          <w:color w:val="000000"/>
          <w:sz w:val="21"/>
        </w:rPr>
        <w:t>[Filed Emergency ARC 8649B, IAB 4/7/10, effective 3/11/10]</w:t>
      </w:r>
      <w:r>
        <w:br/>
      </w: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ARC 8894B, IAB 6/30/10, effective 7/1/10]</w:t>
      </w:r>
      <w:r>
        <w:br/>
      </w: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ARC 9127B</w:t>
      </w:r>
      <w:r>
        <w:rPr>
          <w:rFonts w:ascii="Times New Roman" w:hAnsi="Times New Roman"/>
          <w:b w:val="false"/>
          <w:i w:val="false"/>
          <w:color w:val="000000"/>
          <w:sz w:val="21"/>
        </w:rPr>
        <w:t xml:space="preserve"> (Notice ARC 8896B, IAB 6/30/10)</w:t>
      </w:r>
      <w:r>
        <w:rPr>
          <w:rFonts w:ascii="Times New Roman" w:hAnsi="Times New Roman"/>
          <w:b w:val="false"/>
          <w:i w:val="false"/>
          <w:color w:val="000000"/>
          <w:sz w:val="21"/>
        </w:rPr>
        <w:t>, IAB 10/6/10, effective 11/10/10]</w:t>
      </w:r>
      <w:r>
        <w:br/>
      </w:r>
      <w:r>
        <w:rPr>
          <w:rFonts w:ascii="Times New Roman" w:hAnsi="Times New Roman"/>
          <w:b w:val="false"/>
          <w:i w:val="false"/>
          <w:color w:val="000000"/>
          <w:sz w:val="21"/>
        </w:rPr>
        <w:t>[Filed Emergency ARC 9134B, IAB 10/6/10, effective 10/1/10]</w:t>
      </w:r>
      <w:r>
        <w:br/>
      </w: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9254B, IAB 12/1/10, effective 1/1/11]</w:t>
      </w:r>
    </w:p>
    <w:p>
      <w:pPr>
        <w:spacing w:before="0" w:after="0"/>
        <w:ind w:left="120"/>
        <w:jc w:val="center"/>
      </w:pP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9531B</w:t>
      </w:r>
      <w:r>
        <w:rPr>
          <w:rFonts w:ascii="Times New Roman" w:hAnsi="Times New Roman"/>
          <w:b w:val="false"/>
          <w:i w:val="false"/>
          <w:color w:val="000000"/>
          <w:sz w:val="21"/>
        </w:rPr>
        <w:t xml:space="preserve"> (Notice ARC 9431B, IAB 3/23/11)</w:t>
      </w:r>
      <w:r>
        <w:rPr>
          <w:rFonts w:ascii="Times New Roman" w:hAnsi="Times New Roman"/>
          <w:b w:val="false"/>
          <w:i w:val="false"/>
          <w:color w:val="000000"/>
          <w:sz w:val="21"/>
        </w:rPr>
        <w:t>, IAB 6/1/11, effective 5/12/11]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ARC 9706B, IAB 9/7/11, effective 8/17/11]</w:t>
      </w:r>
      <w:r>
        <w:br/>
      </w:r>
      <w:r>
        <w:rPr>
          <w:rFonts w:ascii="Times New Roman" w:hAnsi="Times New Roman"/>
          <w:b w:val="false"/>
          <w:i w:val="false"/>
          <w:color w:val="000000"/>
          <w:sz w:val="21"/>
        </w:rPr>
        <w:t>[Filed Emergency ARC 9708B, IAB 9/7/11, effective 8/17/11]</w:t>
      </w:r>
      <w:r>
        <w:br/>
      </w:r>
      <w:r>
        <w:rPr>
          <w:rFonts w:ascii="Times New Roman" w:hAnsi="Times New Roman"/>
          <w:b w:val="false"/>
          <w:i w:val="false"/>
          <w:color w:val="000000"/>
          <w:sz w:val="21"/>
        </w:rPr>
        <w:t>[Filed Emergency ARC 9710B, IAB 9/7/11, effective 8/17/11]</w:t>
      </w:r>
      <w:r>
        <w:br/>
      </w:r>
      <w:r>
        <w:rPr>
          <w:rFonts w:ascii="Times New Roman" w:hAnsi="Times New Roman"/>
          <w:b w:val="false"/>
          <w:i w:val="false"/>
          <w:color w:val="000000"/>
          <w:sz w:val="21"/>
        </w:rPr>
        <w:t>[Filed Emergency ARC 9704B, IAB 9/7/11, effective 9/1/11]</w:t>
      </w:r>
      <w:r>
        <w:br/>
      </w:r>
      <w:r>
        <w:rPr>
          <w:rFonts w:ascii="Times New Roman" w:hAnsi="Times New Roman"/>
          <w:b w:val="false"/>
          <w:i w:val="false"/>
          <w:color w:val="000000"/>
          <w:sz w:val="21"/>
        </w:rPr>
        <w:t>[Filed Emergency ARC 9712B, IAB 9/7/11, effective 9/1/11]</w:t>
      </w:r>
      <w:r>
        <w:br/>
      </w:r>
      <w:r>
        <w:rPr>
          <w:rFonts w:ascii="Times New Roman" w:hAnsi="Times New Roman"/>
          <w:b w:val="false"/>
          <w:i w:val="false"/>
          <w:color w:val="000000"/>
          <w:sz w:val="21"/>
        </w:rPr>
        <w:t>[Filed Emergency ARC 9714B, IAB 9/7/11, effective 9/1/11]</w:t>
      </w:r>
      <w:r>
        <w:br/>
      </w:r>
      <w:r>
        <w:rPr>
          <w:rFonts w:ascii="Times New Roman" w:hAnsi="Times New Roman"/>
          <w:b w:val="false"/>
          <w:i w:val="false"/>
          <w:color w:val="000000"/>
          <w:sz w:val="21"/>
        </w:rPr>
        <w:t>[Filed Emergency ARC 9719B, IAB 9/7/11, effective 9/1/11]</w:t>
      </w:r>
      <w:r>
        <w:br/>
      </w:r>
      <w:r>
        <w:rPr>
          <w:rFonts w:ascii="Times New Roman" w:hAnsi="Times New Roman"/>
          <w:b w:val="false"/>
          <w:i w:val="false"/>
          <w:color w:val="000000"/>
          <w:sz w:val="21"/>
        </w:rPr>
        <w:t>[Filed Emergency ARC 9722B, IAB 9/7/11, effective 9/1/11]</w:t>
      </w:r>
    </w:p>
    <w:p>
      <w:pPr>
        <w:spacing w:before="0" w:after="0"/>
        <w:ind w:left="120"/>
        <w:jc w:val="center"/>
      </w:pP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9886B</w:t>
      </w:r>
      <w:r>
        <w:rPr>
          <w:rFonts w:ascii="Times New Roman" w:hAnsi="Times New Roman"/>
          <w:b w:val="false"/>
          <w:i w:val="false"/>
          <w:color w:val="000000"/>
          <w:sz w:val="21"/>
        </w:rPr>
        <w:t xml:space="preserve"> (Notice ARC 9713B,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9887B</w:t>
      </w:r>
      <w:r>
        <w:rPr>
          <w:rFonts w:ascii="Times New Roman" w:hAnsi="Times New Roman"/>
          <w:b w:val="false"/>
          <w:i w:val="false"/>
          <w:color w:val="000000"/>
          <w:sz w:val="21"/>
        </w:rPr>
        <w:t xml:space="preserve"> (Notice ARC 9715B,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9958B</w:t>
      </w:r>
      <w:r>
        <w:rPr>
          <w:rFonts w:ascii="Times New Roman" w:hAnsi="Times New Roman"/>
          <w:b w:val="false"/>
          <w:i w:val="false"/>
          <w:color w:val="000000"/>
          <w:sz w:val="21"/>
        </w:rPr>
        <w:t xml:space="preserve"> (Notice ARC 9707B,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9959B</w:t>
      </w:r>
      <w:r>
        <w:rPr>
          <w:rFonts w:ascii="Times New Roman" w:hAnsi="Times New Roman"/>
          <w:b w:val="false"/>
          <w:i w:val="false"/>
          <w:color w:val="000000"/>
          <w:sz w:val="21"/>
        </w:rPr>
        <w:t xml:space="preserve"> (Notice ARC 9721B,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9960B</w:t>
      </w:r>
      <w:r>
        <w:rPr>
          <w:rFonts w:ascii="Times New Roman" w:hAnsi="Times New Roman"/>
          <w:b w:val="false"/>
          <w:i w:val="false"/>
          <w:color w:val="000000"/>
          <w:sz w:val="21"/>
        </w:rPr>
        <w:t xml:space="preserve"> (Notice ARC 9723B, IAB 9/7/11)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9996B, IAB 2/8/12, effective 1/19/12]</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0029C</w:t>
      </w:r>
      <w:r>
        <w:rPr>
          <w:rFonts w:ascii="Times New Roman" w:hAnsi="Times New Roman"/>
          <w:b w:val="false"/>
          <w:i w:val="false"/>
          <w:color w:val="000000"/>
          <w:sz w:val="21"/>
        </w:rPr>
        <w:t xml:space="preserve"> (Notice ARC 9709B,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[Nullified amendment editorially removed, IAC Supplement 5/16/12]</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ARC 0196C,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0355C</w:t>
      </w:r>
      <w:r>
        <w:rPr>
          <w:rFonts w:ascii="Times New Roman" w:hAnsi="Times New Roman"/>
          <w:b w:val="false"/>
          <w:i w:val="false"/>
          <w:color w:val="000000"/>
          <w:sz w:val="21"/>
        </w:rPr>
        <w:t xml:space="preserve"> (Notice ARC 0197C,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Emergency ARC 0548C, IAB 1/9/13, effective 1/1/13]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ARC 0581C</w:t>
      </w:r>
      <w:r>
        <w:rPr>
          <w:rFonts w:ascii="Times New Roman" w:hAnsi="Times New Roman"/>
          <w:b w:val="false"/>
          <w:i w:val="false"/>
          <w:color w:val="000000"/>
          <w:sz w:val="21"/>
        </w:rPr>
        <w:t xml:space="preserve"> (Notice ARC 0436C,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Emergency ARC 0585C, IAB 2/6/13, effective 1/9/13]</w:t>
      </w:r>
    </w:p>
    <w:p>
      <w:pPr>
        <w:spacing w:before="0" w:after="0"/>
        <w:ind w:left="120"/>
        <w:jc w:val="center"/>
      </w:pPr>
      <w:r>
        <w:rPr>
          <w:rFonts w:ascii="Times New Roman" w:hAnsi="Times New Roman"/>
          <w:b w:val="false"/>
          <w:i w:val="false"/>
          <w:color w:val="000000"/>
          <w:sz w:val="21"/>
        </w:rPr>
        <w:t>[Filed ARC 0665C</w:t>
      </w:r>
      <w:r>
        <w:rPr>
          <w:rFonts w:ascii="Times New Roman" w:hAnsi="Times New Roman"/>
          <w:b w:val="false"/>
          <w:i w:val="false"/>
          <w:color w:val="000000"/>
          <w:sz w:val="21"/>
        </w:rPr>
        <w:t xml:space="preserve"> (Notice ARC 0547C,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0708C</w:t>
      </w:r>
      <w:r>
        <w:rPr>
          <w:rFonts w:ascii="Times New Roman" w:hAnsi="Times New Roman"/>
          <w:b w:val="false"/>
          <w:i w:val="false"/>
          <w:color w:val="000000"/>
          <w:sz w:val="21"/>
        </w:rPr>
        <w:t xml:space="preserve"> (Notice ARC 0568C,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0711C</w:t>
      </w:r>
      <w:r>
        <w:rPr>
          <w:rFonts w:ascii="Times New Roman" w:hAnsi="Times New Roman"/>
          <w:b w:val="false"/>
          <w:i w:val="false"/>
          <w:color w:val="000000"/>
          <w:sz w:val="21"/>
        </w:rPr>
        <w:t xml:space="preserve"> (Notice ARC 0570C,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0712C</w:t>
      </w:r>
      <w:r>
        <w:rPr>
          <w:rFonts w:ascii="Times New Roman" w:hAnsi="Times New Roman"/>
          <w:b w:val="false"/>
          <w:i w:val="false"/>
          <w:color w:val="000000"/>
          <w:sz w:val="21"/>
        </w:rPr>
        <w:t xml:space="preserve"> (Notice ARC 0569C,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0710C</w:t>
      </w:r>
      <w:r>
        <w:rPr>
          <w:rFonts w:ascii="Times New Roman" w:hAnsi="Times New Roman"/>
          <w:b w:val="false"/>
          <w:i w:val="false"/>
          <w:color w:val="000000"/>
          <w:sz w:val="21"/>
        </w:rPr>
        <w:t xml:space="preserve"> (Notice ARC 0588C, IAB 2/6/13)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0713C</w:t>
      </w:r>
      <w:r>
        <w:rPr>
          <w:rFonts w:ascii="Times New Roman" w:hAnsi="Times New Roman"/>
          <w:b w:val="false"/>
          <w:i w:val="false"/>
          <w:color w:val="000000"/>
          <w:sz w:val="21"/>
        </w:rPr>
        <w:t xml:space="preserve"> (Notice ARC 0584C,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r>
        <w:br/>
      </w:r>
      <w:r>
        <w:rPr>
          <w:rFonts w:ascii="Times New Roman" w:hAnsi="Times New Roman"/>
          <w:b w:val="false"/>
          <w:i w:val="false"/>
          <w:color w:val="000000"/>
          <w:sz w:val="21"/>
        </w:rPr>
        <w:t>[Filed ARC 0824C</w:t>
      </w:r>
      <w:r>
        <w:rPr>
          <w:rFonts w:ascii="Times New Roman" w:hAnsi="Times New Roman"/>
          <w:b w:val="false"/>
          <w:i w:val="false"/>
          <w:color w:val="000000"/>
          <w:sz w:val="21"/>
        </w:rPr>
        <w:t xml:space="preserve"> (Notice ARC 0669C, IAB 4/3/13)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0840C,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0848C, IAB 7/24/13, effective 7/1/13]</w:t>
      </w:r>
      <w:r>
        <w:br/>
      </w:r>
      <w:r>
        <w:rPr>
          <w:rFonts w:ascii="Times New Roman" w:hAnsi="Times New Roman"/>
          <w:b w:val="false"/>
          <w:i w:val="false"/>
          <w:color w:val="000000"/>
          <w:sz w:val="21"/>
        </w:rPr>
        <w:t>[Filed Emergency ARC 0864C,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1058C</w:t>
      </w:r>
      <w:r>
        <w:rPr>
          <w:rFonts w:ascii="Times New Roman" w:hAnsi="Times New Roman"/>
          <w:b w:val="false"/>
          <w:i w:val="false"/>
          <w:color w:val="000000"/>
          <w:sz w:val="21"/>
        </w:rPr>
        <w:t xml:space="preserve"> (Notice ARC 0863C,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1057C</w:t>
      </w:r>
      <w:r>
        <w:rPr>
          <w:rFonts w:ascii="Times New Roman" w:hAnsi="Times New Roman"/>
          <w:b w:val="false"/>
          <w:i w:val="false"/>
          <w:color w:val="000000"/>
          <w:sz w:val="21"/>
        </w:rPr>
        <w:t xml:space="preserve"> (Notice ARC 0839C,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1150C</w:t>
      </w:r>
      <w:r>
        <w:rPr>
          <w:rFonts w:ascii="Times New Roman" w:hAnsi="Times New Roman"/>
          <w:b w:val="false"/>
          <w:i w:val="false"/>
          <w:color w:val="000000"/>
          <w:sz w:val="21"/>
        </w:rPr>
        <w:t xml:space="preserve"> (Notice ARC 0918C,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1152C</w:t>
      </w:r>
      <w:r>
        <w:rPr>
          <w:rFonts w:ascii="Times New Roman" w:hAnsi="Times New Roman"/>
          <w:b w:val="false"/>
          <w:i w:val="false"/>
          <w:color w:val="000000"/>
          <w:sz w:val="21"/>
        </w:rPr>
        <w:t xml:space="preserve"> (Notice ARC 0910C,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1154C</w:t>
      </w:r>
      <w:r>
        <w:rPr>
          <w:rFonts w:ascii="Times New Roman" w:hAnsi="Times New Roman"/>
          <w:b w:val="false"/>
          <w:i w:val="false"/>
          <w:color w:val="000000"/>
          <w:sz w:val="21"/>
        </w:rPr>
        <w:t xml:space="preserve"> (Notice ARC 0919C,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1155C</w:t>
      </w:r>
      <w:r>
        <w:rPr>
          <w:rFonts w:ascii="Times New Roman" w:hAnsi="Times New Roman"/>
          <w:b w:val="false"/>
          <w:i w:val="false"/>
          <w:color w:val="000000"/>
          <w:sz w:val="21"/>
        </w:rPr>
        <w:t xml:space="preserve"> (Notice ARC 0912C,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1153C</w:t>
      </w:r>
      <w:r>
        <w:rPr>
          <w:rFonts w:ascii="Times New Roman" w:hAnsi="Times New Roman"/>
          <w:b w:val="false"/>
          <w:i w:val="false"/>
          <w:color w:val="000000"/>
          <w:sz w:val="21"/>
        </w:rPr>
        <w:t xml:space="preserve"> (Notice ARC 0917C,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1481C</w:t>
      </w:r>
      <w:r>
        <w:rPr>
          <w:rFonts w:ascii="Times New Roman" w:hAnsi="Times New Roman"/>
          <w:b w:val="false"/>
          <w:i w:val="false"/>
          <w:color w:val="000000"/>
          <w:sz w:val="21"/>
        </w:rPr>
        <w:t xml:space="preserve"> (Notice ARC 1391C,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ARC 1519C, IAB 7/9/14, effective 7/1/14]</w:t>
      </w:r>
      <w:r>
        <w:br/>
      </w:r>
      <w:r>
        <w:rPr>
          <w:rFonts w:ascii="Times New Roman" w:hAnsi="Times New Roman"/>
          <w:b w:val="false"/>
          <w:i w:val="false"/>
          <w:color w:val="000000"/>
          <w:sz w:val="21"/>
        </w:rPr>
        <w:t>[Filed Emergency ARC 1521C, IAB 7/9/14, effective 7/1/14]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r>
        <w:br/>
      </w:r>
      <w:r>
        <w:rPr>
          <w:rFonts w:ascii="Times New Roman" w:hAnsi="Times New Roman"/>
          <w:b w:val="false"/>
          <w:i w:val="false"/>
          <w:color w:val="000000"/>
          <w:sz w:val="21"/>
        </w:rPr>
        <w:t>[Filed ARC 1609C</w:t>
      </w:r>
      <w:r>
        <w:rPr>
          <w:rFonts w:ascii="Times New Roman" w:hAnsi="Times New Roman"/>
          <w:b w:val="false"/>
          <w:i w:val="false"/>
          <w:color w:val="000000"/>
          <w:sz w:val="21"/>
        </w:rPr>
        <w:t xml:space="preserve"> (Notice ARC 1518C, IAB 7/9/14)</w:t>
      </w:r>
      <w:r>
        <w:rPr>
          <w:rFonts w:ascii="Times New Roman" w:hAnsi="Times New Roman"/>
          <w:b w:val="false"/>
          <w:i w:val="false"/>
          <w:color w:val="000000"/>
          <w:sz w:val="21"/>
        </w:rPr>
        <w:t>, IAB 9/3/14, effective 10/8/14]</w:t>
      </w:r>
      <w:r>
        <w:br/>
      </w:r>
      <w:r>
        <w:rPr>
          <w:rFonts w:ascii="Times New Roman" w:hAnsi="Times New Roman"/>
          <w:b w:val="false"/>
          <w:i w:val="false"/>
          <w:color w:val="000000"/>
          <w:sz w:val="21"/>
        </w:rPr>
        <w:t>[Filed ARC 1608C</w:t>
      </w:r>
      <w:r>
        <w:rPr>
          <w:rFonts w:ascii="Times New Roman" w:hAnsi="Times New Roman"/>
          <w:b w:val="false"/>
          <w:i w:val="false"/>
          <w:color w:val="000000"/>
          <w:sz w:val="21"/>
        </w:rPr>
        <w:t xml:space="preserve"> (Notice ARC 1520C,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1695C</w:t>
      </w:r>
      <w:r>
        <w:rPr>
          <w:rFonts w:ascii="Times New Roman" w:hAnsi="Times New Roman"/>
          <w:b w:val="false"/>
          <w:i w:val="false"/>
          <w:color w:val="000000"/>
          <w:sz w:val="21"/>
        </w:rPr>
        <w:t xml:space="preserve"> (Notice ARC 1621C,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1697C</w:t>
      </w:r>
      <w:r>
        <w:rPr>
          <w:rFonts w:ascii="Times New Roman" w:hAnsi="Times New Roman"/>
          <w:b w:val="false"/>
          <w:i w:val="false"/>
          <w:color w:val="000000"/>
          <w:sz w:val="21"/>
        </w:rPr>
        <w:t xml:space="preserve"> (Notice ARC 1619C,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1699C</w:t>
      </w:r>
      <w:r>
        <w:rPr>
          <w:rFonts w:ascii="Times New Roman" w:hAnsi="Times New Roman"/>
          <w:b w:val="false"/>
          <w:i w:val="false"/>
          <w:color w:val="000000"/>
          <w:sz w:val="21"/>
        </w:rPr>
        <w:t xml:space="preserve"> (Notice ARC 1617C,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1977C</w:t>
      </w:r>
      <w:r>
        <w:rPr>
          <w:rFonts w:ascii="Times New Roman" w:hAnsi="Times New Roman"/>
          <w:b w:val="false"/>
          <w:i w:val="false"/>
          <w:color w:val="000000"/>
          <w:sz w:val="21"/>
        </w:rPr>
        <w:t xml:space="preserve"> (Notice ARC 1818C, IAB 1/7/15)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ARC 2075C, IAB 8/5/15, effective 7/15/15]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2167C</w:t>
      </w:r>
      <w:r>
        <w:rPr>
          <w:rFonts w:ascii="Times New Roman" w:hAnsi="Times New Roman"/>
          <w:b w:val="false"/>
          <w:i w:val="false"/>
          <w:color w:val="000000"/>
          <w:sz w:val="21"/>
        </w:rPr>
        <w:t xml:space="preserve"> (Notice ARC 2076C,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2846C, IAB 12/7/16, effective 11/15/16]</w:t>
      </w:r>
      <w:r>
        <w:br/>
      </w: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2932C</w:t>
      </w:r>
      <w:r>
        <w:rPr>
          <w:rFonts w:ascii="Times New Roman" w:hAnsi="Times New Roman"/>
          <w:b w:val="false"/>
          <w:i w:val="false"/>
          <w:color w:val="000000"/>
          <w:sz w:val="21"/>
        </w:rPr>
        <w:t xml:space="preserve"> (Notice ARC 2847C, IAB 12/7/16)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3006C</w:t>
      </w:r>
      <w:r>
        <w:rPr>
          <w:rFonts w:ascii="Times New Roman" w:hAnsi="Times New Roman"/>
          <w:b w:val="false"/>
          <w:i w:val="false"/>
          <w:color w:val="000000"/>
          <w:sz w:val="21"/>
        </w:rPr>
        <w:t xml:space="preserve"> (Notice ARC 2899C, IAB 1/18/17)</w:t>
      </w:r>
      <w:r>
        <w:rPr>
          <w:rFonts w:ascii="Times New Roman" w:hAnsi="Times New Roman"/>
          <w:b w:val="false"/>
          <w:i w:val="false"/>
          <w:color w:val="000000"/>
          <w:sz w:val="21"/>
        </w:rPr>
        <w:t>, IAB 3/29/17, effective 6/1/17]</w:t>
      </w:r>
    </w:p>
    <w:p>
      <w:pPr>
        <w:spacing w:before="0" w:after="0"/>
        <w:ind w:left="120"/>
        <w:jc w:val="center"/>
      </w:pPr>
      <w:r>
        <w:rPr>
          <w:rFonts w:ascii="Times New Roman" w:hAnsi="Times New Roman"/>
          <w:b w:val="false"/>
          <w:i w:val="false"/>
          <w:color w:val="000000"/>
          <w:sz w:val="21"/>
        </w:rPr>
        <w:t>[Filed Emergency ARC 3158C, IAB 7/5/17, effective 7/1/17]</w:t>
      </w:r>
      <w:r>
        <w:br/>
      </w:r>
      <w:r>
        <w:rPr>
          <w:rFonts w:ascii="Times New Roman" w:hAnsi="Times New Roman"/>
          <w:b w:val="false"/>
          <w:i w:val="false"/>
          <w:color w:val="000000"/>
          <w:sz w:val="21"/>
        </w:rPr>
        <w:t>[Filed Emergency ARC 3161C, IAB 7/5/17, effective 7/1/17]</w:t>
      </w:r>
      <w:r>
        <w:br/>
      </w:r>
      <w:r>
        <w:rPr>
          <w:rFonts w:ascii="Times New Roman" w:hAnsi="Times New Roman"/>
          <w:b w:val="false"/>
          <w:i w:val="false"/>
          <w:color w:val="000000"/>
          <w:sz w:val="21"/>
        </w:rPr>
        <w:t>[Filed Emergency ARC 3162C, IAB 7/5/17, effective 7/1/17]</w:t>
      </w:r>
      <w:r>
        <w:br/>
      </w:r>
      <w:r>
        <w:rPr>
          <w:rFonts w:ascii="Times New Roman" w:hAnsi="Times New Roman"/>
          <w:b w:val="false"/>
          <w:i w:val="false"/>
          <w:color w:val="000000"/>
          <w:sz w:val="21"/>
        </w:rPr>
        <w:t>[Filed Emergency ARC 3160C, IAB 7/5/17, effective 7/1/17]</w:t>
      </w:r>
      <w:r>
        <w:br/>
      </w:r>
      <w:r>
        <w:rPr>
          <w:rFonts w:ascii="Times New Roman" w:hAnsi="Times New Roman"/>
          <w:b w:val="false"/>
          <w:i w:val="false"/>
          <w:color w:val="000000"/>
          <w:sz w:val="21"/>
        </w:rPr>
        <w:t>[Filed Emergency ARC 3159C, IAB 7/5/17, effective 7/1/17]</w:t>
      </w:r>
    </w:p>
    <w:p>
      <w:pPr>
        <w:spacing w:before="0" w:after="0"/>
        <w:ind w:left="120"/>
        <w:jc w:val="center"/>
      </w:pPr>
      <w:r>
        <w:rPr>
          <w:rFonts w:ascii="Times New Roman" w:hAnsi="Times New Roman"/>
          <w:b w:val="false"/>
          <w:i w:val="false"/>
          <w:color w:val="000000"/>
          <w:sz w:val="21"/>
        </w:rPr>
        <w:t>[Filed ARC 3292C</w:t>
      </w:r>
      <w:r>
        <w:rPr>
          <w:rFonts w:ascii="Times New Roman" w:hAnsi="Times New Roman"/>
          <w:b w:val="false"/>
          <w:i w:val="false"/>
          <w:color w:val="000000"/>
          <w:sz w:val="21"/>
        </w:rPr>
        <w:t xml:space="preserve"> (Notice ARC 3164C,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3293C</w:t>
      </w:r>
      <w:r>
        <w:rPr>
          <w:rFonts w:ascii="Times New Roman" w:hAnsi="Times New Roman"/>
          <w:b w:val="false"/>
          <w:i w:val="false"/>
          <w:color w:val="000000"/>
          <w:sz w:val="21"/>
        </w:rPr>
        <w:t xml:space="preserve"> (Notice ARC 3166C,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3294C</w:t>
      </w:r>
      <w:r>
        <w:rPr>
          <w:rFonts w:ascii="Times New Roman" w:hAnsi="Times New Roman"/>
          <w:b w:val="false"/>
          <w:i w:val="false"/>
          <w:color w:val="000000"/>
          <w:sz w:val="21"/>
        </w:rPr>
        <w:t xml:space="preserve"> (Notice ARC 3165C,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3295C</w:t>
      </w:r>
      <w:r>
        <w:rPr>
          <w:rFonts w:ascii="Times New Roman" w:hAnsi="Times New Roman"/>
          <w:b w:val="false"/>
          <w:i w:val="false"/>
          <w:color w:val="000000"/>
          <w:sz w:val="21"/>
        </w:rPr>
        <w:t xml:space="preserve"> (Notice ARC 3167C,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3296C</w:t>
      </w:r>
      <w:r>
        <w:rPr>
          <w:rFonts w:ascii="Times New Roman" w:hAnsi="Times New Roman"/>
          <w:b w:val="false"/>
          <w:i w:val="false"/>
          <w:color w:val="000000"/>
          <w:sz w:val="21"/>
        </w:rPr>
        <w:t xml:space="preserve"> (Notice ARC 3163C,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Emergency ARC 3358C, IAB 10/11/17, effective 10/1/17]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3554C</w:t>
      </w:r>
      <w:r>
        <w:rPr>
          <w:rFonts w:ascii="Times New Roman" w:hAnsi="Times New Roman"/>
          <w:b w:val="false"/>
          <w:i w:val="false"/>
          <w:color w:val="000000"/>
          <w:sz w:val="21"/>
        </w:rPr>
        <w:t xml:space="preserve"> (Notice ARC 3357C,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3716C</w:t>
      </w:r>
      <w:r>
        <w:rPr>
          <w:rFonts w:ascii="Times New Roman" w:hAnsi="Times New Roman"/>
          <w:b w:val="false"/>
          <w:i w:val="false"/>
          <w:color w:val="000000"/>
          <w:sz w:val="21"/>
        </w:rPr>
        <w:t xml:space="preserve"> (Notice ARC 3598C,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4067C</w:t>
      </w:r>
      <w:r>
        <w:rPr>
          <w:rFonts w:ascii="Times New Roman" w:hAnsi="Times New Roman"/>
          <w:b w:val="false"/>
          <w:i w:val="false"/>
          <w:color w:val="000000"/>
          <w:sz w:val="21"/>
        </w:rPr>
        <w:t xml:space="preserve"> (Notice ARC 3923C, IAB 8/1/18)</w:t>
      </w:r>
      <w:r>
        <w:rPr>
          <w:rFonts w:ascii="Times New Roman" w:hAnsi="Times New Roman"/>
          <w:b w:val="false"/>
          <w:i w:val="false"/>
          <w:color w:val="000000"/>
          <w:sz w:val="21"/>
        </w:rPr>
        <w:t>, IAB 10/10/18, effective 11/14/18]</w:t>
      </w:r>
      <w:r>
        <w:br/>
      </w:r>
      <w:r>
        <w:rPr>
          <w:rFonts w:ascii="Times New Roman" w:hAnsi="Times New Roman"/>
          <w:b w:val="false"/>
          <w:i w:val="false"/>
          <w:color w:val="000000"/>
          <w:sz w:val="21"/>
        </w:rPr>
        <w:t>[Filed ARC 4065C</w:t>
      </w:r>
      <w:r>
        <w:rPr>
          <w:rFonts w:ascii="Times New Roman" w:hAnsi="Times New Roman"/>
          <w:b w:val="false"/>
          <w:i w:val="false"/>
          <w:color w:val="000000"/>
          <w:sz w:val="21"/>
        </w:rPr>
        <w:t xml:space="preserve"> (Notice ARC 3911C,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4066C</w:t>
      </w:r>
      <w:r>
        <w:rPr>
          <w:rFonts w:ascii="Times New Roman" w:hAnsi="Times New Roman"/>
          <w:b w:val="false"/>
          <w:i w:val="false"/>
          <w:color w:val="000000"/>
          <w:sz w:val="21"/>
        </w:rPr>
        <w:t xml:space="preserve"> (Notice ARC 3909C,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4068C</w:t>
      </w:r>
      <w:r>
        <w:rPr>
          <w:rFonts w:ascii="Times New Roman" w:hAnsi="Times New Roman"/>
          <w:b w:val="false"/>
          <w:i w:val="false"/>
          <w:color w:val="000000"/>
          <w:sz w:val="21"/>
        </w:rPr>
        <w:t xml:space="preserve"> (Notice ARC 3906C, IAB 8/1/18)</w:t>
      </w:r>
      <w:r>
        <w:rPr>
          <w:rFonts w:ascii="Times New Roman" w:hAnsi="Times New Roman"/>
          <w:b w:val="false"/>
          <w:i w:val="false"/>
          <w:color w:val="000000"/>
          <w:sz w:val="21"/>
        </w:rPr>
        <w:t>, IAB 10/10/18, effective 12/1/18]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4974C</w:t>
      </w:r>
      <w:r>
        <w:rPr>
          <w:rFonts w:ascii="Times New Roman" w:hAnsi="Times New Roman"/>
          <w:b w:val="false"/>
          <w:i w:val="false"/>
          <w:color w:val="000000"/>
          <w:sz w:val="21"/>
        </w:rPr>
        <w:t xml:space="preserve"> (Notice ARC 4819C, IAB 12/18/19)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4975C</w:t>
      </w:r>
      <w:r>
        <w:rPr>
          <w:rFonts w:ascii="Times New Roman" w:hAnsi="Times New Roman"/>
          <w:b w:val="false"/>
          <w:i w:val="false"/>
          <w:color w:val="000000"/>
          <w:sz w:val="21"/>
        </w:rPr>
        <w:t xml:space="preserve"> (Notice ARC 4818C,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Emergency After Notice ARC 5901C</w:t>
      </w:r>
      <w:r>
        <w:rPr>
          <w:rFonts w:ascii="Times New Roman" w:hAnsi="Times New Roman"/>
          <w:b w:val="false"/>
          <w:i w:val="false"/>
          <w:color w:val="000000"/>
          <w:sz w:val="21"/>
        </w:rPr>
        <w:t xml:space="preserve"> (Notice ARC 5708C, IAB 6/16/21)</w:t>
      </w:r>
      <w:r>
        <w:rPr>
          <w:rFonts w:ascii="Times New Roman" w:hAnsi="Times New Roman"/>
          <w:b w:val="false"/>
          <w:i w:val="false"/>
          <w:color w:val="000000"/>
          <w:sz w:val="21"/>
        </w:rPr>
        <w:t>, IAB 9/8/21, effective 10/1/21]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Emergency After Notice ARC 6563C</w:t>
      </w:r>
      <w:r>
        <w:rPr>
          <w:rFonts w:ascii="Times New Roman" w:hAnsi="Times New Roman"/>
          <w:b w:val="false"/>
          <w:i w:val="false"/>
          <w:color w:val="000000"/>
          <w:sz w:val="21"/>
        </w:rPr>
        <w:t xml:space="preserve"> (Notice ARC 6419C, IAB 7/27/22)</w:t>
      </w:r>
      <w:r>
        <w:rPr>
          <w:rFonts w:ascii="Times New Roman" w:hAnsi="Times New Roman"/>
          <w:b w:val="false"/>
          <w:i w:val="false"/>
          <w:color w:val="000000"/>
          <w:sz w:val="21"/>
        </w:rPr>
        <w:t>, IAB 10/5/22, effective 9/16/22]</w:t>
      </w:r>
    </w:p>
    <w:p>
      <w:pPr>
        <w:spacing w:before="0" w:after="0"/>
        <w:ind w:left="120"/>
        <w:jc w:val="center"/>
      </w:pPr>
      <w:r>
        <w:rPr>
          <w:rFonts w:ascii="Times New Roman" w:hAnsi="Times New Roman"/>
          <w:b w:val="false"/>
          <w:i w:val="false"/>
          <w:color w:val="000000"/>
          <w:sz w:val="21"/>
        </w:rPr>
        <w:t>[Filed ARC 6625C</w:t>
      </w:r>
      <w:r>
        <w:rPr>
          <w:rFonts w:ascii="Times New Roman" w:hAnsi="Times New Roman"/>
          <w:b w:val="false"/>
          <w:i w:val="false"/>
          <w:color w:val="000000"/>
          <w:sz w:val="21"/>
        </w:rPr>
        <w:t xml:space="preserve"> (Notice ARC 6475C,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90">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w:t>
      </w:r>
      <w:hyperlink r:id="rId391">
        <w:r>
          <w:rPr>
            <w:rStyle w:val="Hyperlink"/>
            <w:rFonts w:ascii="Times New Roman" w:hAnsi="Times New Roman"/>
            <w:b w:val="false"/>
            <w:i w:val="false"/>
            <w:color w:val="000000"/>
            <w:sz w:val="22"/>
          </w:rPr>
          <w:t>79.1(5)</w:t>
        </w:r>
        <w:r>
          <w:rPr>
            <w:rFonts w:ascii="Times New Roman" w:hAnsi="Times New Roman"/>
            <w:b w:val="false"/>
            <w:i/>
            <w:color w:val="000000"/>
            <w:sz w:val="22"/>
          </w:rPr>
          <w:t>“t”</w:t>
        </w:r>
      </w:hyperlink>
      <w:r>
        <w:rPr>
          <w:rFonts w:ascii="Times New Roman" w:hAnsi="Times New Roman"/>
          <w:b w:val="false"/>
          <w:i w:val="false"/>
          <w:color w:val="000000"/>
          <w:sz w:val="22"/>
        </w:rPr>
        <w:t xml:space="preserve"> delayed 70 days by the Administrative Rules Review Committee at its January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p>
      <w:pPr>
        <w:pBdr>
          <w:bottom w:space="2"/>
        </w:pBdr>
        <w:spacing w:before="0" w:after="0"/>
        <w:ind w:left="120"/>
        <w:jc w:val="both"/>
      </w:pPr>
      <w:r>
        <w:rPr>
          <w:rFonts w:ascii="Times New Roman" w:hAnsi="Times New Roman"/>
          <w:b w:val="false"/>
          <w:i w:val="false"/>
          <w:color w:val="000000"/>
          <w:sz w:val="22"/>
        </w:rPr>
        <w:t xml:space="preserve">Effective date of subrule </w:t>
      </w:r>
      <w:hyperlink r:id="rId392">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 xml:space="preserve"> delayed until adjournment of the 1992 Sessions of the General Assembly by the Administrative Rules Review Committee at its meeting held July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October 1, 2002, delayed 70 days by the Administrative Rules Review Committee at its meeting held September 10, 2002. At its meeting held November 19, 2002, the Committee voted to delay the effective date until adjournment of the 2003 Session of the General Assembly.</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393">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xml:space="preserve">“d,” 79.1(2), and </w:t>
      </w:r>
      <w:hyperlink r:id="rId394">
        <w:r>
          <w:rPr>
            <w:rStyle w:val="Hyperlink"/>
            <w:rFonts w:ascii="Times New Roman" w:hAnsi="Times New Roman"/>
            <w:b w:val="false"/>
            <w:i w:val="false"/>
            <w:color w:val="000000"/>
            <w:sz w:val="22"/>
          </w:rPr>
          <w:t>79.1(24)</w:t>
        </w:r>
      </w:hyperlink>
      <w:r>
        <w:rPr>
          <w:rFonts w:ascii="Times New Roman" w:hAnsi="Times New Roman"/>
          <w:b w:val="false"/>
          <w:i w:val="false"/>
          <w:color w:val="000000"/>
          <w:sz w:val="22"/>
        </w:rPr>
        <w:t>“a”(1)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See HJR 2008 of 2012 Session of the Eighty-fourth General Assembly regarding nullification of amendment to </w:t>
      </w:r>
      <w:hyperlink r:id="rId395">
        <w:r>
          <w:rPr>
            <w:rStyle w:val="Hyperlink"/>
            <w:rFonts w:ascii="Times New Roman" w:hAnsi="Times New Roman"/>
            <w:b w:val="false"/>
            <w:i w:val="false"/>
            <w:color w:val="000000"/>
            <w:sz w:val="22"/>
          </w:rPr>
          <w:t>79.1(7)</w:t>
        </w:r>
        <w:r>
          <w:rPr>
            <w:rFonts w:ascii="Times New Roman" w:hAnsi="Times New Roman"/>
            <w:b w:val="false"/>
            <w:i/>
            <w:color w:val="000000"/>
            <w:sz w:val="22"/>
          </w:rPr>
          <w:t>“b”</w:t>
        </w:r>
      </w:hyperlink>
      <w:r>
        <w:rPr>
          <w:rFonts w:ascii="Times New Roman" w:hAnsi="Times New Roman"/>
          <w:b w:val="false"/>
          <w:i w:val="false"/>
          <w:color w:val="000000"/>
          <w:sz w:val="22"/>
        </w:rPr>
        <w:t xml:space="preserve"> (ARC 9959B, IAB 1/11/12).</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dhs.iowa.gov/ime/providers/csrp/fee-schedule"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9.1.pdf" Type="http://schemas.openxmlformats.org/officeDocument/2006/relationships/hyperlink" Id="rId15"/>
    <Relationship TargetMode="External" Target="https://www.legis.iowa.gov/docs/iac/rule/441.77.45.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co/chapter/225C.7.pdf" Type="http://schemas.openxmlformats.org/officeDocument/2006/relationships/hyperlink" Id="rId19"/>
    <Relationship TargetMode="External" Target="https://www.legis.iowa.gov/docs/iac/rule/441.79.1.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chapter/441.73.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9.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9.pdf" Type="http://schemas.openxmlformats.org/officeDocument/2006/relationships/hyperlink" Id="rId39"/>
    <Relationship TargetMode="External" Target="https://www.legis.iowa.gov/docs/iac/rule/441.79.9.pdf" Type="http://schemas.openxmlformats.org/officeDocument/2006/relationships/hyperlink" Id="rId40"/>
    <Relationship TargetMode="External" Target="https://www.legis.iowa.gov/docs/iac/rule/441.79.9.pdf" Type="http://schemas.openxmlformats.org/officeDocument/2006/relationships/hyperlink" Id="rId41"/>
    <Relationship TargetMode="External" Target="https://www.legis.iowa.gov/docs/iac/rule/441.79.1.pdf" Type="http://schemas.openxmlformats.org/officeDocument/2006/relationships/hyperlink" Id="rId42"/>
    <Relationship TargetMode="External" Target="https://www.legis.iowa.gov/docs/iac/rule/441.81.6.pdf" Type="http://schemas.openxmlformats.org/officeDocument/2006/relationships/hyperlink" Id="rId43"/>
    <Relationship TargetMode="External" Target="https://www.legis.iowa.gov/docs/iac/rule/441.79.1.pdf" Type="http://schemas.openxmlformats.org/officeDocument/2006/relationships/hyperlink" Id="rId44"/>
    <Relationship TargetMode="External" Target="https://www.legis.iowa.gov/docs/iac/rule/441.79.1.pdf" Type="http://schemas.openxmlformats.org/officeDocument/2006/relationships/hyperlink" Id="rId45"/>
    <Relationship TargetMode="External" Target="https://www.legis.iowa.gov/docs/iac/rule/441.79.1.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79.1.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82.5.pdf" Type="http://schemas.openxmlformats.org/officeDocument/2006/relationships/hyperlink" Id="rId53"/>
    <Relationship TargetMode="External" Target="https://www.legis.iowa.gov/docs/iac/rule/441.81.10.pdf" Type="http://schemas.openxmlformats.org/officeDocument/2006/relationships/hyperlink" Id="rId54"/>
    <Relationship TargetMode="External" Target="https://www.legis.iowa.gov/docs/iac/rule/441.81.6.pdf" Type="http://schemas.openxmlformats.org/officeDocument/2006/relationships/hyperlink" Id="rId55"/>
    <Relationship TargetMode="External" Target="https://www.legis.iowa.gov/docs/iac/rule/441.81.6.pdf" Type="http://schemas.openxmlformats.org/officeDocument/2006/relationships/hyperlink" Id="rId56"/>
    <Relationship TargetMode="External" Target="https://www.legis.iowa.gov/docs/iac/rule/441.81.6.pdf" Type="http://schemas.openxmlformats.org/officeDocument/2006/relationships/hyperlink" Id="rId57"/>
    <Relationship TargetMode="External" Target="https://www.legis.iowa.gov/docs/iac/rule/441.81.6.pdf" Type="http://schemas.openxmlformats.org/officeDocument/2006/relationships/hyperlink" Id="rId58"/>
    <Relationship TargetMode="External" Target="https://www.legis.iowa.gov/docs/iac/rule/441.81.6.pdf" Type="http://schemas.openxmlformats.org/officeDocument/2006/relationships/hyperlink" Id="rId59"/>
    <Relationship TargetMode="External" Target="https://www.legis.iowa.gov/docs/iac/rule/441.81.6.pdf" Type="http://schemas.openxmlformats.org/officeDocument/2006/relationships/hyperlink" Id="rId60"/>
    <Relationship TargetMode="External" Target="https://www.legis.iowa.gov/docs/iac/rule/441.81.6.pdf" Type="http://schemas.openxmlformats.org/officeDocument/2006/relationships/hyperlink" Id="rId61"/>
    <Relationship TargetMode="External" Target="https://www.legis.iowa.gov/docs/iac/rule/441.81.6.pdf" Type="http://schemas.openxmlformats.org/officeDocument/2006/relationships/hyperlink" Id="rId62"/>
    <Relationship TargetMode="External" Target="https://www.legis.iowa.gov/docs/iac/rule/441.81.10.pdf" Type="http://schemas.openxmlformats.org/officeDocument/2006/relationships/hyperlink" Id="rId63"/>
    <Relationship TargetMode="External" Target="https://www.legis.iowa.gov/docs/iac/rule/441.81.6.pdf" Type="http://schemas.openxmlformats.org/officeDocument/2006/relationships/hyperlink" Id="rId64"/>
    <Relationship TargetMode="External" Target="https://www.legis.iowa.gov/docs/iac/rule/441.81.6.pdf" Type="http://schemas.openxmlformats.org/officeDocument/2006/relationships/hyperlink" Id="rId65"/>
    <Relationship TargetMode="External" Target="https://www.legis.iowa.gov/docs/iac/rule/441.81.6.pdf" Type="http://schemas.openxmlformats.org/officeDocument/2006/relationships/hyperlink" Id="rId66"/>
    <Relationship TargetMode="External" Target="https://www.legis.iowa.gov/docs/iac/rule/441.81.6.pdf" Type="http://schemas.openxmlformats.org/officeDocument/2006/relationships/hyperlink" Id="rId67"/>
    <Relationship TargetMode="External" Target="https://www.legis.iowa.gov/docs/iac/rule/441.81.6.pdf" Type="http://schemas.openxmlformats.org/officeDocument/2006/relationships/hyperlink" Id="rId68"/>
    <Relationship TargetMode="External" Target="https://www.legis.iowa.gov/docs/iac/rule/441.81.6.pdf" Type="http://schemas.openxmlformats.org/officeDocument/2006/relationships/hyperlink" Id="rId69"/>
    <Relationship TargetMode="External" Target="https://www.legis.iowa.gov/docs/iac/rule/441.81.6.pdf" Type="http://schemas.openxmlformats.org/officeDocument/2006/relationships/hyperlink" Id="rId70"/>
    <Relationship TargetMode="External" Target="https://www.legis.iowa.gov/docs/iac/rule/441.81.6.pdf" Type="http://schemas.openxmlformats.org/officeDocument/2006/relationships/hyperlink" Id="rId71"/>
    <Relationship TargetMode="External" Target="https://www.legis.iowa.gov/docs/iac/rule/441.81.6.pdf" Type="http://schemas.openxmlformats.org/officeDocument/2006/relationships/hyperlink" Id="rId72"/>
    <Relationship TargetMode="External" Target="https://www.legis.iowa.gov/docs/iac/rule/441.79.1.pdf" Type="http://schemas.openxmlformats.org/officeDocument/2006/relationships/hyperlink" Id="rId73"/>
    <Relationship TargetMode="External" Target="https://www.legis.iowa.gov/docs/iac/rule/441.79.1.pdf" Type="http://schemas.openxmlformats.org/officeDocument/2006/relationships/hyperlink" Id="rId74"/>
    <Relationship TargetMode="External" Target="https://www.legis.iowa.gov/docs/iac/rule/441.81.6.pdf" Type="http://schemas.openxmlformats.org/officeDocument/2006/relationships/hyperlink" Id="rId75"/>
    <Relationship TargetMode="External" Target="https://www.legis.iowa.gov/docs/iac/rule/441.79.1.pdf" Type="http://schemas.openxmlformats.org/officeDocument/2006/relationships/hyperlink" Id="rId76"/>
    <Relationship TargetMode="External" Target="https://www.legis.iowa.gov/docs/iac/rule/441.79.1.pdf" Type="http://schemas.openxmlformats.org/officeDocument/2006/relationships/hyperlink" Id="rId77"/>
    <Relationship TargetMode="External" Target="https://www.legis.iowa.gov/docs/iac/rule/441.79.1.pdf" Type="http://schemas.openxmlformats.org/officeDocument/2006/relationships/hyperlink" Id="rId78"/>
    <Relationship TargetMode="External" Target="https://www.legis.iowa.gov/docs/iac/rule/441.79.1.pdf" Type="http://schemas.openxmlformats.org/officeDocument/2006/relationships/hyperlink" Id="rId79"/>
    <Relationship TargetMode="External" Target="https://www.legis.iowa.gov/docs/iac/rule/441.79.1.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81.6.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chapter/441.73.pdf" Type="http://schemas.openxmlformats.org/officeDocument/2006/relationships/hyperlink" Id="rId86"/>
    <Relationship TargetMode="External" Target="https://www.legis.iowa.gov/docs/iac/rule/441.79.1.pdf" Type="http://schemas.openxmlformats.org/officeDocument/2006/relationships/hyperlink" Id="rId87"/>
    <Relationship TargetMode="External" Target="https://www.legis.iowa.gov/docs/iac/rule/441.78.10.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rule/441.79.1.pdf" Type="http://schemas.openxmlformats.org/officeDocument/2006/relationships/hyperlink" Id="rId90"/>
    <Relationship TargetMode="External" Target="https://www.legis.iowa.gov/docs/iac/rule/481.51.52.pdf" Type="http://schemas.openxmlformats.org/officeDocument/2006/relationships/hyperlink" Id="rId91"/>
    <Relationship TargetMode="External" Target="https://www.legis.iowa.gov/docs/iac/rule/441.79.1.pdf" Type="http://schemas.openxmlformats.org/officeDocument/2006/relationships/hyperlink" Id="rId92"/>
    <Relationship TargetMode="External" Target="https://www.legis.iowa.gov/docs/iac/rule/441.1.159.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8.3.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9.1.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8.1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ac/chapter/643.3.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412.27.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chapter/641.150.pdf" Type="http://schemas.openxmlformats.org/officeDocument/2006/relationships/hyperlink" Id="rId132"/>
    <Relationship TargetMode="External" Target="https://www.legis.iowa.gov/docs/iac/rule/441.79.1.pdf" Type="http://schemas.openxmlformats.org/officeDocument/2006/relationships/hyperlink" Id="rId133"/>
    <Relationship TargetMode="External" Target="https://www.legis.iowa.gov/docs/iac/rule/441.412.27.pdf" Type="http://schemas.openxmlformats.org/officeDocument/2006/relationships/hyperlink" Id="rId134"/>
    <Relationship TargetMode="External" Target="https://www.legis.iowa.gov/docs/iac/rule/441.79.1.pdf" Type="http://schemas.openxmlformats.org/officeDocument/2006/relationships/hyperlink" Id="rId135"/>
    <Relationship TargetMode="External" Target="https://www.legis.iowa.gov/docs/iac/rule/441.412.632.pdf" Type="http://schemas.openxmlformats.org/officeDocument/2006/relationships/hyperlink" Id="rId136"/>
    <Relationship TargetMode="External" Target="https://www.legis.iowa.gov/docs/iac/chapter/441.36.pdf" Type="http://schemas.openxmlformats.org/officeDocument/2006/relationships/hyperlink" Id="rId137"/>
    <Relationship TargetMode="External" Target="https://www.legis.iowa.gov/docs/iac/rule/441.36.10.pdf" Type="http://schemas.openxmlformats.org/officeDocument/2006/relationships/hyperlink" Id="rId138"/>
    <Relationship TargetMode="External" Target="https://www.legis.iowa.gov/docs/iac/chapter/441.36.pdf" Type="http://schemas.openxmlformats.org/officeDocument/2006/relationships/hyperlink" Id="rId139"/>
    <Relationship TargetMode="External" Target="https://www.legis.iowa.gov/docs/iac/rule/441.36.12.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1.pdf" Type="http://schemas.openxmlformats.org/officeDocument/2006/relationships/hyperlink" Id="rId144"/>
    <Relationship TargetMode="External" Target="https://www.legis.iowa.gov/docs/iac/rule/441.79.1.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441.79.1.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9.1.pdf" Type="http://schemas.openxmlformats.org/officeDocument/2006/relationships/hyperlink" Id="rId155"/>
    <Relationship TargetMode="External" Target="https://www.legis.iowa.gov/docs/iac/rule/441.79.1.pdf" Type="http://schemas.openxmlformats.org/officeDocument/2006/relationships/hyperlink" Id="rId156"/>
    <Relationship TargetMode="External" Target="https://www.legis.iowa.gov/docs/iac/rule/441.79.1.pdf" Type="http://schemas.openxmlformats.org/officeDocument/2006/relationships/hyperlink" Id="rId157"/>
    <Relationship TargetMode="External" Target="https://www.legis.iowa.gov/docs/iac/rule/441.78.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chapter/441.12.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9.1.pdf" Type="http://schemas.openxmlformats.org/officeDocument/2006/relationships/hyperlink" Id="rId185"/>
    <Relationship TargetMode="External" Target="https://www.legis.iowa.gov/docs/iac/rule/441.79.1.pdf" Type="http://schemas.openxmlformats.org/officeDocument/2006/relationships/hyperlink" Id="rId186"/>
    <Relationship TargetMode="External" Target="https://www.legis.iowa.gov/docs/iac/rule/441.79.1.pdf" Type="http://schemas.openxmlformats.org/officeDocument/2006/relationships/hyperlink" Id="rId187"/>
    <Relationship TargetMode="External" Target="https://www.legis.iowa.gov/docs/iac/rule/441.79.1.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9.1.pdf" Type="http://schemas.openxmlformats.org/officeDocument/2006/relationships/hyperlink" Id="rId193"/>
    <Relationship TargetMode="External" Target="https://www.legis.iowa.gov/docs/iac/rule/441.79.1.pdf" Type="http://schemas.openxmlformats.org/officeDocument/2006/relationships/hyperlink" Id="rId194"/>
    <Relationship TargetMode="External" Target="https://www.legis.iowa.gov/docs/iac/rule/441.77.45.pdf" Type="http://schemas.openxmlformats.org/officeDocument/2006/relationships/hyperlink" Id="rId195"/>
    <Relationship TargetMode="External" Target="https://www.legis.iowa.gov/docs/iac/rule/441.77.45.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79.1.pdf" Type="http://schemas.openxmlformats.org/officeDocument/2006/relationships/hyperlink" Id="rId202"/>
    <Relationship TargetMode="External" Target="https://www.legis.iowa.gov/docs/iac/rule/441.78.10.pdf" Type="http://schemas.openxmlformats.org/officeDocument/2006/relationships/hyperlink" Id="rId203"/>
    <Relationship TargetMode="External" Target="https://www.legis.iowa.gov/docs/iac/rule/441.77.1.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0.2.pdf" Type="http://schemas.openxmlformats.org/officeDocument/2006/relationships/hyperlink" Id="rId206"/>
    <Relationship TargetMode="External" Target="costaudit@dhs.state.ia.us"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82.5.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9.1.pdf" Type="http://schemas.openxmlformats.org/officeDocument/2006/relationships/hyperlink" Id="rId236"/>
    <Relationship TargetMode="External" Target="https://www.legis.iowa.gov/docs/iac/rule/441.79.1.pdf" Type="http://schemas.openxmlformats.org/officeDocument/2006/relationships/hyperlink" Id="rId237"/>
    <Relationship TargetMode="External" Target="https://www.legis.iowa.gov/docs/iac/rule/441.79.1.pdf" Type="http://schemas.openxmlformats.org/officeDocument/2006/relationships/hyperlink" Id="rId238"/>
    <Relationship TargetMode="External" Target="https://www.legis.iowa.gov/docs/iac/rule/441.79.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rule/441.78.31.pdf" Type="http://schemas.openxmlformats.org/officeDocument/2006/relationships/hyperlink" Id="rId243"/>
    <Relationship TargetMode="External" Target="https://www.legis.iowa.gov/docs/iac/rule/441.78.31.pdf" Type="http://schemas.openxmlformats.org/officeDocument/2006/relationships/hyperlink" Id="rId244"/>
    <Relationship TargetMode="External" Target="https://www.legis.iowa.gov/docs/iac/rule/441.78.31.pdf" Type="http://schemas.openxmlformats.org/officeDocument/2006/relationships/hyperlink" Id="rId245"/>
    <Relationship TargetMode="External" Target="https://www.legis.iowa.gov/docs/iac/rule/441.78.31.pdf" Type="http://schemas.openxmlformats.org/officeDocument/2006/relationships/hyperlink" Id="rId246"/>
    <Relationship TargetMode="External" Target="https://www.legis.iowa.gov/docs/iac/rule/441.79.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chapter/441.36.pdf" Type="http://schemas.openxmlformats.org/officeDocument/2006/relationships/hyperlink" Id="rId251"/>
    <Relationship TargetMode="External" Target="https://www.legis.iowa.gov/docs/iac/rule/441.36.10.pdf" Type="http://schemas.openxmlformats.org/officeDocument/2006/relationships/hyperlink" Id="rId252"/>
    <Relationship TargetMode="External" Target="https://www.legis.iowa.gov/docs/iac/chapter/441.36.pdf" Type="http://schemas.openxmlformats.org/officeDocument/2006/relationships/hyperlink" Id="rId253"/>
    <Relationship TargetMode="External" Target="https://www.legis.iowa.gov/docs/iac/rule/441.36.12.pdf" Type="http://schemas.openxmlformats.org/officeDocument/2006/relationships/hyperlink" Id="rId254"/>
    <Relationship TargetMode="External" Target="https://www.legis.iowa.gov/docs/iac/rule/441.78.31.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447.325.pdf" Type="http://schemas.openxmlformats.org/officeDocument/2006/relationships/hyperlink" Id="rId258"/>
    <Relationship TargetMode="External" Target="https://www.legis.iowa.gov/docs/iac/rule/441.79.1.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9.1.pdf" Type="http://schemas.openxmlformats.org/officeDocument/2006/relationships/hyperlink" Id="rId261"/>
    <Relationship TargetMode="External" Target="https://www.legis.iowa.gov/docs/iac/rule/441.78.47.pdf" Type="http://schemas.openxmlformats.org/officeDocument/2006/relationships/hyperlink" Id="rId262"/>
    <Relationship TargetMode="External" Target="https://www.legis.iowa.gov/docs/iac/rule/441.79.1.pdf" Type="http://schemas.openxmlformats.org/officeDocument/2006/relationships/hyperlink" Id="rId263"/>
    <Relationship TargetMode="External" Target="https://www.legis.iowa.gov/docs/iac/rule/441.79.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79.1.pdf" Type="http://schemas.openxmlformats.org/officeDocument/2006/relationships/hyperlink" Id="rId266"/>
    <Relationship TargetMode="External" Target="https://www.legis.iowa.gov/docs/iac/rule/441.79.1.pdf" Type="http://schemas.openxmlformats.org/officeDocument/2006/relationships/hyperlink" Id="rId267"/>
    <Relationship TargetMode="External" Target="https://www.legis.iowa.gov/docs/iac/rule/441.79.1.pdf" Type="http://schemas.openxmlformats.org/officeDocument/2006/relationships/hyperlink" Id="rId268"/>
    <Relationship TargetMode="External" Target="https://www.legis.iowa.gov/docs/iac/rule/441.79.1.pdf" Type="http://schemas.openxmlformats.org/officeDocument/2006/relationships/hyperlink" Id="rId269"/>
    <Relationship TargetMode="External" Target="https://www.legis.iowa.gov/docs/iac/rule/441.79.1.pdf" Type="http://schemas.openxmlformats.org/officeDocument/2006/relationships/hyperlink" Id="rId270"/>
    <Relationship TargetMode="External" Target="https://www.legis.iowa.gov/docs/ico/chapter/225C.7.pdf" Type="http://schemas.openxmlformats.org/officeDocument/2006/relationships/hyperlink" Id="rId271"/>
    <Relationship TargetMode="External" Target="https://www.legis.iowa.gov/docs/ico/chapter/225C.7.pdf" Type="http://schemas.openxmlformats.org/officeDocument/2006/relationships/hyperlink" Id="rId272"/>
    <Relationship TargetMode="External" Target="https://www.legis.iowa.gov/docs/ico/chapter/225C.7.pdf" Type="http://schemas.openxmlformats.org/officeDocument/2006/relationships/hyperlink" Id="rId273"/>
    <Relationship TargetMode="External" Target="https://www.legis.iowa.gov/docs/ico/chapter/225C.7.pdf" Type="http://schemas.openxmlformats.org/officeDocument/2006/relationships/hyperlink" Id="rId274"/>
    <Relationship TargetMode="External" Target="https://www.legis.iowa.gov/docs/iac/rule/441.79.1.pdf" Type="http://schemas.openxmlformats.org/officeDocument/2006/relationships/hyperlink" Id="rId275"/>
    <Relationship TargetMode="External" Target="mailto:costaudit@dhs.state.ia.us" Type="http://schemas.openxmlformats.org/officeDocument/2006/relationships/hyperlink" Id="rId276"/>
    <Relationship TargetMode="External" Target="https://www.legis.iowa.gov/docs/iac/rule/441.79.1.pdf" Type="http://schemas.openxmlformats.org/officeDocument/2006/relationships/hyperlink" Id="rId277"/>
    <Relationship TargetMode="External" Target="https://www.legis.iowa.gov/docs/iac/rule/441.79.3.pdf" Type="http://schemas.openxmlformats.org/officeDocument/2006/relationships/hyperlink" Id="rId278"/>
    <Relationship TargetMode="External" Target="https://www.legis.iowa.gov/docs/iac/rule/441.79.1.pdf" Type="http://schemas.openxmlformats.org/officeDocument/2006/relationships/hyperlink" Id="rId279"/>
    <Relationship TargetMode="External" Target="https://www.legis.iowa.gov/docs/iac/rule/441.79.1.pdf" Type="http://schemas.openxmlformats.org/officeDocument/2006/relationships/hyperlink" Id="rId280"/>
    <Relationship TargetMode="External" Target="https://www.legis.iowa.gov/docs/ico/chapter/249A.4.pdf" Type="http://schemas.openxmlformats.org/officeDocument/2006/relationships/hyperlink" Id="rId281"/>
    <Relationship TargetMode="External" Target="https://www.legis.iowa.gov/docs/ico/chapter/685.pdf" Type="http://schemas.openxmlformats.org/officeDocument/2006/relationships/hyperlink" Id="rId282"/>
    <Relationship TargetMode="External" Target="https://www.legis.iowa.gov/docs/ico/chapter/249A.pdf" Type="http://schemas.openxmlformats.org/officeDocument/2006/relationships/hyperlink" Id="rId283"/>
    <Relationship TargetMode="External" Target="https://www.legis.iowa.gov/docs/ico/chapter/685.pdf" Type="http://schemas.openxmlformats.org/officeDocument/2006/relationships/hyperlink" Id="rId284"/>
    <Relationship TargetMode="External" Target="https://www.legis.iowa.gov/docs/ico/chapter/249A.pdf" Type="http://schemas.openxmlformats.org/officeDocument/2006/relationships/hyperlink" Id="rId285"/>
    <Relationship TargetMode="External" Target="https://www.legis.iowa.gov/docs/iac/chapter/441.7.pdf" Type="http://schemas.openxmlformats.org/officeDocument/2006/relationships/hyperlink" Id="rId286"/>
    <Relationship TargetMode="External" Target="https://www.legis.iowa.gov/docs/iac/chapter/441.7.pdf" Type="http://schemas.openxmlformats.org/officeDocument/2006/relationships/hyperlink" Id="rId287"/>
    <Relationship TargetMode="External" Target="https://www.legis.iowa.gov/docs/ico/chapter/17A.19.pdf" Type="http://schemas.openxmlformats.org/officeDocument/2006/relationships/hyperlink" Id="rId288"/>
    <Relationship TargetMode="External" Target="https://www.legis.iowa.gov/docs/ico/chapter/249A.4.pdf" Type="http://schemas.openxmlformats.org/officeDocument/2006/relationships/hyperlink" Id="rId289"/>
    <Relationship TargetMode="External" Target="https://www.legis.iowa.gov/docs/iac/rule/441.79.3.pdf" Type="http://schemas.openxmlformats.org/officeDocument/2006/relationships/hyperlink" Id="rId290"/>
    <Relationship TargetMode="External" Target="https://www.legis.iowa.gov/docs/iac/rule/441.77.30.pdf" Type="http://schemas.openxmlformats.org/officeDocument/2006/relationships/hyperlink" Id="rId291"/>
    <Relationship TargetMode="External" Target="https://www.legis.iowa.gov/docs/iac/rule/441.77.33.pdf" Type="http://schemas.openxmlformats.org/officeDocument/2006/relationships/hyperlink" Id="rId292"/>
    <Relationship TargetMode="External" Target="https://www.legis.iowa.gov/docs/iac/rule/441.77.34.pdf" Type="http://schemas.openxmlformats.org/officeDocument/2006/relationships/hyperlink" Id="rId293"/>
    <Relationship TargetMode="External" Target="https://www.legis.iowa.gov/docs/iac/rule/441.77.37.pdf" Type="http://schemas.openxmlformats.org/officeDocument/2006/relationships/hyperlink" Id="rId294"/>
    <Relationship TargetMode="External" Target="https://www.legis.iowa.gov/docs/iac/rule/441.77.39.pdf" Type="http://schemas.openxmlformats.org/officeDocument/2006/relationships/hyperlink" Id="rId295"/>
    <Relationship TargetMode="External" Target="https://www.legis.iowa.gov/docs/iac/rule/441.77.39.pdf" Type="http://schemas.openxmlformats.org/officeDocument/2006/relationships/hyperlink" Id="rId296"/>
    <Relationship TargetMode="External" Target="https://www.legis.iowa.gov/docs/iac/rule/441.77.46.pdf" Type="http://schemas.openxmlformats.org/officeDocument/2006/relationships/hyperlink" Id="rId297"/>
    <Relationship TargetMode="External" Target="https://www.legis.iowa.gov/docs/iac/rule/441.78.9.pdf" Type="http://schemas.openxmlformats.org/officeDocument/2006/relationships/hyperlink" Id="rId298"/>
    <Relationship TargetMode="External" Target="https://www.legis.iowa.gov/docs/iac/rule/441.24.4.pdf" Type="http://schemas.openxmlformats.org/officeDocument/2006/relationships/hyperlink" Id="rId299"/>
    <Relationship TargetMode="External" Target="https://www.legis.iowa.gov/docs/iac/rule/441.78.53.pdf" Type="http://schemas.openxmlformats.org/officeDocument/2006/relationships/hyperlink" Id="rId300"/>
    <Relationship TargetMode="External" Target="https://www.legis.iowa.gov/docs/ico/chapter/249A.4.pdf" Type="http://schemas.openxmlformats.org/officeDocument/2006/relationships/hyperlink" Id="rId301"/>
    <Relationship TargetMode="External" Target="https://www.legis.iowa.gov/docs/iac/rule/441.79.3.pdf" Type="http://schemas.openxmlformats.org/officeDocument/2006/relationships/hyperlink" Id="rId302"/>
    <Relationship TargetMode="External" Target="https://www.legis.iowa.gov/docs/iac/rule/441.79.3.pdf" Type="http://schemas.openxmlformats.org/officeDocument/2006/relationships/hyperlink" Id="rId303"/>
    <Relationship TargetMode="External" Target="www.ime.state.ia.us/Providers/Forms.html" Type="http://schemas.openxmlformats.org/officeDocument/2006/relationships/hyperlink" Id="rId304"/>
    <Relationship TargetMode="External" Target="https://www.legis.iowa.gov/docs/iac/rule/441.79.3.pdf" Type="http://schemas.openxmlformats.org/officeDocument/2006/relationships/hyperlink" Id="rId305"/>
    <Relationship TargetMode="External" Target="https://www.legis.iowa.gov/docs/iac/chapter/441.7.pdf" Type="http://schemas.openxmlformats.org/officeDocument/2006/relationships/hyperlink" Id="rId306"/>
    <Relationship TargetMode="External" Target="https://www.legis.iowa.gov/docs/iac/chapter/441.7.pdf" Type="http://schemas.openxmlformats.org/officeDocument/2006/relationships/hyperlink" Id="rId307"/>
    <Relationship TargetMode="External" Target="https://www.legis.iowa.gov/docs/iac/rule/441.79.4.pdf" Type="http://schemas.openxmlformats.org/officeDocument/2006/relationships/hyperlink" Id="rId308"/>
    <Relationship TargetMode="External" Target="https://www.legis.iowa.gov/docs/iac/rule/441.79.4.pdf" Type="http://schemas.openxmlformats.org/officeDocument/2006/relationships/hyperlink" Id="rId309"/>
    <Relationship TargetMode="External" Target="https://www.legis.iowa.gov/docs/iac/rule/441.79.4.pdf" Type="http://schemas.openxmlformats.org/officeDocument/2006/relationships/hyperlink" Id="rId310"/>
    <Relationship TargetMode="External" Target="https://www.legis.iowa.gov/docs/iac/rule/441.79.4.pdf" Type="http://schemas.openxmlformats.org/officeDocument/2006/relationships/hyperlink" Id="rId311"/>
    <Relationship TargetMode="External" Target="https://www.legis.iowa.gov/docs/iac/rule/441.79.4.pdf" Type="http://schemas.openxmlformats.org/officeDocument/2006/relationships/hyperlink" Id="rId312"/>
    <Relationship TargetMode="External" Target="https://www.legis.iowa.gov/docs/iac/rule/441.79.4.pdf" Type="http://schemas.openxmlformats.org/officeDocument/2006/relationships/hyperlink" Id="rId313"/>
    <Relationship TargetMode="External" Target="https://www.legis.iowa.gov/docs/ico/chapter/249A.4.pdf" Type="http://schemas.openxmlformats.org/officeDocument/2006/relationships/hyperlink" Id="rId314"/>
    <Relationship TargetMode="External" Target="https://www.legis.iowa.gov/docs/ico/chapter/249A.4.pdf" Type="http://schemas.openxmlformats.org/officeDocument/2006/relationships/hyperlink" Id="rId315"/>
    <Relationship TargetMode="External" Target="https://www.legis.iowa.gov/docs/iac/rule/441.79.3.pdf" Type="http://schemas.openxmlformats.org/officeDocument/2006/relationships/hyperlink" Id="rId316"/>
    <Relationship TargetMode="External" Target="https://www.legis.iowa.gov/docs/ico/chapter/249A.4.pdf" Type="http://schemas.openxmlformats.org/officeDocument/2006/relationships/hyperlink" Id="rId317"/>
    <Relationship TargetMode="External" Target="https://www.legis.iowa.gov/docs/ico/chapter/21.4.pdf" Type="http://schemas.openxmlformats.org/officeDocument/2006/relationships/hyperlink" Id="rId318"/>
    <Relationship TargetMode="External" Target="https://www.legis.iowa.gov/docs/ico/chapter/249A.4B.pdf" Type="http://schemas.openxmlformats.org/officeDocument/2006/relationships/hyperlink" Id="rId319"/>
    <Relationship TargetMode="External" Target="https://www.legis.iowa.gov/docs/ico/chapter/249A.4B.pdf" Type="http://schemas.openxmlformats.org/officeDocument/2006/relationships/hyperlink" Id="rId320"/>
    <Relationship TargetMode="External" Target="https://www.legis.iowa.gov/docs/iac/rule/441.79.7.pdf" Type="http://schemas.openxmlformats.org/officeDocument/2006/relationships/hyperlink" Id="rId321"/>
    <Relationship TargetMode="External" Target="https://www.legis.iowa.gov/docs/ico/chapter/514I.5.pdf" Type="http://schemas.openxmlformats.org/officeDocument/2006/relationships/hyperlink" Id="rId322"/>
    <Relationship TargetMode="External" Target="https://www.legis.iowa.gov/docs/ico/chapter/69.16B.pdf" Type="http://schemas.openxmlformats.org/officeDocument/2006/relationships/hyperlink" Id="rId323"/>
    <Relationship TargetMode="External" Target="https://www.legis.iowa.gov/docs/ico/chapter/217.3.pdf" Type="http://schemas.openxmlformats.org/officeDocument/2006/relationships/hyperlink" Id="rId324"/>
    <Relationship TargetMode="External" Target="https://www.legis.iowa.gov/docs/ico/chapter/21.3.pdf" Type="http://schemas.openxmlformats.org/officeDocument/2006/relationships/hyperlink" Id="rId325"/>
    <Relationship TargetMode="External" Target="https://www.legis.iowa.gov/docs/ico/chapter/249A.4.pdf" Type="http://schemas.openxmlformats.org/officeDocument/2006/relationships/hyperlink" Id="rId326"/>
    <Relationship TargetMode="External" Target="https://www.legis.iowa.gov/docs/ico/chapter/249A.pdf" Type="http://schemas.openxmlformats.org/officeDocument/2006/relationships/hyperlink" Id="rId327"/>
    <Relationship TargetMode="External" Target="https://www.legis.iowa.gov/docs/iac/rule/441.78.28.pdf" Type="http://schemas.openxmlformats.org/officeDocument/2006/relationships/hyperlink" Id="rId328"/>
    <Relationship TargetMode="External" Target="https://www.legis.iowa.gov/docs/iac/rule/441.79.8.pdf" Type="http://schemas.openxmlformats.org/officeDocument/2006/relationships/hyperlink" Id="rId329"/>
    <Relationship TargetMode="External" Target="https://www.legis.iowa.gov/docs/iac/rule/441.79.9.pdf" Type="http://schemas.openxmlformats.org/officeDocument/2006/relationships/hyperlink" Id="rId330"/>
    <Relationship TargetMode="External" Target="https://www.legis.iowa.gov/docs/iac/chapter/441.78.pdf" Type="http://schemas.openxmlformats.org/officeDocument/2006/relationships/hyperlink" Id="rId331"/>
    <Relationship TargetMode="External" Target="https://www.legis.iowa.gov/docs/iac/chapter/441.78.pdf" Type="http://schemas.openxmlformats.org/officeDocument/2006/relationships/hyperlink" Id="rId332"/>
    <Relationship TargetMode="External" Target="https://www.legis.iowa.gov/docs/iac/chapter/441.79.pdf" Type="http://schemas.openxmlformats.org/officeDocument/2006/relationships/hyperlink" Id="rId333"/>
    <Relationship TargetMode="External" Target="https://www.legis.iowa.gov/docs/iac/chapter/441.81.pdf" Type="http://schemas.openxmlformats.org/officeDocument/2006/relationships/hyperlink" Id="rId334"/>
    <Relationship TargetMode="External" Target="https://www.legis.iowa.gov/docs/iac/chapter/441.82.pdf" Type="http://schemas.openxmlformats.org/officeDocument/2006/relationships/hyperlink" Id="rId335"/>
    <Relationship TargetMode="External" Target="https://www.legis.iowa.gov/docs/iac/chapter/441.85.pdf" Type="http://schemas.openxmlformats.org/officeDocument/2006/relationships/hyperlink" Id="rId336"/>
    <Relationship TargetMode="External" Target="https://www.legis.iowa.gov/docs/iac/chapter/441.16.pdf" Type="http://schemas.openxmlformats.org/officeDocument/2006/relationships/hyperlink" Id="rId337"/>
    <Relationship TargetMode="External" Target="https://www.legis.iowa.gov/docs/iac/chapter/441.7.pdf" Type="http://schemas.openxmlformats.org/officeDocument/2006/relationships/hyperlink" Id="rId338"/>
    <Relationship TargetMode="External" Target="https://www.legis.iowa.gov/docs/ico/chapter/249A.4.pdf" Type="http://schemas.openxmlformats.org/officeDocument/2006/relationships/hyperlink" Id="rId339"/>
    <Relationship TargetMode="External" Target="https://www.legis.iowa.gov/docs/iac/chapter/441.78.pdf" Type="http://schemas.openxmlformats.org/officeDocument/2006/relationships/hyperlink" Id="rId340"/>
    <Relationship TargetMode="External" Target="https://www.legis.iowa.gov/docs/iac/chapter/441.80.pdf" Type="http://schemas.openxmlformats.org/officeDocument/2006/relationships/hyperlink" Id="rId341"/>
    <Relationship TargetMode="External" Target="https://www.legis.iowa.gov/docs/iac/rule/441.79.9.pdf" Type="http://schemas.openxmlformats.org/officeDocument/2006/relationships/hyperlink" Id="rId342"/>
    <Relationship TargetMode="External" Target="https://www.legis.iowa.gov/docs/iac/rule/441.79.9.pdf" Type="http://schemas.openxmlformats.org/officeDocument/2006/relationships/hyperlink" Id="rId343"/>
    <Relationship TargetMode="External" Target="https://www.legis.iowa.gov/docs/ico/chapter/249A.4.pdf" Type="http://schemas.openxmlformats.org/officeDocument/2006/relationships/hyperlink" Id="rId344"/>
    <Relationship TargetMode="External" Target="https://www.legis.iowa.gov/docs/iac/rule/441.78.3.pdf" Type="http://schemas.openxmlformats.org/officeDocument/2006/relationships/hyperlink" Id="rId345"/>
    <Relationship TargetMode="External" Target="https://www.legis.iowa.gov/docs/iac/chapter/441.7.pdf" Type="http://schemas.openxmlformats.org/officeDocument/2006/relationships/hyperlink" Id="rId346"/>
    <Relationship TargetMode="External" Target="https://www.legis.iowa.gov/docs/iac/chapter/441.73.pdf" Type="http://schemas.openxmlformats.org/officeDocument/2006/relationships/hyperlink" Id="rId347"/>
    <Relationship TargetMode="External" Target="https://www.legis.iowa.gov/docs/ico/chapter/249A.4.pdf" Type="http://schemas.openxmlformats.org/officeDocument/2006/relationships/hyperlink" Id="rId348"/>
    <Relationship TargetMode="External" Target="https://www.legis.iowa.gov/docs/iac/rule/441.78.1.pdf" Type="http://schemas.openxmlformats.org/officeDocument/2006/relationships/hyperlink" Id="rId349"/>
    <Relationship TargetMode="External" Target="https://www.legis.iowa.gov/docs/iac/rule/441.78.3.pdf" Type="http://schemas.openxmlformats.org/officeDocument/2006/relationships/hyperlink" Id="rId350"/>
    <Relationship TargetMode="External" Target="https://www.legis.iowa.gov/docs/iac/rule/441.78.26.pdf" Type="http://schemas.openxmlformats.org/officeDocument/2006/relationships/hyperlink" Id="rId351"/>
    <Relationship TargetMode="External" Target="https://www.legis.iowa.gov/docs/iac/chapter/441.7.pdf" Type="http://schemas.openxmlformats.org/officeDocument/2006/relationships/hyperlink" Id="rId352"/>
    <Relationship TargetMode="External" Target="https://www.legis.iowa.gov/docs/iac/chapter/441.73.pdf" Type="http://schemas.openxmlformats.org/officeDocument/2006/relationships/hyperlink" Id="rId353"/>
    <Relationship TargetMode="External" Target="https://www.legis.iowa.gov/docs/ico/chapter/249A.4.pdf" Type="http://schemas.openxmlformats.org/officeDocument/2006/relationships/hyperlink" Id="rId354"/>
    <Relationship TargetMode="External" Target="https://www.legis.iowa.gov/docs/ico/chapter/249A.4.pdf" Type="http://schemas.openxmlformats.org/officeDocument/2006/relationships/hyperlink" Id="rId355"/>
    <Relationship TargetMode="External" Target="https://www.legis.iowa.gov/docs/ico/chapter/249A.4.pdf" Type="http://schemas.openxmlformats.org/officeDocument/2006/relationships/hyperlink" Id="rId356"/>
    <Relationship TargetMode="External" Target="https://www.legis.iowa.gov/docs/iac/rule/441.81.13.pdf" Type="http://schemas.openxmlformats.org/officeDocument/2006/relationships/hyperlink" Id="rId357"/>
    <Relationship TargetMode="External" Target="https://www.legis.iowa.gov/docs/iac/rule/441.82.3.pdf" Type="http://schemas.openxmlformats.org/officeDocument/2006/relationships/hyperlink" Id="rId358"/>
    <Relationship TargetMode="External" Target="https://www.legis.iowa.gov/docs/iac/rule/441.79.14.pdf" Type="http://schemas.openxmlformats.org/officeDocument/2006/relationships/hyperlink" Id="rId359"/>
    <Relationship TargetMode="External" Target="https://www.legis.iowa.gov/docs/iac/rule/441.79.14.pdf" Type="http://schemas.openxmlformats.org/officeDocument/2006/relationships/hyperlink" Id="rId360"/>
    <Relationship TargetMode="External" Target="https://www.legis.iowa.gov/docs/iac/rule/441.79.14.pdf" Type="http://schemas.openxmlformats.org/officeDocument/2006/relationships/hyperlink" Id="rId361"/>
    <Relationship TargetMode="External" Target="https://www.legis.iowa.gov/docs/iac/rule/441.79.14.pdf" Type="http://schemas.openxmlformats.org/officeDocument/2006/relationships/hyperlink" Id="rId362"/>
    <Relationship TargetMode="External" Target="https://www.legis.iowa.gov/docs/iac/rule/441.79.14.pdf" Type="http://schemas.openxmlformats.org/officeDocument/2006/relationships/hyperlink" Id="rId363"/>
    <Relationship TargetMode="External" Target="https://www.legis.iowa.gov/docs/iac/rule/441.79.14.pdf" Type="http://schemas.openxmlformats.org/officeDocument/2006/relationships/hyperlink" Id="rId364"/>
    <Relationship TargetMode="External" Target="https://www.legis.iowa.gov/docs/iac/chapter/441.7.pdf" Type="http://schemas.openxmlformats.org/officeDocument/2006/relationships/hyperlink" Id="rId365"/>
    <Relationship TargetMode="External" Target="https://www.legis.iowa.gov/docs/iac/rule/441.79.2.pdf" Type="http://schemas.openxmlformats.org/officeDocument/2006/relationships/hyperlink" Id="rId366"/>
    <Relationship TargetMode="External" Target="https://www.legis.iowa.gov/docs/iac/rule/441.79.2.pdf" Type="http://schemas.openxmlformats.org/officeDocument/2006/relationships/hyperlink" Id="rId367"/>
    <Relationship TargetMode="External" Target="https://www.legis.iowa.gov/docs/iac/rule/441.79.2.pdf" Type="http://schemas.openxmlformats.org/officeDocument/2006/relationships/hyperlink" Id="rId368"/>
    <Relationship TargetMode="External" Target="https://www.legis.iowa.gov/docs/iac/chapter/441.7.pdf" Type="http://schemas.openxmlformats.org/officeDocument/2006/relationships/hyperlink" Id="rId369"/>
    <Relationship TargetMode="External" Target="https://www.legis.iowa.gov/docs/iac/rule/441.79.6.pdf" Type="http://schemas.openxmlformats.org/officeDocument/2006/relationships/hyperlink" Id="rId370"/>
    <Relationship TargetMode="External" Target="https://www.legis.iowa.gov/docs/iac/chapter/441.7.pdf" Type="http://schemas.openxmlformats.org/officeDocument/2006/relationships/hyperlink" Id="rId371"/>
    <Relationship TargetMode="External" Target="https://www.legis.iowa.gov/docs/iac/rule/441.79.14.pdf" Type="http://schemas.openxmlformats.org/officeDocument/2006/relationships/hyperlink" Id="rId372"/>
    <Relationship TargetMode="External" Target="https://www.legis.iowa.gov/docs/iac/chapter/441.7.pdf" Type="http://schemas.openxmlformats.org/officeDocument/2006/relationships/hyperlink" Id="rId373"/>
    <Relationship TargetMode="External" Target="https://www.legis.iowa.gov/docs/iac/chapter/441.7.pdf" Type="http://schemas.openxmlformats.org/officeDocument/2006/relationships/hyperlink" Id="rId374"/>
    <Relationship TargetMode="External" Target="https://www.legis.iowa.gov/docs/iac/rule/441.79.14.pdf" Type="http://schemas.openxmlformats.org/officeDocument/2006/relationships/hyperlink" Id="rId375"/>
    <Relationship TargetMode="External" Target="https://www.legis.iowa.gov/docs/iac/rule/441.79.14.pdf" Type="http://schemas.openxmlformats.org/officeDocument/2006/relationships/hyperlink" Id="rId376"/>
    <Relationship TargetMode="External" Target="https://www.legis.iowa.gov/docs/ico/chapter/249A.4.pdf" Type="http://schemas.openxmlformats.org/officeDocument/2006/relationships/hyperlink" Id="rId377"/>
    <Relationship TargetMode="External" Target="https://www.legis.iowa.gov/docs/iac/rule/441.79.15.pdf" Type="http://schemas.openxmlformats.org/officeDocument/2006/relationships/hyperlink" Id="rId378"/>
    <Relationship TargetMode="External" Target="https://www.legis.iowa.gov/docs/iac/rule/441.79.15.pdf" Type="http://schemas.openxmlformats.org/officeDocument/2006/relationships/hyperlink" Id="rId379"/>
    <Relationship TargetMode="External" Target="https://www.legis.iowa.gov/docs/iac/rule/441.79.2.pdf" Type="http://schemas.openxmlformats.org/officeDocument/2006/relationships/hyperlink" Id="rId380"/>
    <Relationship TargetMode="External" Target="https://www.legis.iowa.gov/docs/ico/chapter/249A.4.pdf" Type="http://schemas.openxmlformats.org/officeDocument/2006/relationships/hyperlink" Id="rId381"/>
    <Relationship TargetMode="External" Target="http://www.imeincentives.com" Type="http://schemas.openxmlformats.org/officeDocument/2006/relationships/hyperlink" Id="rId382"/>
    <Relationship TargetMode="External" Target="https://www.legis.iowa.gov/docs/iac/chapter/441.7.pdf" Type="http://schemas.openxmlformats.org/officeDocument/2006/relationships/hyperlink" Id="rId383"/>
    <Relationship TargetMode="External" Target="https://www.legis.iowa.gov/docs/ico/chapter/249A.4.pdf" Type="http://schemas.openxmlformats.org/officeDocument/2006/relationships/hyperlink" Id="rId384"/>
    <Relationship TargetMode="External" Target="https://www.legis.iowa.gov/docs/ico/chapter/124.550.pdf" Type="http://schemas.openxmlformats.org/officeDocument/2006/relationships/hyperlink" Id="rId385"/>
    <Relationship TargetMode="External" Target="https://www.legis.iowa.gov/docs/iac/rule/441.79.18.pdf" Type="http://schemas.openxmlformats.org/officeDocument/2006/relationships/hyperlink" Id="rId386"/>
    <Relationship TargetMode="External" Target="https://www.legis.iowa.gov/docs/ico/chapter/124.pdf" Type="http://schemas.openxmlformats.org/officeDocument/2006/relationships/hyperlink" Id="rId387"/>
    <Relationship TargetMode="External" Target="https://www.legis.iowa.gov/docs/ico/chapter/124.pdf" Type="http://schemas.openxmlformats.org/officeDocument/2006/relationships/hyperlink" Id="rId388"/>
    <Relationship TargetMode="External" Target="https://www.legis.iowa.gov/docs/ico/chapter/249A.pdf" Type="http://schemas.openxmlformats.org/officeDocument/2006/relationships/hyperlink" Id="rId389"/>
    <Relationship TargetMode="External" Target="https://www.legis.iowa.gov/docs/iac/rule/441.79.1.pdf" Type="http://schemas.openxmlformats.org/officeDocument/2006/relationships/hyperlink" Id="rId390"/>
    <Relationship TargetMode="External" Target="https://www.legis.iowa.gov/docs/iac/rule/441.79.1.pdf" Type="http://schemas.openxmlformats.org/officeDocument/2006/relationships/hyperlink" Id="rId391"/>
    <Relationship TargetMode="External" Target="https://www.legis.iowa.gov/docs/iac/rule/441.79.1.pdf" Type="http://schemas.openxmlformats.org/officeDocument/2006/relationships/hyperlink" Id="rId392"/>
    <Relationship TargetMode="External" Target="https://www.legis.iowa.gov/docs/iac/rule/441.79.1.pdf" Type="http://schemas.openxmlformats.org/officeDocument/2006/relationships/hyperlink" Id="rId393"/>
    <Relationship TargetMode="External" Target="https://www.legis.iowa.gov/docs/iac/rule/441.79.1.pdf" Type="http://schemas.openxmlformats.org/officeDocument/2006/relationships/hyperlink" Id="rId394"/>
    <Relationship TargetMode="External" Target="https://www.legis.iowa.gov/docs/iac/rule/441.79.1.pdf" Type="http://schemas.openxmlformats.org/officeDocument/2006/relationships/hyperlink" Id="rId3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