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MEDICAL ASSISTANCE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MANAGED CARE</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This chapter provides that most Iowa medical assistance program benefits will be provided through managed care. Notwithstanding any provisions of </w:t>
      </w:r>
      <w:hyperlink r:id="rId5">
        <w:r>
          <w:rPr>
            <w:rStyle w:val="Hyperlink"/>
            <w:rFonts w:ascii="Times New Roman" w:hAnsi="Times New Roman"/>
            <w:b w:val="false"/>
            <w:i w:val="false"/>
            <w:color w:val="000000"/>
            <w:sz w:val="22"/>
          </w:rPr>
          <w:t>441—Chapters 74 through 91</w:t>
        </w:r>
      </w:hyperlink>
      <w:r>
        <w:rPr>
          <w:rFonts w:ascii="Times New Roman" w:hAnsi="Times New Roman"/>
          <w:b w:val="false"/>
          <w:i w:val="false"/>
          <w:color w:val="000000"/>
          <w:sz w:val="22"/>
        </w:rPr>
        <w:t>, program benefits shall be provided through managed care as provided in this chapter. The program benefits provided through managed care will be paid for by the managed care plan participating in the program pursuant to this chapter, subject to the conditions, procedures, and payment rates or methodologies established by the managed care plan, consistent with this chapter and with the contract between the department and the managed care plan.</w:t>
      </w:r>
    </w:p>
    <w:p>
      <w:pPr>
        <w:spacing w:before="0" w:after="0"/>
        <w:ind w:left="120"/>
        <w:jc w:val="left"/>
      </w:pPr>
      <w:r>
        <w:rPr>
          <w:rFonts w:ascii="Times New Roman" w:hAnsi="Times New Roman"/>
          <w:b w:val="false"/>
          <w:i w:val="false"/>
          <w:color w:val="000000"/>
          <w:sz w:val="22"/>
        </w:rPr>
        <w:t xml:space="preserve">Implementation of managed care pursuant to this chapter is subject to approval by the Secretary of the United States Department of Health and Human Services (Secretary) of any Iowa state plan amendments and any waivers of the requirements of Title XIX of the Social Security Act that are required to allow for federal funding. This chapter shall be construed to comply with all requirements for federal funding under Title XIX of the Social Security Act or under the terms of any applicable waiver granted by the Secretary. To the extent this chapter is inconsistent with any applicable federal funding requirement under Title XIX or the terms of any applicable waiver, the requirements under Title XIX or the terms of the waiver shall prevail.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 xml:space="preserve">means mental health and substance use disorder treatment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“Capitated payment” </w:t>
      </w:r>
      <w:r>
        <w:rPr>
          <w:rFonts w:ascii="Times New Roman" w:hAnsi="Times New Roman"/>
          <w:b w:val="false"/>
          <w:i w:val="false"/>
          <w:color w:val="000000"/>
          <w:sz w:val="22"/>
        </w:rPr>
        <w:t xml:space="preserve">means a monthly payment to the MCP on behalf of each enrollee for the provision of health or dental services under the contract. Payment is made regardless of whether the enrollee receives services during the month.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“Choice counseling” </w:t>
      </w:r>
      <w:r>
        <w:rPr>
          <w:rFonts w:ascii="Times New Roman" w:hAnsi="Times New Roman"/>
          <w:b w:val="false"/>
          <w:i w:val="false"/>
          <w:color w:val="000000"/>
          <w:sz w:val="22"/>
        </w:rPr>
        <w:t xml:space="preserve">means the provision of unbiased information on MCPs or provider options and answers to related questions and access to personalized assistance to help members understand the materials provided by the MCPs or the state, to answer questions about each of the options available, and to facilitate enrollment with an MCP.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a formal request for payment for benefits received or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claim” </w:t>
      </w:r>
      <w:r>
        <w:rPr>
          <w:rFonts w:ascii="Times New Roman" w:hAnsi="Times New Roman"/>
          <w:b w:val="false"/>
          <w:i w:val="false"/>
          <w:color w:val="000000"/>
          <w:sz w:val="22"/>
        </w:rPr>
        <w:t xml:space="preserve">means a claim that has no defect or impropriety (including any lack of required substantiating documentation) or particular circumstance requiring special treatment that prevents timely payment of the claim. “Clean claim” does not include a claim from a provider that is under investigation for fraud or abuse or a claim under review for medical necessity.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 xml:space="preserve">means the Centers for Medicare and Medicaid Services, a division of the U.S. Department of Health and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“CFR” </w:t>
      </w:r>
      <w:r>
        <w:rPr>
          <w:rFonts w:ascii="Times New Roman" w:hAnsi="Times New Roman"/>
          <w:b w:val="false"/>
          <w:i w:val="false"/>
          <w:color w:val="000000"/>
          <w:sz w:val="22"/>
        </w:rPr>
        <w:t xml:space="preserve">means the codification of the general and permanent rules published in the Federal Register by the executive departments and agencies of the federal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case management” </w:t>
      </w:r>
      <w:r>
        <w:rPr>
          <w:rFonts w:ascii="Times New Roman" w:hAnsi="Times New Roman"/>
          <w:b w:val="false"/>
          <w:i w:val="false"/>
          <w:color w:val="000000"/>
          <w:sz w:val="22"/>
        </w:rPr>
        <w:t xml:space="preserve">means a collaborative process of planning, facilitation, and advocacy for options and services to meet an enrollee’s needs through communication and available resources to promote high-quality, cost-effective outcomes.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 xml:space="preserve">means a contract between the department and an MCP. These contracts shall meet all applicable requirements of state and federal law, including the requirements of 42 CFR 434 as amended to July 19,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means physical health, behavioral health, dental, and long-term care services set forth in rule </w:t>
      </w:r>
      <w:hyperlink r:id="rId6">
        <w:r>
          <w:rPr>
            <w:rStyle w:val="Hyperlink"/>
            <w:rFonts w:ascii="Times New Roman" w:hAnsi="Times New Roman"/>
            <w:b w:val="false"/>
            <w:i w:val="false"/>
            <w:color w:val="000000"/>
            <w:sz w:val="22"/>
          </w:rPr>
          <w:t>441—73.5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Iowa department of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planning” </w:t>
      </w:r>
      <w:r>
        <w:rPr>
          <w:rFonts w:ascii="Times New Roman" w:hAnsi="Times New Roman"/>
          <w:b w:val="false"/>
          <w:i w:val="false"/>
          <w:color w:val="000000"/>
          <w:sz w:val="22"/>
        </w:rPr>
        <w:t xml:space="preserve">means the process, which begins at admission, of determining a continued need for treatment services and of developing a plan to address ongoing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visit verification system” </w:t>
      </w:r>
      <w:r>
        <w:rPr>
          <w:rFonts w:ascii="Times New Roman" w:hAnsi="Times New Roman"/>
          <w:b w:val="false"/>
          <w:i w:val="false"/>
          <w:color w:val="000000"/>
          <w:sz w:val="22"/>
        </w:rPr>
        <w:t xml:space="preserve">means, with respect to personal care services or home health care services described in Section 12006 of the 21st Century Cures Act, a system under which visits conducted as part of such services are electronically verified with respect to: (1) the type of service performed, (2) the individual receiving the service, (3) the date of the service, (4) the location of service delivery, (5) the individual providing the service, and (6) the time the service begins and ends.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condition” </w:t>
      </w:r>
      <w:r>
        <w:rPr>
          <w:rFonts w:ascii="Times New Roman" w:hAnsi="Times New Roman"/>
          <w:b w:val="false"/>
          <w:i w:val="false"/>
          <w:color w:val="000000"/>
          <w:sz w:val="22"/>
        </w:rPr>
        <w:t xml:space="preserve">means a medical condition manifesting itself by acute symptoms of sufficient severity (including severe pain) that a prudent layperson who possesses an average knowledge of health and medicine could reasonably expect the absence of immediate medical attention to result in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Placing the health of the individual (or, for a pregnant woman, the health of the woman or her unborn child) in serious jeopardy;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Serious impairment to bodily functions;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Serious dysfunction of any bodily organ or part.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means covered inpatient and outpatient services that are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Furnished by a provider that is qualified to furnish these services.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Needed to evaluate or stabilize an emergency medical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“EMTALA” </w:t>
      </w:r>
      <w:r>
        <w:rPr>
          <w:rFonts w:ascii="Times New Roman" w:hAnsi="Times New Roman"/>
          <w:b w:val="false"/>
          <w:i w:val="false"/>
          <w:color w:val="000000"/>
          <w:sz w:val="22"/>
        </w:rPr>
        <w:t xml:space="preserve">means the Emergency Medical Treatment and Active Labor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 xml:space="preserve">means a hawki, Iowa health and wellness plan, dental wellness plan or Medicaid member who is eligible for MCP enrollment and has been enrolled with an MCP as defined in </w:t>
      </w:r>
      <w:hyperlink r:id="rId7">
        <w:r>
          <w:rPr>
            <w:rStyle w:val="Hyperlink"/>
            <w:rFonts w:ascii="Times New Roman" w:hAnsi="Times New Roman"/>
            <w:b w:val="false"/>
            <w:i w:val="false"/>
            <w:color w:val="000000"/>
            <w:sz w:val="22"/>
          </w:rPr>
          <w:t>subrule 73.3(2)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broker” </w:t>
      </w:r>
      <w:r>
        <w:rPr>
          <w:rFonts w:ascii="Times New Roman" w:hAnsi="Times New Roman"/>
          <w:b w:val="false"/>
          <w:i w:val="false"/>
          <w:color w:val="000000"/>
          <w:sz w:val="22"/>
        </w:rPr>
        <w:t xml:space="preserve">means the entity the department uses to enroll persons in an MCP. The enrollment broker must be conflict-free and meet all applicable requirements of state and federal law, including 42 CFR 438.10 as amended to July 19,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“Hawki program” </w:t>
      </w:r>
      <w:r>
        <w:rPr>
          <w:rFonts w:ascii="Times New Roman" w:hAnsi="Times New Roman"/>
          <w:b w:val="false"/>
          <w:i w:val="false"/>
          <w:color w:val="000000"/>
          <w:sz w:val="22"/>
        </w:rPr>
        <w:t xml:space="preserve">means the healthy and well kids in Iowa program as set forth in </w:t>
      </w:r>
      <w:hyperlink r:id="rId8">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 xml:space="preserve">, the Iowa program to provide health care coverage for uninsured children of eligible families as authorized by Title XXI of the federal Social Security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“HIPP” </w:t>
      </w:r>
      <w:r>
        <w:rPr>
          <w:rFonts w:ascii="Times New Roman" w:hAnsi="Times New Roman"/>
          <w:b w:val="false"/>
          <w:i w:val="false"/>
          <w:color w:val="000000"/>
          <w:sz w:val="22"/>
        </w:rPr>
        <w:t xml:space="preserve">means the health insurance premium payment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“HCBS” </w:t>
      </w:r>
      <w:r>
        <w:rPr>
          <w:rFonts w:ascii="Times New Roman" w:hAnsi="Times New Roman"/>
          <w:b w:val="false"/>
          <w:i w:val="false"/>
          <w:color w:val="000000"/>
          <w:sz w:val="22"/>
        </w:rPr>
        <w:t>means services that are provided as an alternative to long-term care institutional services in a nursing facility or an intermediate care facility for persons with an intellectual disability (ICF/ID) or to delay or prevent placement in a nursing facility or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reporting” </w:t>
      </w:r>
      <w:r>
        <w:rPr>
          <w:rFonts w:ascii="Times New Roman" w:hAnsi="Times New Roman"/>
          <w:b w:val="false"/>
          <w:i w:val="false"/>
          <w:color w:val="000000"/>
          <w:sz w:val="22"/>
        </w:rPr>
        <w:t xml:space="preserve">means the reporting of critical events or incidents deemed sufficiently serious to warrant near-term review and follow-up by an appropriate authority. Such incidents may include but are not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Abuse and neglect;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unauthorized use of restraint, seclusion or restrictive interventions;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Serious injuries that require medical intervention or result in hospitalization, or both;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Criminal victimization;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Death;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Financial exploitation;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Medication errors; and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incidents or events that involve harm or risk of harm to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“Insolvency” </w:t>
      </w:r>
      <w:r>
        <w:rPr>
          <w:rFonts w:ascii="Times New Roman" w:hAnsi="Times New Roman"/>
          <w:b w:val="false"/>
          <w:i w:val="false"/>
          <w:color w:val="000000"/>
          <w:sz w:val="22"/>
        </w:rPr>
        <w:t xml:space="preserve">means a financial condition that exists when an entity is unable to pay its debts as they become due in the usual course of business or when the liabilities of the entity exceed its assets.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health and wellness plan” </w:t>
      </w:r>
      <w:r>
        <w:rPr>
          <w:rFonts w:ascii="Times New Roman" w:hAnsi="Times New Roman"/>
          <w:b w:val="false"/>
          <w:i w:val="false"/>
          <w:color w:val="000000"/>
          <w:sz w:val="22"/>
        </w:rPr>
        <w:t xml:space="preserve">means the medical assistance program set forth in </w:t>
      </w:r>
      <w:hyperlink r:id="rId9">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 xml:space="preserve">means an evaluation to determine and establish an individual’s need for the level of care provided in a hospital, a nursing facility, or an ICF/ID within the near future.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care (LTC)”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“long-term services and supports (LTSS)” </w:t>
      </w:r>
      <w:r>
        <w:rPr>
          <w:rFonts w:ascii="Times New Roman" w:hAnsi="Times New Roman"/>
          <w:b w:val="false"/>
          <w:i w:val="false"/>
          <w:color w:val="000000"/>
          <w:sz w:val="22"/>
        </w:rPr>
        <w:t xml:space="preserve">means the services of a nursing facility (NF), an intermediate care facility for persons with an intellectual disability (ICF/ID), state resource centers or services funded through Section 1915(c) home- and community-based services waivers, Section 1915(i) state plan home- and community-based habilitation program and the PACE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“MCO”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in Iowa Code section </w:t>
      </w:r>
      <w:hyperlink r:id="rId10">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“MCP” </w:t>
      </w:r>
      <w:r>
        <w:rPr>
          <w:rFonts w:ascii="Times New Roman" w:hAnsi="Times New Roman"/>
          <w:b w:val="false"/>
          <w:i w:val="false"/>
          <w:color w:val="000000"/>
          <w:sz w:val="22"/>
        </w:rPr>
        <w:t>refers to managed care organizations (MCOs) and prepaid ambulatory health plans (PAHPs).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enrollment” </w:t>
      </w:r>
      <w:r>
        <w:rPr>
          <w:rFonts w:ascii="Times New Roman" w:hAnsi="Times New Roman"/>
          <w:b w:val="false"/>
          <w:i w:val="false"/>
          <w:color w:val="000000"/>
          <w:sz w:val="22"/>
        </w:rPr>
        <w:t xml:space="preserve">means mandatory participation in a managed care plan as specified in </w:t>
      </w:r>
      <w:hyperlink r:id="rId11">
        <w:r>
          <w:rPr>
            <w:rStyle w:val="Hyperlink"/>
            <w:rFonts w:ascii="Times New Roman" w:hAnsi="Times New Roman"/>
            <w:b w:val="false"/>
            <w:i w:val="false"/>
            <w:color w:val="000000"/>
            <w:sz w:val="22"/>
          </w:rPr>
          <w:t>subrule 73.3(2)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loss ratio”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“MLR” </w:t>
      </w:r>
      <w:r>
        <w:rPr>
          <w:rFonts w:ascii="Times New Roman" w:hAnsi="Times New Roman"/>
          <w:b w:val="false"/>
          <w:i w:val="false"/>
          <w:color w:val="000000"/>
          <w:sz w:val="22"/>
        </w:rPr>
        <w:t xml:space="preserve">means the percentage of capitation payments that is used to pay medical or dental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necessary services” </w:t>
      </w:r>
      <w:r>
        <w:rPr>
          <w:rFonts w:ascii="Times New Roman" w:hAnsi="Times New Roman"/>
          <w:b w:val="false"/>
          <w:i w:val="false"/>
          <w:color w:val="000000"/>
          <w:sz w:val="22"/>
        </w:rPr>
        <w:t xml:space="preserve">means those covered services that are, under the terms and conditions of the contract, determined through MCP utilization management to be: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Appropriate and necessary for the symptoms, diagnosis or treatment of the condition of the member.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Provided for the diagnosis or direct care and treatment of the condition of the member to enable the member to make reasonable progress in treatment.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Within standards of professional practice and given at the appropriate time and in the appropriate setting.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Not primarily for the convenience of the member, the member’s physician or other provider; and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most appropriate level of covered services that can safely be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means all medical, dental, behavioral health, and long-term care histories; records, reports and summaries; diagnoses; prognoses; record of treatment and medication ordered and given; X-ray and radiology interpretations; physical therapy charts and notes; lab reports; other individualized medical, behavioral health, and long-term care documentation in written or electronic format; and analyses of such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any person determined by the department to be eligible for the hawki program, the Iowa health and wellness plan, the dental wellness plan, or the Medicaid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“Money Follows the Person (MFP) Rebalancing Demonstration Grant” </w:t>
      </w:r>
      <w:r>
        <w:rPr>
          <w:rFonts w:ascii="Times New Roman" w:hAnsi="Times New Roman"/>
          <w:b w:val="false"/>
          <w:i w:val="false"/>
          <w:color w:val="000000"/>
          <w:sz w:val="22"/>
        </w:rPr>
        <w:t xml:space="preserve">means a federal grant that will assist Iowa in transitioning individuals from a nursing facility or ICF/ID into the community and in rebalancing long-term care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“Needs-based eligibility” </w:t>
      </w:r>
      <w:r>
        <w:rPr>
          <w:rFonts w:ascii="Times New Roman" w:hAnsi="Times New Roman"/>
          <w:b w:val="false"/>
          <w:i w:val="false"/>
          <w:color w:val="000000"/>
          <w:sz w:val="22"/>
        </w:rPr>
        <w:t xml:space="preserve">means an evaluation to determine and establish an individual’s need for habilitation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“Network”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“provider network” </w:t>
      </w:r>
      <w:r>
        <w:rPr>
          <w:rFonts w:ascii="Times New Roman" w:hAnsi="Times New Roman"/>
          <w:b w:val="false"/>
          <w:i w:val="false"/>
          <w:color w:val="000000"/>
          <w:sz w:val="22"/>
        </w:rPr>
        <w:t xml:space="preserve">means a group of participating health or dental care providers (both individual and group practitioners) linked through contractual arrangements to the MCP to supply a range of health or dental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“Out-of-network provider” </w:t>
      </w:r>
      <w:r>
        <w:rPr>
          <w:rFonts w:ascii="Times New Roman" w:hAnsi="Times New Roman"/>
          <w:b w:val="false"/>
          <w:i w:val="false"/>
          <w:color w:val="000000"/>
          <w:sz w:val="22"/>
        </w:rPr>
        <w:t>means any provider that is not directly or indirectly employed by or does not have a provider agreement with the MCP or any of its subcontractors pursuant to the contract between the department and the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w:t>
      </w:r>
      <w:r>
        <w:rPr>
          <w:rFonts w:ascii="Times New Roman" w:hAnsi="Times New Roman"/>
          <w:b w:val="false"/>
          <w:i w:val="false"/>
          <w:color w:val="000000"/>
          <w:sz w:val="22"/>
        </w:rPr>
        <w:t xml:space="preserve">means the program of all-inclusive care for the elderly.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providers” </w:t>
      </w:r>
      <w:r>
        <w:rPr>
          <w:rFonts w:ascii="Times New Roman" w:hAnsi="Times New Roman"/>
          <w:b w:val="false"/>
          <w:i w:val="false"/>
          <w:color w:val="000000"/>
          <w:sz w:val="22"/>
        </w:rPr>
        <w:t xml:space="preserve">means the providers of covered physical health, behavioral health, dental, and long-term care services that have contracted with a managed care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“Passive enrollment process” </w:t>
      </w:r>
      <w:r>
        <w:rPr>
          <w:rFonts w:ascii="Times New Roman" w:hAnsi="Times New Roman"/>
          <w:b w:val="false"/>
          <w:i w:val="false"/>
          <w:color w:val="000000"/>
          <w:sz w:val="22"/>
        </w:rPr>
        <w:t xml:space="preserve">means the process by which the department assigns a member to a managed care plan and which, in accordance with 42 CFR 438.54 as amended to July 19, 2022, seeks to preserve existing provider-member relationships and relationships with providers that have traditionally served Medicaid members, if possible. In the absence of existing relationships, the process ensures that members are equally distributed among all available managed care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“Prepaid ambulatory health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“PAHP” </w:t>
      </w:r>
      <w:r>
        <w:rPr>
          <w:rFonts w:ascii="Times New Roman" w:hAnsi="Times New Roman"/>
          <w:b w:val="false"/>
          <w:i w:val="false"/>
          <w:color w:val="000000"/>
          <w:sz w:val="22"/>
        </w:rPr>
        <w:t>has the meaning set forth in 42 CFR 438.2 as amended to July 19,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 xml:space="preserve">means the process of obtaining prior approval as to the appropriateness of a service or medication. Prior authorization does not guarantee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“Warm transfer” </w:t>
      </w:r>
      <w:r>
        <w:rPr>
          <w:rFonts w:ascii="Times New Roman" w:hAnsi="Times New Roman"/>
          <w:b w:val="false"/>
          <w:i w:val="false"/>
          <w:color w:val="000000"/>
          <w:sz w:val="22"/>
        </w:rPr>
        <w:t xml:space="preserve">means a telecommunications mechanism in which the person answering the call facilitates transfer to a third party, announces the caller and issue and remains engaged as necessary to provide assistance.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w:t>
      </w:r>
      <w:r>
        <w:rPr>
          <w:rFonts w:ascii="Times New Roman" w:hAnsi="Times New Roman"/>
          <w:b/>
          <w:i w:val="false"/>
          <w:color w:val="000000"/>
          <w:sz w:val="22"/>
        </w:rPr>
        <w:t xml:space="preserve">(249A) </w:t>
      </w:r>
      <w:r>
        <w:rPr>
          <w:rFonts w:ascii="Times New Roman" w:hAnsi="Times New Roman"/>
          <w:b/>
          <w:i w:val="false"/>
          <w:color w:val="000000"/>
          <w:sz w:val="22"/>
        </w:rPr>
        <w:t xml:space="preserve">Contracts with a managed care plan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enter into a contract with an MCP licensed under the provisions of insurance division rules set forth in </w:t>
      </w:r>
      <w:hyperlink r:id="rId12">
        <w:r>
          <w:rPr>
            <w:rStyle w:val="Hyperlink"/>
            <w:rFonts w:ascii="Times New Roman" w:hAnsi="Times New Roman"/>
            <w:b w:val="false"/>
            <w:i w:val="false"/>
            <w:color w:val="000000"/>
            <w:sz w:val="22"/>
          </w:rPr>
          <w:t>191—Chapter 40</w:t>
        </w:r>
      </w:hyperlink>
      <w:r>
        <w:rPr>
          <w:rFonts w:ascii="Times New Roman" w:hAnsi="Times New Roman"/>
          <w:b w:val="false"/>
          <w:i w:val="false"/>
          <w:color w:val="000000"/>
          <w:sz w:val="22"/>
        </w:rPr>
        <w:t xml:space="preserve"> for the scope of services as described in rule </w:t>
      </w:r>
      <w:hyperlink r:id="rId13">
        <w:r>
          <w:rPr>
            <w:rStyle w:val="Hyperlink"/>
            <w:rFonts w:ascii="Times New Roman" w:hAnsi="Times New Roman"/>
            <w:b w:val="false"/>
            <w:i w:val="false"/>
            <w:color w:val="000000"/>
            <w:sz w:val="22"/>
          </w:rPr>
          <w:t>441—73.6</w:t>
        </w:r>
      </w:hyperlink>
      <w:r>
        <w:rPr>
          <w:rFonts w:ascii="Times New Roman" w:hAnsi="Times New Roman"/>
          <w:b w:val="false"/>
          <w:i w:val="false"/>
          <w:color w:val="000000"/>
          <w:sz w:val="22"/>
        </w:rPr>
        <w:t xml:space="preserve">(249A).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determine that the MCP meets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MCP shall make available the services it provides to enrollees as established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provide satisfaction to the department against the risk of insolvency and ensure that neither Medicaid members nor the state shall be responsible for the MCP’s debts if the MCP becomes insolvent. The MCP shall comply with insurance division provisions set forth in rule </w:t>
      </w:r>
      <w:hyperlink r:id="rId14">
        <w:r>
          <w:rPr>
            <w:rStyle w:val="Hyperlink"/>
            <w:rFonts w:ascii="Times New Roman" w:hAnsi="Times New Roman"/>
            <w:b w:val="false"/>
            <w:i w:val="false"/>
            <w:color w:val="000000"/>
            <w:sz w:val="22"/>
          </w:rPr>
          <w:t>191—40.12</w:t>
        </w:r>
      </w:hyperlink>
      <w:r>
        <w:rPr>
          <w:rFonts w:ascii="Times New Roman" w:hAnsi="Times New Roman"/>
          <w:b w:val="false"/>
          <w:i w:val="false"/>
          <w:color w:val="000000"/>
          <w:sz w:val="22"/>
        </w:rPr>
        <w:t xml:space="preserve">(514B) regarding net worth and rule </w:t>
      </w:r>
      <w:hyperlink r:id="rId15">
        <w:r>
          <w:rPr>
            <w:rStyle w:val="Hyperlink"/>
            <w:rFonts w:ascii="Times New Roman" w:hAnsi="Times New Roman"/>
            <w:b w:val="false"/>
            <w:i w:val="false"/>
            <w:color w:val="000000"/>
            <w:sz w:val="22"/>
          </w:rPr>
          <w:t>191—40.14</w:t>
        </w:r>
      </w:hyperlink>
      <w:r>
        <w:rPr>
          <w:rFonts w:ascii="Times New Roman" w:hAnsi="Times New Roman"/>
          <w:b w:val="false"/>
          <w:i w:val="false"/>
          <w:color w:val="000000"/>
          <w:sz w:val="22"/>
        </w:rPr>
        <w:t xml:space="preserve">(514B) containing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attain and maintain accreditation by the National Committee for Quality Assurance (NCQA) or URAC (formerly known as the Utilization Review Accreditation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w:t>
      </w:r>
      <w:r>
        <w:rPr>
          <w:rFonts w:ascii="Times New Roman" w:hAnsi="Times New Roman"/>
          <w:b w:val="false"/>
          <w:i w:val="false"/>
          <w:color w:val="000000"/>
          <w:sz w:val="22"/>
        </w:rPr>
        <w:t> </w:t>
      </w:r>
      <w:r>
        <w:rPr>
          <w:rFonts w:ascii="Times New Roman" w:hAnsi="Times New Roman"/>
          <w:b w:val="false"/>
          <w:i w:val="false"/>
          <w:color w:val="000000"/>
          <w:sz w:val="22"/>
        </w:rPr>
        <w:t xml:space="preserve">If not already accredited, the MCP must demonstrate it has initiated the accreditation process as of the contract effective date and must achieve accreditation at the earliest date allowed by NCQA or URAC. Prior to the contract effective date, the MCP must be licensed and in good standing in the state of Iowa as a health maintenance organization in accordance with insurance division rules set forth in </w:t>
      </w:r>
      <w:hyperlink r:id="rId16">
        <w:r>
          <w:rPr>
            <w:rStyle w:val="Hyperlink"/>
            <w:rFonts w:ascii="Times New Roman" w:hAnsi="Times New Roman"/>
            <w:b w:val="false"/>
            <w:i w:val="false"/>
            <w:color w:val="000000"/>
            <w:sz w:val="22"/>
          </w:rPr>
          <w:t>191—Chapter 40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 shall meet the following minimum requirements. The contract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the duration of the contract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List the services that must be covered.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service access and provide access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List conditions for nonrenewal, termination, suspension, and modification.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the method and rate of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for disclosure of ownership and subcontracted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that all subcontracts shall be in writing, shall comply with the provisions of the contract between the department and the MCP, and shall include any general requirements of the contract that are appropriate to the service or activity covered by the subcontract.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appeal and grievance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all operational and service delivery expectations.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requirements for utilization management and quality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requirements for program integrity.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termination requirements and assessment of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the MCP and the fee-for-service Medicaid program to utilize a uniform prior authorization process. </w:t>
      </w:r>
    </w:p>
    <w:p>
      <w:pPr>
        <w:spacing w:before="0" w:after="0"/>
        <w:ind w:left="120"/>
        <w:jc w:val="both"/>
      </w:pPr>
      <w:r>
        <w:rPr>
          <w:rFonts w:ascii="Times New Roman" w:hAnsi="Times New Roman"/>
          <w:b w:val="false"/>
          <w:i w:val="false"/>
          <w:color w:val="000000"/>
          <w:sz w:val="22"/>
        </w:rPr>
        <w:t xml:space="preserve">The process will include forms, information requirements, and time frames.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441—73.3</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Enrollment area. </w:t>
      </w:r>
      <w:r>
        <w:rPr>
          <w:rFonts w:ascii="Times New Roman" w:hAnsi="Times New Roman"/>
          <w:b w:val="false"/>
          <w:i w:val="false"/>
          <w:color w:val="000000"/>
          <w:sz w:val="22"/>
        </w:rPr>
        <w:t xml:space="preserve">The coverage area for enrollment shall be statewide.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Members subject to enrollment. </w:t>
      </w:r>
      <w:r>
        <w:rPr>
          <w:rFonts w:ascii="Times New Roman" w:hAnsi="Times New Roman"/>
          <w:b w:val="false"/>
          <w:i w:val="false"/>
          <w:color w:val="000000"/>
          <w:sz w:val="22"/>
        </w:rPr>
        <w:t xml:space="preserve">All hawki program, Iowa health and wellness plan, and dental wellness plan members shall be subject to mandatory enrollment in an MCP. All Medicaid members, with the exception of the following, shall be subject to mandatory enrollment in an MCP: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who are medically needy as described at </w:t>
      </w:r>
      <w:hyperlink r:id="rId1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eligible only for emergency medical services because the individuals do not meet citizenship or alienage requirements, pursuant to </w:t>
      </w:r>
      <w:hyperlink r:id="rId1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currently presumptively eligible as defined in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eligible for the program of all-inclusive care for the elderly (PACE) who voluntarily elect PACE coverage as described in Division II of </w:t>
      </w:r>
      <w:hyperlink r:id="rId20">
        <w:r>
          <w:rPr>
            <w:rStyle w:val="Hyperlink"/>
            <w:rFonts w:ascii="Times New Roman" w:hAnsi="Times New Roman"/>
            <w:b w:val="false"/>
            <w:i w:val="false"/>
            <w:color w:val="000000"/>
            <w:sz w:val="22"/>
          </w:rPr>
          <w:t>441—Chapter 88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enrolled in the health insurance premium payment program (HIPP) pursuant to </w:t>
      </w:r>
      <w:hyperlink r:id="rId2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eligible only for the Medicare savings program as described in </w:t>
      </w:r>
      <w:hyperlink r:id="rId22">
        <w:r>
          <w:rPr>
            <w:rStyle w:val="Hyperlink"/>
            <w:rFonts w:ascii="Times New Roman" w:hAnsi="Times New Roman"/>
            <w:b w:val="false"/>
            <w:i w:val="false"/>
            <w:color w:val="000000"/>
            <w:sz w:val="22"/>
          </w:rPr>
          <w:t>441—Chapters 75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American Indian and Alaska Native populations who are exempt from mandatory enrollment pursuant to 42 CFR 438.50(d)(2) but who may enroll voluntarily.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have a Medicaid eligibility period that is retroactive as described in </w:t>
      </w:r>
      <w:hyperlink r:id="rId24">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inmates of a public institution and ineligible for Medicaid benefits as described in </w:t>
      </w:r>
      <w:hyperlink r:id="rId2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residing in the Iowa Veterans Home as described in rule </w:t>
      </w:r>
      <w:hyperlink r:id="rId26">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 xml:space="preserve">(35D).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2017, persons who are eligible only for the family planning waiver as described in </w:t>
      </w:r>
      <w:hyperlink r:id="rId2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Enrollment process. </w:t>
      </w:r>
      <w:r>
        <w:rPr>
          <w:rFonts w:ascii="Times New Roman" w:hAnsi="Times New Roman"/>
          <w:b w:val="false"/>
          <w:i w:val="false"/>
          <w:color w:val="000000"/>
          <w:sz w:val="22"/>
        </w:rPr>
        <w:t xml:space="preserve">The department shall notify members who must be enrolled in an MCP of enrollment and the effective date of enrollment. The department will implement an enrollment process in accordance with federal funding requirements, including 42 CFR 438 as amended to July 19,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Members may receive MCP choice counseling from the enrollment broker. The enrollment broker will provide information about individual MCP benefit structures, services and network providers, as well as information about other Medicaid programs as requested by the Medicaid member to assist the member in making an informed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Passive assignment. </w:t>
      </w:r>
      <w:r>
        <w:rPr>
          <w:rFonts w:ascii="Times New Roman" w:hAnsi="Times New Roman"/>
          <w:b w:val="false"/>
          <w:i w:val="false"/>
          <w:color w:val="000000"/>
          <w:sz w:val="22"/>
        </w:rPr>
        <w:t xml:space="preserve">Effective no earlier than the first day of the month of the member’s application to Medicaid, the member shall be assigned to an MCP using the department’s passive enrollment process and offered the opportunity to choose from the available MCPs within a time frame specified in the passive assignment letter.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to change enrollment. </w:t>
      </w:r>
      <w:r>
        <w:rPr>
          <w:rFonts w:ascii="Times New Roman" w:hAnsi="Times New Roman"/>
          <w:b w:val="false"/>
          <w:i w:val="false"/>
          <w:color w:val="000000"/>
          <w:sz w:val="22"/>
        </w:rPr>
        <w:t xml:space="preserve">An enrollee may, within 90 days of initial enrollment, request to change enrollment from one MCP and enroll in another MCP. The request may be made on a form designated by the department, in writing, or by telephone call to the enrollment broker’s toll-free member telephone line. Enrollment changes are effective no later than the first day of the second month beginning after the date on which the enrollment broker receives the enrollee’s written or verbal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Ongoing enrollment. </w:t>
      </w:r>
      <w:r>
        <w:rPr>
          <w:rFonts w:ascii="Times New Roman" w:hAnsi="Times New Roman"/>
          <w:b w:val="false"/>
          <w:i w:val="false"/>
          <w:color w:val="000000"/>
          <w:sz w:val="22"/>
        </w:rPr>
        <w:t xml:space="preserve">Enrollees shall remain enrolled with the chosen MCP for a total of 12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Enrollment cycle. </w:t>
      </w:r>
      <w:r>
        <w:rPr>
          <w:rFonts w:ascii="Times New Roman" w:hAnsi="Times New Roman"/>
          <w:b w:val="false"/>
          <w:i w:val="false"/>
          <w:color w:val="000000"/>
          <w:sz w:val="22"/>
        </w:rPr>
        <w:t xml:space="preserve">Prior to the end of the enrollee’s annual enrollment period, the enrollee shall be notified of the option to maintain enrollment with the current MCP or to enroll with a different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Benefit reimbursement prior to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effective date of MCP enrollment, except as provided in </w:t>
      </w:r>
      <w:hyperlink r:id="rId28">
        <w:r>
          <w:rPr>
            <w:rStyle w:val="Hyperlink"/>
            <w:rFonts w:ascii="Times New Roman" w:hAnsi="Times New Roman"/>
            <w:b w:val="false"/>
            <w:i w:val="false"/>
            <w:color w:val="000000"/>
            <w:sz w:val="22"/>
          </w:rPr>
          <w:t>paragraph 73.3(4)</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reimburse providers for covered program benefits pursuant to </w:t>
      </w:r>
      <w:hyperlink r:id="rId29">
        <w:r>
          <w:rPr>
            <w:rStyle w:val="Hyperlink"/>
            <w:rFonts w:ascii="Times New Roman" w:hAnsi="Times New Roman"/>
            <w:b w:val="false"/>
            <w:i w:val="false"/>
            <w:color w:val="000000"/>
            <w:sz w:val="22"/>
          </w:rPr>
          <w:t>441—Chapters 74 to 91</w:t>
        </w:r>
      </w:hyperlink>
      <w:r>
        <w:rPr>
          <w:rFonts w:ascii="Times New Roman" w:hAnsi="Times New Roman"/>
          <w:b w:val="false"/>
          <w:i w:val="false"/>
          <w:color w:val="000000"/>
          <w:sz w:val="22"/>
        </w:rPr>
        <w:t xml:space="preserve">, as applicable for eligible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be responsible for covering newly retroactive Medicaid eligibility periods prior to the effective date of enrollment for babies born to Medicaid-enrolled women who are retroactively eligible to the month of birth.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441—73.4</w:t>
      </w:r>
      <w:r>
        <w:rPr>
          <w:rFonts w:ascii="Times New Roman" w:hAnsi="Times New Roman"/>
          <w:b/>
          <w:i w:val="false"/>
          <w:color w:val="000000"/>
          <w:sz w:val="22"/>
        </w:rPr>
        <w:t xml:space="preserve">(249A) </w:t>
      </w:r>
      <w:r>
        <w:rPr>
          <w:rFonts w:ascii="Times New Roman" w:hAnsi="Times New Roman"/>
          <w:b/>
          <w:i w:val="false"/>
          <w:color w:val="000000"/>
          <w:sz w:val="22"/>
        </w:rPr>
        <w:t xml:space="preserve">Disenrollment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73.4(1)</w:t>
      </w:r>
      <w:r>
        <w:rPr>
          <w:rFonts w:ascii="Times New Roman" w:hAnsi="Times New Roman"/>
          <w:b w:val="false"/>
          <w:i w:val="false"/>
          <w:color w:val="000000"/>
          <w:sz w:val="22"/>
        </w:rPr>
        <w:t> </w:t>
      </w:r>
      <w:r>
        <w:rPr>
          <w:rFonts w:ascii="Times New Roman" w:hAnsi="Times New Roman"/>
          <w:b w:val="false"/>
          <w:i/>
          <w:color w:val="000000"/>
          <w:sz w:val="22"/>
        </w:rPr>
        <w:t xml:space="preserve">Enrollee-requested disenrollment. </w:t>
      </w:r>
      <w:r>
        <w:rPr>
          <w:rFonts w:ascii="Times New Roman" w:hAnsi="Times New Roman"/>
          <w:b w:val="false"/>
          <w:i w:val="false"/>
          <w:color w:val="000000"/>
          <w:sz w:val="22"/>
        </w:rPr>
        <w:t xml:space="preserve">An enrollee may request disenrollment with an MCP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first 90 days following the date of the enrollee’s initial enrollment with the MCP, the enrollee may request disenrollment, for any reason, in writing or by a telephone call to the enrollment broker’s toll-free member telephone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90 days following the date of the enrollee’s enrollment with the MCP, when an enrollee is requesting disenrollment due to good cause, the enrollee member shall first make a verbal or written filing of the issue through the MCP’s grievance system. If the member does not experience resolution, the MCP shall direct the member to the enrollment broker. The enrolled member may request disenrollment in writing or by a telephone call to the enrollment broker’s toll-free member telephone line and must request a good-cause change for enrollment. Good-cause changes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does not, because of moral or religious objections, cover the service the member seeks.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needs related services to be performed at the same time, not all related services are available within the network, and the member’s primary care provider or another provider determines that receiving the services separately would subject the member to unnecessary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reasons, including but not limited to poor quality of care, lack of access to services covered under the contract, lack of access to providers experienced in dealing with the member’s health or dental care needs, or eligibility and choice to participate in a program not available in managed care (for example, 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decision for disenrollment shall be determined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73.4(2)</w:t>
      </w:r>
      <w:r>
        <w:rPr>
          <w:rFonts w:ascii="Times New Roman" w:hAnsi="Times New Roman"/>
          <w:b w:val="false"/>
          <w:i w:val="false"/>
          <w:color w:val="000000"/>
          <w:sz w:val="22"/>
        </w:rPr>
        <w:t> </w:t>
      </w:r>
      <w:r>
        <w:rPr>
          <w:rFonts w:ascii="Times New Roman" w:hAnsi="Times New Roman"/>
          <w:b w:val="false"/>
          <w:i/>
          <w:color w:val="000000"/>
          <w:sz w:val="22"/>
        </w:rPr>
        <w:t xml:space="preserve">Disenrollment by department. </w:t>
      </w:r>
      <w:r>
        <w:rPr>
          <w:rFonts w:ascii="Times New Roman" w:hAnsi="Times New Roman"/>
          <w:b w:val="false"/>
          <w:i w:val="false"/>
          <w:color w:val="000000"/>
          <w:sz w:val="22"/>
        </w:rPr>
        <w:t xml:space="preserve">Disenrollment will occur when: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 between the department and the MCP is terminated.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becomes ineligible for Medicaid, the hawki program, the Iowa health and wellness plan, or the dental wellness plan. If the enrollee becomes ineligible and is later reinstated to these programs, enrollment in the MCP will also be reinstated.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transfers to an eligibility group excluded from managed care plan enrollment. “Enrollee” is defined in rule </w:t>
      </w:r>
      <w:hyperlink r:id="rId30">
        <w:r>
          <w:rPr>
            <w:rStyle w:val="Hyperlink"/>
            <w:rFonts w:ascii="Times New Roman" w:hAnsi="Times New Roman"/>
            <w:b w:val="false"/>
            <w:i w:val="false"/>
            <w:color w:val="000000"/>
            <w:sz w:val="22"/>
          </w:rPr>
          <w:t>441—73.1</w:t>
        </w:r>
      </w:hyperlink>
      <w:r>
        <w:rPr>
          <w:rFonts w:ascii="Times New Roman" w:hAnsi="Times New Roman"/>
          <w:b w:val="false"/>
          <w:i w:val="false"/>
          <w:color w:val="000000"/>
          <w:sz w:val="22"/>
        </w:rPr>
        <w:t xml:space="preserve">(249A).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determined that participation in the HIPP program as described in </w:t>
      </w:r>
      <w:hyperlink r:id="rId3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is more cost-effective than enrollment in managed 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enrollee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has changed residence to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73.4(3)</w:t>
      </w:r>
      <w:r>
        <w:rPr>
          <w:rFonts w:ascii="Times New Roman" w:hAnsi="Times New Roman"/>
          <w:b w:val="false"/>
          <w:i w:val="false"/>
          <w:color w:val="000000"/>
          <w:sz w:val="22"/>
        </w:rPr>
        <w:t> </w:t>
      </w:r>
      <w:r>
        <w:rPr>
          <w:rFonts w:ascii="Times New Roman" w:hAnsi="Times New Roman"/>
          <w:b w:val="false"/>
          <w:i/>
          <w:color w:val="000000"/>
          <w:sz w:val="22"/>
        </w:rPr>
        <w:t xml:space="preserve">Managed care plan-requested disenrollment. </w:t>
      </w:r>
      <w:r>
        <w:rPr>
          <w:rFonts w:ascii="Times New Roman" w:hAnsi="Times New Roman"/>
          <w:b w:val="false"/>
          <w:i w:val="false"/>
          <w:color w:val="000000"/>
          <w:sz w:val="22"/>
        </w:rPr>
        <w:t xml:space="preserve">An MCP shall not disenroll an enrollee or encourage an enrollee to disenroll for any reason, including the enrollee’s health or dental care needs or change in health or dental care status or because of the enrollee’s utilization of medical services, diminished capacity, or uncooperative or disruptive behavior resulting from the enrollee’s special needs (except when the enrollee’s continued enrollment seriously impairs the MCP’s ability to furnish services to either this particular enrollee or other enrollees). In instances where the exception applies, the MCP shall provide evidence to the department that continued enrollment of an enrollee seriously impairs the MCP’s ability to furnish services to either this particular enrollee or other enrollees. The MCP shall have methods by which the department is assured that disenrollment is not requested for another reason.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73.4(4)</w:t>
      </w:r>
      <w:r>
        <w:rPr>
          <w:rFonts w:ascii="Times New Roman" w:hAnsi="Times New Roman"/>
          <w:b w:val="false"/>
          <w:i w:val="false"/>
          <w:color w:val="000000"/>
          <w:sz w:val="22"/>
        </w:rPr>
        <w:t> </w:t>
      </w:r>
      <w:r>
        <w:rPr>
          <w:rFonts w:ascii="Times New Roman" w:hAnsi="Times New Roman"/>
          <w:b w:val="false"/>
          <w:i/>
          <w:color w:val="000000"/>
          <w:sz w:val="22"/>
        </w:rPr>
        <w:t xml:space="preserve">Disenrollment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a department-approved disenrollment shall be no later than the first day of the second calendar month beginning after the month in which: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requests disenrollment pursuant to </w:t>
      </w:r>
      <w:hyperlink r:id="rId32">
        <w:r>
          <w:rPr>
            <w:rStyle w:val="Hyperlink"/>
            <w:rFonts w:ascii="Times New Roman" w:hAnsi="Times New Roman"/>
            <w:b w:val="false"/>
            <w:i w:val="false"/>
            <w:color w:val="000000"/>
            <w:sz w:val="22"/>
          </w:rPr>
          <w:t>subrule 73.4(1)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notifies the enrollee and MCP of disenrollment pursuant to </w:t>
      </w:r>
      <w:hyperlink r:id="rId33">
        <w:r>
          <w:rPr>
            <w:rStyle w:val="Hyperlink"/>
            <w:rFonts w:ascii="Times New Roman" w:hAnsi="Times New Roman"/>
            <w:b w:val="false"/>
            <w:i w:val="false"/>
            <w:color w:val="000000"/>
            <w:sz w:val="22"/>
          </w:rPr>
          <w:t>subrule 73.4(2)</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requests disenrollment pursuant to </w:t>
      </w:r>
      <w:hyperlink r:id="rId34">
        <w:r>
          <w:rPr>
            <w:rStyle w:val="Hyperlink"/>
            <w:rFonts w:ascii="Times New Roman" w:hAnsi="Times New Roman"/>
            <w:b w:val="false"/>
            <w:i w:val="false"/>
            <w:color w:val="000000"/>
            <w:sz w:val="22"/>
          </w:rPr>
          <w:t>subrule 73.4(3)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shall remain enrolled in the MCP and the MCP will be responsible for services covered under the contract until the effective date of disenrollment unless the enrollee is in an inpatient setting at the time of disenrollment. If the enrollee is in an inpatient setting at the time of disenrollment, the managed care organization shall be responsible for the inpatient services for 60 days or until the enrollee is discharged.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441—73.5</w:t>
      </w:r>
      <w:r>
        <w:rPr>
          <w:rFonts w:ascii="Times New Roman" w:hAnsi="Times New Roman"/>
          <w:b/>
          <w:i w:val="false"/>
          <w:color w:val="000000"/>
          <w:sz w:val="22"/>
        </w:rPr>
        <w:t xml:space="preserve">(249A) </w:t>
      </w:r>
      <w:r>
        <w:rPr>
          <w:rFonts w:ascii="Times New Roman" w:hAnsi="Times New Roman"/>
          <w:b/>
          <w:i w:val="false"/>
          <w:color w:val="000000"/>
          <w:sz w:val="22"/>
        </w:rPr>
        <w:t xml:space="preserve">MCP 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73.5(1)</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services—MCOs. </w:t>
      </w:r>
      <w:r>
        <w:rPr>
          <w:rFonts w:ascii="Times New Roman" w:hAnsi="Times New Roman"/>
          <w:b w:val="false"/>
          <w:i w:val="false"/>
          <w:color w:val="000000"/>
          <w:sz w:val="22"/>
        </w:rPr>
        <w:t xml:space="preserve">A managed care organization shall provide: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enrollees other than Iowa health and wellness plan enrollees and hawki program enrollees, services as set forth in </w:t>
      </w:r>
      <w:hyperlink r:id="rId35">
        <w:r>
          <w:rPr>
            <w:rStyle w:val="Hyperlink"/>
            <w:rFonts w:ascii="Times New Roman" w:hAnsi="Times New Roman"/>
            <w:b w:val="false"/>
            <w:i w:val="false"/>
            <w:color w:val="000000"/>
            <w:sz w:val="22"/>
          </w:rPr>
          <w:t>441—Chapters 78</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84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with the exception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Area education agency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services not provided in an outpatient hospital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 and toddler 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education agency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of Iowa Veterans Home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Follows the Person (MFP) Rebalancing Demonstration Grant-funded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as set forth in </w:t>
      </w:r>
      <w:hyperlink r:id="rId42">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for Iowa health and wellness plan enrollees.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as set forth in </w:t>
      </w:r>
      <w:hyperlink r:id="rId43">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 xml:space="preserve"> for hawki program enrollees.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73.5(2)</w:t>
      </w:r>
      <w:r>
        <w:rPr>
          <w:rFonts w:ascii="Times New Roman" w:hAnsi="Times New Roman"/>
          <w:b w:val="false"/>
          <w:i w:val="false"/>
          <w:color w:val="000000"/>
          <w:sz w:val="22"/>
        </w:rPr>
        <w:t> </w:t>
      </w:r>
      <w:r>
        <w:rPr>
          <w:rFonts w:ascii="Times New Roman" w:hAnsi="Times New Roman"/>
          <w:b w:val="false"/>
          <w:i/>
          <w:color w:val="000000"/>
          <w:sz w:val="22"/>
        </w:rPr>
        <w:t xml:space="preserve">Community-based case management service. </w:t>
      </w:r>
      <w:r>
        <w:rPr>
          <w:rFonts w:ascii="Times New Roman" w:hAnsi="Times New Roman"/>
          <w:b w:val="false"/>
          <w:i w:val="false"/>
          <w:color w:val="000000"/>
          <w:sz w:val="22"/>
        </w:rPr>
        <w:t xml:space="preserve">The managed care organization is required to provide services that meet requirements specified in the contract and in </w:t>
      </w:r>
      <w:hyperlink r:id="rId44">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73.5(3)</w:t>
      </w:r>
      <w:r>
        <w:rPr>
          <w:rFonts w:ascii="Times New Roman" w:hAnsi="Times New Roman"/>
          <w:b w:val="false"/>
          <w:i w:val="false"/>
          <w:color w:val="000000"/>
          <w:sz w:val="22"/>
        </w:rPr>
        <w:t> </w:t>
      </w:r>
      <w:r>
        <w:rPr>
          <w:rFonts w:ascii="Times New Roman" w:hAnsi="Times New Roman"/>
          <w:b w:val="false"/>
          <w:i/>
          <w:color w:val="000000"/>
          <w:sz w:val="22"/>
        </w:rPr>
        <w:t xml:space="preserve">Health home services. </w:t>
      </w:r>
      <w:r>
        <w:rPr>
          <w:rFonts w:ascii="Times New Roman" w:hAnsi="Times New Roman"/>
          <w:b w:val="false"/>
          <w:i w:val="false"/>
          <w:color w:val="000000"/>
          <w:sz w:val="22"/>
        </w:rPr>
        <w:t xml:space="preserve">The managed care organization is required to provide services that meet the requirements specified in </w:t>
      </w:r>
      <w:hyperlink r:id="rId45">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and as specified in the contract.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73.5(4)</w:t>
      </w:r>
      <w:r>
        <w:rPr>
          <w:rFonts w:ascii="Times New Roman" w:hAnsi="Times New Roman"/>
          <w:b w:val="false"/>
          <w:i w:val="false"/>
          <w:color w:val="000000"/>
          <w:sz w:val="22"/>
        </w:rPr>
        <w:t> </w:t>
      </w:r>
      <w:r>
        <w:rPr>
          <w:rFonts w:ascii="Times New Roman" w:hAnsi="Times New Roman"/>
          <w:b w:val="false"/>
          <w:i/>
          <w:color w:val="000000"/>
          <w:sz w:val="22"/>
        </w:rPr>
        <w:t xml:space="preserve">Value-added services. </w:t>
      </w:r>
      <w:r>
        <w:rPr>
          <w:rFonts w:ascii="Times New Roman" w:hAnsi="Times New Roman"/>
          <w:b w:val="false"/>
          <w:i w:val="false"/>
          <w:color w:val="000000"/>
          <w:sz w:val="22"/>
        </w:rPr>
        <w:t xml:space="preserve">A managed care organization may develop optional services and supports to address the needs of enrollees. These services and supports shall be implemented only after approval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73.5(5)</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services—PAHPs. </w:t>
      </w:r>
      <w:r>
        <w:rPr>
          <w:rFonts w:ascii="Times New Roman" w:hAnsi="Times New Roman"/>
          <w:b w:val="false"/>
          <w:i w:val="false"/>
          <w:color w:val="000000"/>
          <w:sz w:val="22"/>
        </w:rPr>
        <w:t>A PAHP shall provide services to enrollees under the contract with the state agency and on the bases of prepaid capitation payments or other payment arrangements that do not use state plan payment rates. PAHPs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enrollees other than Iowa health and wellness plan enrollees and hawki program enrollees, services as set forth in </w:t>
      </w:r>
      <w:hyperlink r:id="rId46">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74</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with the exception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Area education agency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hospital or institutional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Advance directive requirements in dental nonclinical services such as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Long-term care (skilled nursing facilities, intermediate care facilities, residential care facilities, state resource centers, or intermediate care facilities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Inpatient psychiatric care provided at the state-administered mental health institutes.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provided at specialized adolescent psychiatric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Day treatment and partial hospitalization services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Enhanced services provided to certain eligible recipients.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as set forth in </w:t>
      </w:r>
      <w:hyperlink r:id="rId50">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 xml:space="preserve"> for Iowa health and wellness plan enrollees.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as set forth in </w:t>
      </w:r>
      <w:hyperlink r:id="rId51">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 xml:space="preserve"> for hawki program enrollees.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441—73.6</w:t>
      </w:r>
      <w:r>
        <w:rPr>
          <w:rFonts w:ascii="Times New Roman" w:hAnsi="Times New Roman"/>
          <w:b/>
          <w:i w:val="false"/>
          <w:color w:val="000000"/>
          <w:sz w:val="22"/>
        </w:rPr>
        <w:t xml:space="preserve">(249A) </w:t>
      </w:r>
      <w:r>
        <w:rPr>
          <w:rFonts w:ascii="Times New Roman" w:hAnsi="Times New Roman"/>
          <w:b/>
          <w:i w:val="false"/>
          <w:color w:val="000000"/>
          <w:sz w:val="22"/>
        </w:rPr>
        <w:t xml:space="preserve">Amount, duration and 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provide, at a minimum, all benefits and services deemed medically necessary that are covered under the contract with the department. In accordance with federal funding requirements, including 42 CFR 438.210(a)(3) as amended to July 19, 2022, the MCP shall furnish covered services in an amount, duration and scope reasonably expected to achieve the purpose for which the services are furnished. The MCP shall not arbitrarily deny or reduce the amount, duration and scope of a required service solely because of diagnosis, type of illness, or condition of the enrollee. With the exception of court-ordered services, the managed care organization shall require as a condition of payment managed care organization approval of admissions to a nursing facility, an intermediate care facility for persons with an intellectual disability, a psychiatric medical institution for children, and a mental health institute. Managed care organizations shall also require managed care organization approval of out-of-state placements as a condition of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may place appropriate limits on services on the basis of medical necessity criteria for the purpose of utilization management, provided the services can reasonably be expected to achieve their purpose in accordance with the contract. The MCP shall not: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Avoid costs for services covered in the contract by referring members to publicly supported health or dental care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Deny reimbursement of covered services based on the presence of a preexisting condition.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allow each enrollee to choose a health or dental professional, to the extent possible and appropriate, within the MCP’s provider network. The MCP shall ensure compliance with the Americans with Disabilities Act (ADA) in the delivery and approval of all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441—73.7</w:t>
      </w:r>
      <w:r>
        <w:rPr>
          <w:rFonts w:ascii="Times New Roman" w:hAnsi="Times New Roman"/>
          <w:b/>
          <w:i w:val="false"/>
          <w:color w:val="000000"/>
          <w:sz w:val="22"/>
        </w:rPr>
        <w:t xml:space="preserve">(249A) </w:t>
      </w:r>
      <w:r>
        <w:rPr>
          <w:rFonts w:ascii="Times New Roman" w:hAnsi="Times New Roman"/>
          <w:b/>
          <w:i w:val="false"/>
          <w:color w:val="000000"/>
          <w:sz w:val="22"/>
        </w:rPr>
        <w:t xml:space="preserve">Emergency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services shall be available 24 hours a day, seven days a week.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federal funding requirements, including 42 CFR 438.114 as amended to July 19, 2022, the MCP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Cover emergency services without the need for prior authorization and shall not limit reimbursement to network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Cover and pay for emergency services regardless of whether the provider that furnishes the services is enrolled with Iowa Medicaid or has a contract with the MCP.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noncontracted providers for emergency services the amount that would have been paid if the service had been provided under the state’s fee-for-service Medicaid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Cover the medical screening examination, as described by EMTALA, provided to a member who presents to an emergency department with an emergency medical condition. This requirement applies to managed care organizations only.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73.7(3)</w:t>
      </w:r>
      <w:r>
        <w:rPr>
          <w:rFonts w:ascii="Times New Roman" w:hAnsi="Times New Roman"/>
          <w:b w:val="false"/>
          <w:i w:val="false"/>
          <w:color w:val="000000"/>
          <w:sz w:val="22"/>
        </w:rPr>
        <w:t> </w:t>
      </w:r>
      <w:r>
        <w:rPr>
          <w:rFonts w:ascii="Times New Roman" w:hAnsi="Times New Roman"/>
          <w:b w:val="false"/>
          <w:i w:val="false"/>
          <w:color w:val="000000"/>
          <w:sz w:val="22"/>
        </w:rPr>
        <w:t>The MCP shall not deny payment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obtained when an enrollee has an emergency medical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obtained when a representative of the MCP instructs the enrollee to seek emergency medical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441—73.8</w:t>
      </w:r>
      <w:r>
        <w:rPr>
          <w:rFonts w:ascii="Times New Roman" w:hAnsi="Times New Roman"/>
          <w:b/>
          <w:i w:val="false"/>
          <w:color w:val="000000"/>
          <w:sz w:val="22"/>
        </w:rPr>
        <w:t xml:space="preserve">(249A) </w:t>
      </w:r>
      <w:r>
        <w:rPr>
          <w:rFonts w:ascii="Times New Roman" w:hAnsi="Times New Roman"/>
          <w:b/>
          <w:i w:val="false"/>
          <w:color w:val="000000"/>
          <w:sz w:val="22"/>
        </w:rPr>
        <w:t xml:space="preserve">Access to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ensure enrollees have access to services as specified in the contract. In general, the MCP shall provide available, accessible, and adequate numbers of institutional facilities, service locations, and service sites and professional, allied, and paramedical personnel for the provision of covered services, including all emergency services, on a 24-hours-a-day, seven-days-a-week basis. At a minimum, access to services shall comply with the standards described in the contract. For areas of the state where provider availability is insufficient to meet these standards, for example, in health or dental professional shortage areas and medically underserved areas, the access standards shall meet the usual and customary standards for the community. Exceptions to the requirements contained in this rule shall be justified and documented to the state on the basis of community standards. All other services not specified in this rule shall meet the usual and customary standards for the community.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val="false"/>
          <w:color w:val="000000"/>
          <w:sz w:val="22"/>
        </w:rPr>
        <w:t xml:space="preserve">Choice of providers. An enrollee shall use the MCP’s provider network unless the MCP has authorized a referral to a nonparticipating provider for provision of a service or treatment plan or as specified for provision of emergency services set forth in rule </w:t>
      </w:r>
      <w:hyperlink r:id="rId52">
        <w:r>
          <w:rPr>
            <w:rStyle w:val="Hyperlink"/>
            <w:rFonts w:ascii="Times New Roman" w:hAnsi="Times New Roman"/>
            <w:b w:val="false"/>
            <w:i w:val="false"/>
            <w:color w:val="000000"/>
            <w:sz w:val="22"/>
          </w:rPr>
          <w:t>441—73.7</w:t>
        </w:r>
      </w:hyperlink>
      <w:r>
        <w:rPr>
          <w:rFonts w:ascii="Times New Roman" w:hAnsi="Times New Roman"/>
          <w:b w:val="false"/>
          <w:i w:val="false"/>
          <w:color w:val="000000"/>
          <w:sz w:val="22"/>
        </w:rPr>
        <w:t xml:space="preserve">(249A). In accordance with federal funding requirements, including 42 CFR 431.51(b)(2) as amended to July 19, 2022, the managed care organization shall allow enrollees freedom of choice of providers of any department-enrolled family planning service provider including those providers who are not in the MCP network.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Continuity of care. The MCP shall have policies and procedures that provide for the continuity of care of treatment to ensure that a new enrollee’s existing services are honored as required in the contract.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73.8(4)</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service referral support and after-hours call-in coverage. The MCP shall ensure enrollee access to service information and medical coverage 24 hours a day, 7 days a week, 365 days a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helpline. </w:t>
      </w:r>
      <w:r>
        <w:rPr>
          <w:rFonts w:ascii="Times New Roman" w:hAnsi="Times New Roman"/>
          <w:b w:val="false"/>
          <w:i w:val="false"/>
          <w:color w:val="000000"/>
          <w:sz w:val="22"/>
        </w:rPr>
        <w:t xml:space="preserve">The MCP shall maintain a dedicated toll-free member services helpline as established in the contract to handle a variety of member inquiries and to provide warm transfer of enrollees to outside entities, such as provider offices, and to internal MCP departments, such as care coordinators.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Nurse call line. </w:t>
      </w:r>
      <w:r>
        <w:rPr>
          <w:rFonts w:ascii="Times New Roman" w:hAnsi="Times New Roman"/>
          <w:b w:val="false"/>
          <w:i w:val="false"/>
          <w:color w:val="000000"/>
          <w:sz w:val="22"/>
        </w:rPr>
        <w:t xml:space="preserve">The managed care organization shall operate a toll-free nurse call line that provides nurse triage telephone services for members to receive medical advice 24 hours a day, seven days a week from trained medical professionals.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73.8(5)</w:t>
      </w:r>
      <w:r>
        <w:rPr>
          <w:rFonts w:ascii="Times New Roman" w:hAnsi="Times New Roman"/>
          <w:b w:val="false"/>
          <w:i w:val="false"/>
          <w:color w:val="000000"/>
          <w:sz w:val="22"/>
        </w:rPr>
        <w:t> </w:t>
      </w:r>
      <w:r>
        <w:rPr>
          <w:rFonts w:ascii="Times New Roman" w:hAnsi="Times New Roman"/>
          <w:b w:val="false"/>
          <w:i w:val="false"/>
          <w:color w:val="000000"/>
          <w:sz w:val="22"/>
        </w:rPr>
        <w:t xml:space="preserve">An enrollee’s primary care provider shall be responsible for providing preventative and primary health or dental care to the enrollee; for initiating referrals for specialist care, where appropriate; and for maintaining the continuity of patient care. Primary care providers may be physicians, advanced registered nurse practitioners, or physician assistants, licensed and practicing in accordance with state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441—73.9</w:t>
      </w:r>
      <w:r>
        <w:rPr>
          <w:rFonts w:ascii="Times New Roman" w:hAnsi="Times New Roman"/>
          <w:b/>
          <w:i w:val="false"/>
          <w:color w:val="000000"/>
          <w:sz w:val="22"/>
        </w:rPr>
        <w:t xml:space="preserve">(249A) </w:t>
      </w:r>
      <w:r>
        <w:rPr>
          <w:rFonts w:ascii="Times New Roman" w:hAnsi="Times New Roman"/>
          <w:b/>
          <w:i w:val="false"/>
          <w:color w:val="000000"/>
          <w:sz w:val="22"/>
        </w:rPr>
        <w:t xml:space="preserve">Incident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managed care organization shall develop and implement a critical incident reporting and management system for participating providers in accordance with the department requirements for reporting incidents for Section 1915(c) HCBS waivers, for the Section 1915(i) habilitation program, and as required for licensure of programs through the department of inspections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73.9(2)</w:t>
      </w:r>
      <w:r>
        <w:rPr>
          <w:rFonts w:ascii="Times New Roman" w:hAnsi="Times New Roman"/>
          <w:b w:val="false"/>
          <w:i w:val="false"/>
          <w:color w:val="000000"/>
          <w:sz w:val="22"/>
        </w:rPr>
        <w:t> </w:t>
      </w:r>
      <w:r>
        <w:rPr>
          <w:rFonts w:ascii="Times New Roman" w:hAnsi="Times New Roman"/>
          <w:b w:val="false"/>
          <w:i w:val="false"/>
          <w:color w:val="000000"/>
          <w:sz w:val="22"/>
        </w:rPr>
        <w:t>The managed care organization shall develop and implement policies and procedures, subject to department review and approval,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 and respond to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incidents to the appropriate entities in accordance with required time frames;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Track and analyze incidents.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441—73.10</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planning. </w:t>
      </w:r>
      <w:r>
        <w:rPr>
          <w:rFonts w:ascii="Times New Roman" w:hAnsi="Times New Roman"/>
          <w:b w:val="false"/>
          <w:i w:val="false"/>
          <w:color w:val="000000"/>
          <w:sz w:val="22"/>
        </w:rPr>
        <w:t xml:space="preserve">The managed care organization shall establish policies and procedures, subject to approval by the department, that protect an individual from involuntary discharge that may lead to placement in an inappropriate or more restrictive setting. The managed care organization shall facilitate a seamless transition whenever a member transitions between facilities or residences.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441—73.11</w:t>
      </w:r>
      <w:r>
        <w:rPr>
          <w:rFonts w:ascii="Times New Roman" w:hAnsi="Times New Roman"/>
          <w:b/>
          <w:i w:val="false"/>
          <w:color w:val="000000"/>
          <w:sz w:val="22"/>
        </w:rPr>
        <w:t xml:space="preserve">(249A) </w:t>
      </w:r>
      <w:r>
        <w:rPr>
          <w:rFonts w:ascii="Times New Roman" w:hAnsi="Times New Roman"/>
          <w:b/>
          <w:i w:val="false"/>
          <w:color w:val="000000"/>
          <w:sz w:val="22"/>
        </w:rPr>
        <w:t xml:space="preserve">Level of care assessment and annual reviews. </w:t>
      </w:r>
      <w:r>
        <w:rPr>
          <w:rFonts w:ascii="Times New Roman" w:hAnsi="Times New Roman"/>
          <w:b w:val="false"/>
          <w:i w:val="false"/>
          <w:color w:val="000000"/>
          <w:sz w:val="22"/>
        </w:rPr>
        <w:t xml:space="preserve">The managed care organization shall establish policies and procedures to ensure the implementation of level of care and needs-based eligibility assessments and reassessments as required in the contract and consistent with the department’s level of care and needs-based eligibility assessment process and the requirements provided in </w:t>
      </w:r>
      <w:hyperlink r:id="rId53">
        <w:r>
          <w:rPr>
            <w:rStyle w:val="Hyperlink"/>
            <w:rFonts w:ascii="Times New Roman" w:hAnsi="Times New Roman"/>
            <w:b w:val="false"/>
            <w:i w:val="false"/>
            <w:color w:val="000000"/>
            <w:sz w:val="22"/>
          </w:rPr>
          <w:t>441—Chapters 75</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Waiver level of care determinations must be consistent with those made for the appropriate institutional level of care under the state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level of care assessment. Managed care organizations are responsible for conducting level of care and needs-based eligibility assessments for a current enrollee who requires a level of care or a needs-based eligibility assessment. The managed care organization shall perform the assessment using department-approved assessment tools. The results of the assessment shall be submitted to the Iowa Medicaid medical services unit for determination of level of care or needs-based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continued stay reviews, continued care reviews and redeterminations. When an enrollee requires a continued stay review, a continued care review or a redetermination, the managed care organization shall use department-approved assessment tools. If the managed care organization becomes aware that the enrollee’s functional or medical status has changed in a way that may affect the enrollee’s level of care or needs-based eligibility, the managed care organization shall submit the assessment findings to the Iowa Medicaid medical services unit for determination of level of care or needs-based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73.11(3)</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if the managed care organization becomes aware that the enrollee’s functional or medical status has changed in a way that may affect level of care or needs-based eligibility, the managed care organization shall conduct a level of care or needs-based assessment using the department-approved tools and submit the assessment to the Iowa Medicaid medical services unit for determination of level of care or needs-based eligibility.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of MCP actions. </w:t>
      </w:r>
      <w:r>
        <w:rPr>
          <w:rFonts w:ascii="Times New Roman" w:hAnsi="Times New Roman"/>
          <w:b w:val="false"/>
          <w:i w:val="false"/>
          <w:color w:val="000000"/>
          <w:sz w:val="22"/>
        </w:rPr>
        <w:t xml:space="preserve">The MCPs shall have written appeal policies and procedures for an enrollee, or an enrollee’s authorized representative, to appeal an MCP action. The policies must address contractual requirements and federal funding requirements, including 42 CFR 438, Subpart F, as amended to July 19,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w:t>
      </w:r>
      <w:r>
        <w:rPr>
          <w:rFonts w:ascii="Times New Roman" w:hAnsi="Times New Roman"/>
          <w:b w:val="false"/>
          <w:i w:val="false"/>
          <w:color w:val="000000"/>
          <w:sz w:val="22"/>
        </w:rPr>
        <w:t> </w:t>
      </w:r>
      <w:r>
        <w:rPr>
          <w:rFonts w:ascii="Times New Roman" w:hAnsi="Times New Roman"/>
          <w:b w:val="false"/>
          <w:i/>
          <w:color w:val="000000"/>
          <w:sz w:val="22"/>
        </w:rPr>
        <w:t xml:space="preserve">MCP appealable actions. </w:t>
      </w:r>
      <w:r>
        <w:rPr>
          <w:rFonts w:ascii="Times New Roman" w:hAnsi="Times New Roman"/>
          <w:b w:val="false"/>
          <w:i w:val="false"/>
          <w:color w:val="000000"/>
          <w:sz w:val="22"/>
        </w:rPr>
        <w:t xml:space="preserve">MCP actions that may be appealed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or limited authorization of a requested service, including the type or level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suspension, or termination of a previously authorized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in whole or in part, of payment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services in a timely manner as described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act within the required time frames set forth in federal funding requirements, including 42 CFR 438.408(b) as amended July 19,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resident of a rural area who has only one appropriate provider of a needed service, the denial of an enrollee’s request to exercise the enrollee’s right to obtain services outside of the MCO’s network.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denial of an enrollee’s request to dispute a financial liability, including cost sharing, copayments, premiums, deductibles, coinsurance, and other enrollee financial liabilities.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73.12(2)</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The MCP appeal process shall be approved by the department and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Allow for the appeal request to be submitted in writing or verbally.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 acknowledgment of the receipt of a request for an appeal within three working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Allow for participation by the enrollee and the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for resolution of nonexpedited appeals to be concluded within 30 calendar days of receipt of the request unless an extension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for resolution of expedited appeals where the standard time period could seriously jeopardize the member’s health or ability to maintain or regain maximum function to be within 72 hours of receipt of the notice pursuant to federal funding requirements, including 42 CFR 438.402 as amended to July 19,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review will be made by qualified professionals who were not involved with the original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issuance of a notice of decision for each appeal. These notices shall contain the member’s appeal rights with the department and shall contain an adequate explanation of the action taken and the reason for the decision.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441—73.13</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to department. </w:t>
      </w:r>
      <w:r>
        <w:rPr>
          <w:rFonts w:ascii="Times New Roman" w:hAnsi="Times New Roman"/>
          <w:b w:val="false"/>
          <w:i w:val="false"/>
          <w:color w:val="000000"/>
          <w:sz w:val="22"/>
        </w:rPr>
        <w:t xml:space="preserve">If the enrollee is not satisfied with the final decision rendered by the MCP through the managed care plan’s appeal process, the enrollee may appeal an action in accordance with the appeal process available to all persons receiving Medicaid-funded services as set forth in </w:t>
      </w:r>
      <w:hyperlink r:id="rId5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441—73.14</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Continuation of benefits. </w:t>
      </w:r>
      <w:r>
        <w:rPr>
          <w:rFonts w:ascii="Times New Roman" w:hAnsi="Times New Roman"/>
          <w:b w:val="false"/>
          <w:i w:val="false"/>
          <w:color w:val="000000"/>
          <w:sz w:val="22"/>
        </w:rPr>
        <w:t xml:space="preserve">The MCP shall be required to continue the member’s benefits during the appeal in accordance with federal funding requirements, including 42 CFR 438.420 as amended to July 19,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benefits are continued or reinstated while the appeal is pending, the benefits must be continued until one of the following occurs: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enrollee withdraws the appeal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Ten days pass after the MCP mailed the notice providing the resolution of the appeal against the enrollee, unless the enrollee, within the ten-day time frame, requests a state fair hearing with continuation of benefits until a state fair hearing decision is reached;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period or service limits of a previously authorized service are met.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final resolution of the appeal is adverse to the enrollee, that is, it upholds the MCP’s action, the MCP may recover the cost of the services furnished to the enrollee while the appeal is pending, to the extent that services were furnished solely because of the requirements to maintain benefits during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MCP or state fair hearing officer reverses a decision to deny, limit, or delay services that were not furnished while the appeal was pending, the MCP must authorize and provide the disputed services promptly and as expeditiously as the member’s health or dental condition requires. If the MCP or the state fair hearing officer reverses a decision to deny authorization of services and the enrollee received the disputed services while the appeal was pending, the MCP must pay for these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441—73.15</w:t>
      </w:r>
      <w:r>
        <w:rPr>
          <w:rFonts w:ascii="Times New Roman" w:hAnsi="Times New Roman"/>
          <w:b/>
          <w:i w:val="false"/>
          <w:color w:val="000000"/>
          <w:sz w:val="22"/>
        </w:rPr>
        <w:t xml:space="preserve">(249A) </w:t>
      </w:r>
      <w:r>
        <w:rPr>
          <w:rFonts w:ascii="Times New Roman" w:hAnsi="Times New Roman"/>
          <w:b/>
          <w:i w:val="false"/>
          <w:color w:val="000000"/>
          <w:sz w:val="22"/>
        </w:rPr>
        <w:t xml:space="preserve">Grievances. </w:t>
      </w:r>
      <w:r>
        <w:rPr>
          <w:rFonts w:ascii="Times New Roman" w:hAnsi="Times New Roman"/>
          <w:b w:val="false"/>
          <w:i w:val="false"/>
          <w:color w:val="000000"/>
          <w:sz w:val="22"/>
        </w:rPr>
        <w:t xml:space="preserve">The MCP shall have policies and procedures for review of any nonclinical incidents, nonclinical complaints, or nonclinical concerns. Grievances may be communicated verbally or in writing and require that the review be conducted by someone other than the person or persons involved in the grievance. All policies related to the review of grievances shall be approved by the department prior to implementation.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441—73.16</w:t>
      </w:r>
      <w:r>
        <w:rPr>
          <w:rFonts w:ascii="Times New Roman" w:hAnsi="Times New Roman"/>
          <w:b/>
          <w:i w:val="false"/>
          <w:color w:val="000000"/>
          <w:sz w:val="22"/>
        </w:rPr>
        <w:t xml:space="preserve">(249A) </w:t>
      </w:r>
      <w:r>
        <w:rPr>
          <w:rFonts w:ascii="Times New Roman" w:hAnsi="Times New Roman"/>
          <w:b/>
          <w:i w:val="false"/>
          <w:color w:val="000000"/>
          <w:sz w:val="22"/>
        </w:rPr>
        <w:t xml:space="preserve">Written record. </w:t>
      </w:r>
      <w:r>
        <w:rPr>
          <w:rFonts w:ascii="Times New Roman" w:hAnsi="Times New Roman"/>
          <w:b w:val="false"/>
          <w:i w:val="false"/>
          <w:color w:val="000000"/>
          <w:sz w:val="22"/>
        </w:rPr>
        <w:t xml:space="preserve">All MCP enrollee appeals and grievances shall be logged and reported to the department. The log shall include the status and resolution of all appeals and grievances.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441—73.17</w:t>
      </w:r>
      <w:r>
        <w:rPr>
          <w:rFonts w:ascii="Times New Roman" w:hAnsi="Times New Roman"/>
          <w:b/>
          <w:i w:val="false"/>
          <w:color w:val="000000"/>
          <w:sz w:val="22"/>
        </w:rPr>
        <w:t xml:space="preserve">(249A) </w:t>
      </w:r>
      <w:r>
        <w:rPr>
          <w:rFonts w:ascii="Times New Roman" w:hAnsi="Times New Roman"/>
          <w:b/>
          <w:i w:val="false"/>
          <w:color w:val="000000"/>
          <w:sz w:val="22"/>
        </w:rPr>
        <w:t xml:space="preserve">Information concerning procedures relating to the review of MCP decisions and actions. </w:t>
      </w:r>
      <w:r>
        <w:rPr>
          <w:rFonts w:ascii="Times New Roman" w:hAnsi="Times New Roman"/>
          <w:b w:val="false"/>
          <w:i w:val="false"/>
          <w:color w:val="000000"/>
          <w:sz w:val="22"/>
        </w:rPr>
        <w:t xml:space="preserve">The MCP’s written procedures for the review of MCP’s decisions and actions shall be provided to each new enrollee, to participating providers in a provider manual, and to nonparticipating providers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73.18(1)</w:t>
      </w:r>
      <w:r>
        <w:rPr>
          <w:rFonts w:ascii="Times New Roman" w:hAnsi="Times New Roman"/>
          <w:b w:val="false"/>
          <w:i w:val="false"/>
          <w:color w:val="000000"/>
          <w:sz w:val="22"/>
        </w:rPr>
        <w:t> </w:t>
      </w:r>
      <w:r>
        <w:rPr>
          <w:rFonts w:ascii="Times New Roman" w:hAnsi="Times New Roman"/>
          <w:b w:val="false"/>
          <w:i/>
          <w:color w:val="000000"/>
          <w:sz w:val="22"/>
        </w:rPr>
        <w:t xml:space="preserve">Records system. </w:t>
      </w:r>
      <w:r>
        <w:rPr>
          <w:rFonts w:ascii="Times New Roman" w:hAnsi="Times New Roman"/>
          <w:b w:val="false"/>
          <w:i w:val="false"/>
          <w:color w:val="000000"/>
          <w:sz w:val="22"/>
        </w:rPr>
        <w:t xml:space="preserve">The MCPs shall document and maintain clinical and fiscal records in accordance with federal and state requirements, including </w:t>
      </w:r>
      <w:hyperlink r:id="rId60">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and 42 CFR 456 as amended to July 19, 2022, throughout the course of the contract. The records system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 transactions with or on behalf of each enrollee by the state identification number assigned to the enrollee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rationale for, and documentation of, decisions made by the MCP based upon medical necessity.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effective professional review for medical audit processes.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Facilitate an adequate system for monitoring treatment reimbursed by the managed care organization including follow up of the implementation of discharge plans and referral to other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73.18(2)</w:t>
      </w:r>
      <w:r>
        <w:rPr>
          <w:rFonts w:ascii="Times New Roman" w:hAnsi="Times New Roman"/>
          <w:b w:val="false"/>
          <w:i w:val="false"/>
          <w:color w:val="000000"/>
          <w:sz w:val="22"/>
        </w:rPr>
        <w:t> </w:t>
      </w:r>
      <w:r>
        <w:rPr>
          <w:rFonts w:ascii="Times New Roman" w:hAnsi="Times New Roman"/>
          <w:b w:val="false"/>
          <w:i/>
          <w:color w:val="000000"/>
          <w:sz w:val="22"/>
        </w:rPr>
        <w:t xml:space="preserve">Content of individual treatment record. </w:t>
      </w:r>
      <w:r>
        <w:rPr>
          <w:rFonts w:ascii="Times New Roman" w:hAnsi="Times New Roman"/>
          <w:b w:val="false"/>
          <w:i w:val="false"/>
          <w:color w:val="000000"/>
          <w:sz w:val="22"/>
        </w:rPr>
        <w:t xml:space="preserve">The MCP shall ensure that participating providers maintain an adequate record-keeping system that includes a complete medical, dental, or service record for each enrolled member including documentation of all services provided to each enrollee in compliance with the contract and provisions of </w:t>
      </w:r>
      <w:hyperlink r:id="rId61">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and pursuant to federal funding requirements, including 42 CFR 456 as amended to July 19, 2022. Beginning January 1, 2021, the managed care organization shall require use of an electronic visit verification system for personal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health care, mental health care, and substance abuse information. </w:t>
      </w:r>
      <w:r>
        <w:rPr>
          <w:rFonts w:ascii="Times New Roman" w:hAnsi="Times New Roman"/>
          <w:b w:val="false"/>
          <w:i w:val="false"/>
          <w:color w:val="000000"/>
          <w:sz w:val="22"/>
        </w:rPr>
        <w:t xml:space="preserve">The MCP shall protect and maintain the confidentiality of health care, mental health care, dental care and substance abuse information by implementing policies for staff and through contract terms with participating providers. The policies must comply with applicable state and federal laws.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441—73.19</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r>
        <w:rPr>
          <w:rFonts w:ascii="Times New Roman" w:hAnsi="Times New Roman"/>
          <w:b w:val="false"/>
          <w:i w:val="false"/>
          <w:color w:val="000000"/>
          <w:sz w:val="22"/>
        </w:rPr>
        <w:t xml:space="preserve">The department or its designee and the U.S. Department of Health and Human Services (HHS) may evaluate through inspections or other means the quality, appropriateness, and timeliness of services performed by the MCP. The department or HHS may audit and inspect any records of an MCP, or the subcontractor of the MCP, that pertain to services performed and the determination of amounts paid under the contract. These records will be made available at times, at places, and in a manner as authorized representatives of the department, its designee or HHS may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441—73.20</w:t>
      </w:r>
      <w:r>
        <w:rPr>
          <w:rFonts w:ascii="Times New Roman" w:hAnsi="Times New Roman"/>
          <w:b/>
          <w:i w:val="false"/>
          <w:color w:val="000000"/>
          <w:sz w:val="22"/>
        </w:rPr>
        <w:t xml:space="preserve">(249A) </w:t>
      </w:r>
      <w:r>
        <w:rPr>
          <w:rFonts w:ascii="Times New Roman" w:hAnsi="Times New Roman"/>
          <w:b/>
          <w:i w:val="false"/>
          <w:color w:val="000000"/>
          <w:sz w:val="22"/>
        </w:rPr>
        <w:t xml:space="preserve">Marketing. </w:t>
      </w:r>
      <w:r>
        <w:rPr>
          <w:rFonts w:ascii="Times New Roman" w:hAnsi="Times New Roman"/>
          <w:b w:val="false"/>
          <w:i w:val="false"/>
          <w:color w:val="000000"/>
          <w:sz w:val="22"/>
        </w:rPr>
        <w:t xml:space="preserve">MCP marketing activities and materials shall comply with applicable laws and regulations regarding marketing by the MCP and contract terms. The department shall approve all marketing materials, which must comply with federal funding requirements, including 42 CFR 438.10 and 42 CFR 438.104 as amended to July 19, 2022.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441—73.21</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Enrollee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73.21(1)</w:t>
      </w:r>
      <w:r>
        <w:rPr>
          <w:rFonts w:ascii="Times New Roman" w:hAnsi="Times New Roman"/>
          <w:b w:val="false"/>
          <w:i w:val="false"/>
          <w:color w:val="000000"/>
          <w:sz w:val="22"/>
        </w:rPr>
        <w:t> </w:t>
      </w:r>
      <w:r>
        <w:rPr>
          <w:rFonts w:ascii="Times New Roman" w:hAnsi="Times New Roman"/>
          <w:b w:val="false"/>
          <w:i/>
          <w:color w:val="000000"/>
          <w:sz w:val="22"/>
        </w:rPr>
        <w:t xml:space="preserve">Use of services. </w:t>
      </w:r>
      <w:r>
        <w:rPr>
          <w:rFonts w:ascii="Times New Roman" w:hAnsi="Times New Roman"/>
          <w:b w:val="false"/>
          <w:i w:val="false"/>
          <w:color w:val="000000"/>
          <w:sz w:val="22"/>
        </w:rPr>
        <w:t xml:space="preserve">The MCP shall provide written information to all enrollees on the use of services the MCP is responsible to arrange, monitor, and reimburse. Information must include the array of services covered; how to access covered services; the providers participating; an explanation of the process for the review of MCP decisions and actions, including the enrollee’s right to a fair hearing under </w:t>
      </w:r>
      <w:hyperlink r:id="rId6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how to access that fair hearing process; provision of after-hours and emergency care; procedures for notifying enrollees of a change in benefits or office sites; how to request a change in providers; a statement of consumer rights and responsibilities; out-of-area use of service information; availability of toll-free telephone information and crisis assistance; and the appropriate use of the referral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73.21(2)</w:t>
      </w:r>
      <w:r>
        <w:rPr>
          <w:rFonts w:ascii="Times New Roman" w:hAnsi="Times New Roman"/>
          <w:b w:val="false"/>
          <w:i w:val="false"/>
          <w:color w:val="000000"/>
          <w:sz w:val="22"/>
        </w:rPr>
        <w:t> </w:t>
      </w:r>
      <w:r>
        <w:rPr>
          <w:rFonts w:ascii="Times New Roman" w:hAnsi="Times New Roman"/>
          <w:b w:val="false"/>
          <w:i/>
          <w:color w:val="000000"/>
          <w:sz w:val="22"/>
        </w:rPr>
        <w:t xml:space="preserve">Outreach to members with special needs. </w:t>
      </w:r>
      <w:r>
        <w:rPr>
          <w:rFonts w:ascii="Times New Roman" w:hAnsi="Times New Roman"/>
          <w:b w:val="false"/>
          <w:i w:val="false"/>
          <w:color w:val="000000"/>
          <w:sz w:val="22"/>
        </w:rPr>
        <w:t xml:space="preserve">The MCP shall provide enhanced outreach to members with special needs including, but not limited to, persons with a psychiatric disability, an intellectual disability or other cognitive impairments; illiterate persons; non-English-speaking persons; and persons with visual impairments or who are deaf or hard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73.21(3)</w:t>
      </w:r>
      <w:r>
        <w:rPr>
          <w:rFonts w:ascii="Times New Roman" w:hAnsi="Times New Roman"/>
          <w:b w:val="false"/>
          <w:i w:val="false"/>
          <w:color w:val="000000"/>
          <w:sz w:val="22"/>
        </w:rPr>
        <w:t> </w:t>
      </w:r>
      <w:r>
        <w:rPr>
          <w:rFonts w:ascii="Times New Roman" w:hAnsi="Times New Roman"/>
          <w:b w:val="false"/>
          <w:i/>
          <w:color w:val="000000"/>
          <w:sz w:val="22"/>
        </w:rPr>
        <w:t xml:space="preserve">Patient rights and responsibilities. </w:t>
      </w:r>
      <w:r>
        <w:rPr>
          <w:rFonts w:ascii="Times New Roman" w:hAnsi="Times New Roman"/>
          <w:b w:val="false"/>
          <w:i w:val="false"/>
          <w:color w:val="000000"/>
          <w:sz w:val="22"/>
        </w:rPr>
        <w:t xml:space="preserve">The MCP shall have in effect a written statement of patient rights and responsibilities that is available upon request as well as issued to all new enrollees. This statement shall be part of the packet of enrollment information provided to all new enrollees.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441—73.22</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to the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73.22(1)</w:t>
      </w: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 xml:space="preserve">In consideration for all services rendered by an MCP under a contract with the department, the MCP will receive a payment each month for each enrolled member. The monthly reimbursement may be reduced by amounts withheld for pay-for-performance components of the contract. The withheld amounts will be distributed based on the terms described in the managed care contract. Additionally, the department will make an allowance for obligations resulting from Section 9010 of the Patient Protection and Affordable Care Act, the health insurance providers fee. This capitation rate, inclusive of the amounts withheld and the health insurance providers fee, represents the total obligation of the department with respect to the costs of medical care and services provided to enrolled members under the contract except as otherwise designated in the contract rate. Pay-for-performance terms will allow for incentive reimbursement if the MCP meets metrics described in the MCP contract.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rate. </w:t>
      </w:r>
      <w:r>
        <w:rPr>
          <w:rFonts w:ascii="Times New Roman" w:hAnsi="Times New Roman"/>
          <w:b w:val="false"/>
          <w:i w:val="false"/>
          <w:color w:val="000000"/>
          <w:sz w:val="22"/>
        </w:rPr>
        <w:t xml:space="preserve">The actuarially sound capitation rate will be determined according to the terms of federal funding requirements, including 42 CFR 438.6 as amended to July 19, 2022, Actuarial Standards of Practice 49, and other related CMS regulations and generally accepted actuarial principles and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73.22(3)</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r>
        <w:rPr>
          <w:rFonts w:ascii="Times New Roman" w:hAnsi="Times New Roman"/>
          <w:b w:val="false"/>
          <w:i w:val="false"/>
          <w:color w:val="000000"/>
          <w:sz w:val="22"/>
        </w:rPr>
        <w:t xml:space="preserve">If an enrolled member has health insurance coverage or a responsible party other than the Medicaid program available for payment of medical or dental expenses, it is the right and responsibility of MCP to investigate these third-party resources and attempt to obtain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have a time limit to attempt to collect from third-party resources. The time limit shall be determined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retain all funds collected from third-party resources during the time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record of all third-party collections must be maintained and made available to the department 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MCP no longer contracts with the department, the department has the right to seek recovery of any third-party collections not collected by the time the contract ends and retain the funds. This includes but is not limited to subrogation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the right to retain all funds collected from third-party resources after the MCP time limit.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73.22(4)</w:t>
      </w:r>
      <w:r>
        <w:rPr>
          <w:rFonts w:ascii="Times New Roman" w:hAnsi="Times New Roman"/>
          <w:b w:val="false"/>
          <w:i w:val="false"/>
          <w:color w:val="000000"/>
          <w:sz w:val="22"/>
        </w:rPr>
        <w:t> </w:t>
      </w:r>
      <w:r>
        <w:rPr>
          <w:rFonts w:ascii="Times New Roman" w:hAnsi="Times New Roman"/>
          <w:b w:val="false"/>
          <w:i/>
          <w:color w:val="000000"/>
          <w:sz w:val="22"/>
        </w:rPr>
        <w:t xml:space="preserve">Medical loss ratio. </w:t>
      </w:r>
      <w:r>
        <w:rPr>
          <w:rFonts w:ascii="Times New Roman" w:hAnsi="Times New Roman"/>
          <w:b w:val="false"/>
          <w:i w:val="false"/>
          <w:color w:val="000000"/>
          <w:sz w:val="22"/>
        </w:rPr>
        <w:t xml:space="preserve">The MCP shall report the experienced medical loss ratio for each contract rate period. In the event that the medical loss ratio falls below the department-designated target, the department shall recoup excess capitation paid to the MCP.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441—73.23</w:t>
      </w:r>
      <w:r>
        <w:rPr>
          <w:rFonts w:ascii="Times New Roman" w:hAnsi="Times New Roman"/>
          <w:b/>
          <w:i w:val="false"/>
          <w:color w:val="000000"/>
          <w:sz w:val="22"/>
        </w:rPr>
        <w:t xml:space="preserve">(249A) </w:t>
      </w:r>
      <w:r>
        <w:rPr>
          <w:rFonts w:ascii="Times New Roman" w:hAnsi="Times New Roman"/>
          <w:b/>
          <w:i w:val="false"/>
          <w:color w:val="000000"/>
          <w:sz w:val="22"/>
        </w:rPr>
        <w:t xml:space="preserve">Claims payment by the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managed care organizations shall pay or deny: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 percent of all clean claims within 30 calendar days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Ninety-nine point five percent of all clean claims within 90 calendar days of receipt,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Ninety-five percent of all claims within 45 calendar days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PAHP shall pay or deny: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 percent of all clean claims within 14 calendar days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Ninety-nine percent of all clean claims within 90 calendar days of receipt,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Ninety-five percent of all claims within 21 calendar days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73.23(3)</w:t>
      </w:r>
      <w:r>
        <w:rPr>
          <w:rFonts w:ascii="Times New Roman" w:hAnsi="Times New Roman"/>
          <w:b w:val="false"/>
          <w:i w:val="false"/>
          <w:color w:val="000000"/>
          <w:sz w:val="22"/>
        </w:rPr>
        <w:t> </w:t>
      </w:r>
      <w:r>
        <w:rPr>
          <w:rFonts w:ascii="Times New Roman" w:hAnsi="Times New Roman"/>
          <w:b w:val="false"/>
          <w:i w:val="false"/>
          <w:color w:val="000000"/>
          <w:sz w:val="22"/>
        </w:rPr>
        <w:t xml:space="preserve">Managed care limits on payment responsibility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is not required to reimburse providers for the provision of services that do not meet the criteria of medical necessity.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has the right to require prior authorization of covered services and to deny reimbursement to providers that do not comply with such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responsibilities for emergency room services are as provided in rule </w:t>
      </w:r>
      <w:hyperlink r:id="rId63">
        <w:r>
          <w:rPr>
            <w:rStyle w:val="Hyperlink"/>
            <w:rFonts w:ascii="Times New Roman" w:hAnsi="Times New Roman"/>
            <w:b w:val="false"/>
            <w:i w:val="false"/>
            <w:color w:val="000000"/>
            <w:sz w:val="22"/>
          </w:rPr>
          <w:t>441—73.7</w:t>
        </w:r>
      </w:hyperlink>
      <w:r>
        <w:rPr>
          <w:rFonts w:ascii="Times New Roman" w:hAnsi="Times New Roman"/>
          <w:b w:val="false"/>
          <w:i w:val="false"/>
          <w:color w:val="000000"/>
          <w:sz w:val="22"/>
        </w:rPr>
        <w:t xml:space="preserve">(249A).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to nonparticipating providers. In reimbursing nonparticipating providers, the managed care organization is obligated to pay 80 percent of the payment to participating providers.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441—73.24</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Quality assurance. </w:t>
      </w:r>
      <w:r>
        <w:rPr>
          <w:rFonts w:ascii="Times New Roman" w:hAnsi="Times New Roman"/>
          <w:b w:val="false"/>
          <w:i w:val="false"/>
          <w:color w:val="000000"/>
          <w:sz w:val="22"/>
        </w:rPr>
        <w:t xml:space="preserve">The MCP shall have in effect an internal quality assurance and performance improvement system that meets the requirements of any or all applicable state and federal laws.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441—73.25</w:t>
      </w:r>
      <w:r>
        <w:rPr>
          <w:rFonts w:ascii="Times New Roman" w:hAnsi="Times New Roman"/>
          <w:b/>
          <w:i w:val="false"/>
          <w:color w:val="000000"/>
          <w:sz w:val="22"/>
        </w:rPr>
        <w:t xml:space="preserve">(249A) </w:t>
      </w:r>
      <w:r>
        <w:rPr>
          <w:rFonts w:ascii="Times New Roman" w:hAnsi="Times New Roman"/>
          <w:b/>
          <w:i w:val="false"/>
          <w:color w:val="000000"/>
          <w:sz w:val="22"/>
        </w:rPr>
        <w:t xml:space="preserve">Certifications and program integrity. </w:t>
      </w:r>
      <w:r>
        <w:rPr>
          <w:rFonts w:ascii="Times New Roman" w:hAnsi="Times New Roman"/>
          <w:b w:val="false"/>
          <w:i w:val="false"/>
          <w:color w:val="000000"/>
          <w:sz w:val="22"/>
        </w:rPr>
        <w:t xml:space="preserve">The MCP shall develop and implement policies, procedures and a mandatory compliance plan to ensure compliance with the contract requirements for certification, program integrity and prohibited affiliations. The MCP shall cooperate and collaborate with the department on all program integrity activities. The MCP shall comply with state and federal laws pertaining to these requirements, including 42 CFR 438.608 and 42 CFR 455 as amended to July 19, 2022.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6959C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Emergency After Notice ARC 2358C</w:t>
      </w:r>
      <w:r>
        <w:rPr>
          <w:rFonts w:ascii="Times New Roman" w:hAnsi="Times New Roman"/>
          <w:b w:val="false"/>
          <w:i w:val="false"/>
          <w:color w:val="000000"/>
          <w:sz w:val="21"/>
        </w:rPr>
        <w:t xml:space="preserve"> (Notice ARC 2241C,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Emergency After Notice ARC 3667C</w:t>
      </w:r>
      <w:r>
        <w:rPr>
          <w:rFonts w:ascii="Times New Roman" w:hAnsi="Times New Roman"/>
          <w:b w:val="false"/>
          <w:i w:val="false"/>
          <w:color w:val="000000"/>
          <w:sz w:val="21"/>
        </w:rPr>
        <w:t xml:space="preserve"> (Notice ARC 3514C, IAB 12/20/17)</w:t>
      </w:r>
      <w:r>
        <w:rPr>
          <w:rFonts w:ascii="Times New Roman" w:hAnsi="Times New Roman"/>
          <w:b w:val="false"/>
          <w:i w:val="false"/>
          <w:color w:val="000000"/>
          <w:sz w:val="21"/>
        </w:rPr>
        <w:t>, IAB 3/14/18, effective 2/14/18]</w:t>
      </w:r>
    </w:p>
    <w:p>
      <w:pPr>
        <w:spacing w:before="0" w:after="0"/>
        <w:ind w:left="120"/>
        <w:jc w:val="center"/>
      </w:pPr>
      <w:r>
        <w:rPr>
          <w:rFonts w:ascii="Times New Roman" w:hAnsi="Times New Roman"/>
          <w:b w:val="false"/>
          <w:i w:val="false"/>
          <w:color w:val="000000"/>
          <w:sz w:val="21"/>
        </w:rPr>
        <w:t>[Filed ARC 4392C</w:t>
      </w:r>
      <w:r>
        <w:rPr>
          <w:rFonts w:ascii="Times New Roman" w:hAnsi="Times New Roman"/>
          <w:b w:val="false"/>
          <w:i w:val="false"/>
          <w:color w:val="000000"/>
          <w:sz w:val="21"/>
        </w:rPr>
        <w:t xml:space="preserve"> (Notice ARC 4258C, IAB 1/30/19)</w:t>
      </w:r>
      <w:r>
        <w:rPr>
          <w:rFonts w:ascii="Times New Roman" w:hAnsi="Times New Roman"/>
          <w:b w:val="false"/>
          <w:i w:val="false"/>
          <w:color w:val="000000"/>
          <w:sz w:val="21"/>
        </w:rPr>
        <w:t>, IAB 4/10/19, effective 6/1/19]</w:t>
      </w:r>
    </w:p>
    <w:p>
      <w:pPr>
        <w:spacing w:before="0" w:after="0"/>
        <w:ind w:left="120"/>
        <w:jc w:val="center"/>
      </w:pPr>
      <w:r>
        <w:rPr>
          <w:rFonts w:ascii="Times New Roman" w:hAnsi="Times New Roman"/>
          <w:b w:val="false"/>
          <w:i w:val="false"/>
          <w:color w:val="000000"/>
          <w:sz w:val="21"/>
        </w:rPr>
        <w:t>[Filed ARC 4429C</w:t>
      </w:r>
      <w:r>
        <w:rPr>
          <w:rFonts w:ascii="Times New Roman" w:hAnsi="Times New Roman"/>
          <w:b w:val="false"/>
          <w:i w:val="false"/>
          <w:color w:val="000000"/>
          <w:sz w:val="21"/>
        </w:rPr>
        <w:t xml:space="preserve"> (Notice ARC 4289C,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4847C</w:t>
      </w:r>
      <w:r>
        <w:rPr>
          <w:rFonts w:ascii="Times New Roman" w:hAnsi="Times New Roman"/>
          <w:b w:val="false"/>
          <w:i w:val="false"/>
          <w:color w:val="000000"/>
          <w:sz w:val="21"/>
        </w:rPr>
        <w:t xml:space="preserve"> (Notice ARC 4673C, IAB 9/25/19)</w:t>
      </w:r>
      <w:r>
        <w:rPr>
          <w:rFonts w:ascii="Times New Roman" w:hAnsi="Times New Roman"/>
          <w:b w:val="false"/>
          <w:i w:val="false"/>
          <w:color w:val="000000"/>
          <w:sz w:val="21"/>
        </w:rPr>
        <w:t>, IAB 1/1/20, effective 6/29/20]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6959C</w:t>
      </w:r>
      <w:r>
        <w:rPr>
          <w:rFonts w:ascii="Times New Roman" w:hAnsi="Times New Roman"/>
          <w:b w:val="false"/>
          <w:i w:val="false"/>
          <w:color w:val="000000"/>
          <w:sz w:val="21"/>
        </w:rPr>
        <w:t xml:space="preserve"> (Notice ARC 6808C, IAB 1/11/23)</w:t>
      </w:r>
      <w:r>
        <w:rPr>
          <w:rFonts w:ascii="Times New Roman" w:hAnsi="Times New Roman"/>
          <w:b w:val="false"/>
          <w:i w:val="false"/>
          <w:color w:val="000000"/>
          <w:sz w:val="21"/>
        </w:rPr>
        <w:t>, IAB 4/5/23, effective 6/1/23]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4-91.pdf" Type="http://schemas.openxmlformats.org/officeDocument/2006/relationships/hyperlink" Id="rId5"/>
    <Relationship TargetMode="External" Target="https://www.legis.iowa.gov/docs/iac/rule/441.73.5.pdf" Type="http://schemas.openxmlformats.org/officeDocument/2006/relationships/hyperlink" Id="rId6"/>
    <Relationship TargetMode="External" Target="https://www.legis.iowa.gov/docs/iac/rule/441.73.3.pdf" Type="http://schemas.openxmlformats.org/officeDocument/2006/relationships/hyperlink" Id="rId7"/>
    <Relationship TargetMode="External" Target="https://www.legis.iowa.gov/docs/iac/chapter/441.86.pdf" Type="http://schemas.openxmlformats.org/officeDocument/2006/relationships/hyperlink" Id="rId8"/>
    <Relationship TargetMode="External" Target="https://www.legis.iowa.gov/docs/iac/chapter/441.74.pdf" Type="http://schemas.openxmlformats.org/officeDocument/2006/relationships/hyperlink" Id="rId9"/>
    <Relationship TargetMode="External" Target="https://www.legis.iowa.gov/docs/ico/chapter/514B.1.pdf" Type="http://schemas.openxmlformats.org/officeDocument/2006/relationships/hyperlink" Id="rId10"/>
    <Relationship TargetMode="External" Target="https://www.legis.iowa.gov/docs/iac/rule/441.73.3.pdf" Type="http://schemas.openxmlformats.org/officeDocument/2006/relationships/hyperlink" Id="rId11"/>
    <Relationship TargetMode="External" Target="https://www.legis.iowa.gov/docs/iac/chapter/191.40.pdf" Type="http://schemas.openxmlformats.org/officeDocument/2006/relationships/hyperlink" Id="rId12"/>
    <Relationship TargetMode="External" Target="https://www.legis.iowa.gov/docs/iac/rule/441.73.6.pdf" Type="http://schemas.openxmlformats.org/officeDocument/2006/relationships/hyperlink" Id="rId13"/>
    <Relationship TargetMode="External" Target="https://www.legis.iowa.gov/docs/iac/rule/191.40.12.pdf" Type="http://schemas.openxmlformats.org/officeDocument/2006/relationships/hyperlink" Id="rId14"/>
    <Relationship TargetMode="External" Target="https://www.legis.iowa.gov/docs/iac/rule/191.40.14.pdf" Type="http://schemas.openxmlformats.org/officeDocument/2006/relationships/hyperlink" Id="rId15"/>
    <Relationship TargetMode="External" Target="https://www.legis.iowa.gov/docs/iac/chapter/191.40.pdf" Type="http://schemas.openxmlformats.org/officeDocument/2006/relationships/hyperlink" Id="rId16"/>
    <Relationship TargetMode="External" Target="https://www.legis.iowa.gov/docs/iac/chapter/441.75.pdf" Type="http://schemas.openxmlformats.org/officeDocument/2006/relationships/hyperlink" Id="rId17"/>
    <Relationship TargetMode="External" Target="https://www.legis.iowa.gov/docs/iac/chapter/441.75.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chapter/441.88.pdf" Type="http://schemas.openxmlformats.org/officeDocument/2006/relationships/hyperlink" Id="rId20"/>
    <Relationship TargetMode="External" Target="https://www.legis.iowa.gov/docs/iac/chapter/441.75.pdf" Type="http://schemas.openxmlformats.org/officeDocument/2006/relationships/hyperlink" Id="rId21"/>
    <Relationship TargetMode="External" Target="https://www.legis.iowa.gov/docs/iac/chapter/441.75.pdf" Type="http://schemas.openxmlformats.org/officeDocument/2006/relationships/hyperlink" Id="rId22"/>
    <Relationship TargetMode="External" Target="https://www.legis.iowa.gov/docs/iac/chapter/441.76.pdf" Type="http://schemas.openxmlformats.org/officeDocument/2006/relationships/hyperlink" Id="rId23"/>
    <Relationship TargetMode="External" Target="https://www.legis.iowa.gov/docs/iac/chapter/441.76.pdf" Type="http://schemas.openxmlformats.org/officeDocument/2006/relationships/hyperlink" Id="rId24"/>
    <Relationship TargetMode="External" Target="https://www.legis.iowa.gov/docs/iac/chapter/441.75.pdf" Type="http://schemas.openxmlformats.org/officeDocument/2006/relationships/hyperlink" Id="rId25"/>
    <Relationship TargetMode="External" Target="https://www.legis.iowa.gov/docs/iac/rule/801.10.1.pdf" Type="http://schemas.openxmlformats.org/officeDocument/2006/relationships/hyperlink" Id="rId26"/>
    <Relationship TargetMode="External" Target="https://www.legis.iowa.gov/docs/iac/chapter/441.75.pdf" Type="http://schemas.openxmlformats.org/officeDocument/2006/relationships/hyperlink" Id="rId27"/>
    <Relationship TargetMode="External" Target="https://www.legis.iowa.gov/docs/iac/rule/441.73.3.pdf" Type="http://schemas.openxmlformats.org/officeDocument/2006/relationships/hyperlink" Id="rId28"/>
    <Relationship TargetMode="External" Target="https://www.legis.iowa.gov/docs/iac/chapter/441.74-91.pdf" Type="http://schemas.openxmlformats.org/officeDocument/2006/relationships/hyperlink" Id="rId29"/>
    <Relationship TargetMode="External" Target="https://www.legis.iowa.gov/docs/iac/rule/441.73.1.pdf" Type="http://schemas.openxmlformats.org/officeDocument/2006/relationships/hyperlink" Id="rId30"/>
    <Relationship TargetMode="External" Target="https://www.legis.iowa.gov/docs/iac/chapter/441.75.pdf" Type="http://schemas.openxmlformats.org/officeDocument/2006/relationships/hyperlink" Id="rId31"/>
    <Relationship TargetMode="External" Target="https://www.legis.iowa.gov/docs/iac/rule/441.73.4.pdf" Type="http://schemas.openxmlformats.org/officeDocument/2006/relationships/hyperlink" Id="rId32"/>
    <Relationship TargetMode="External" Target="https://www.legis.iowa.gov/docs/iac/rule/441.73.4.pdf" Type="http://schemas.openxmlformats.org/officeDocument/2006/relationships/hyperlink" Id="rId33"/>
    <Relationship TargetMode="External" Target="https://www.legis.iowa.gov/docs/iac/rule/441.73.4.pdf" Type="http://schemas.openxmlformats.org/officeDocument/2006/relationships/hyperlink" Id="rId34"/>
    <Relationship TargetMode="External" Target="https://www.legis.iowa.gov/docs/iac/chapter/441.78.pdf" Type="http://schemas.openxmlformats.org/officeDocument/2006/relationships/hyperlink" Id="rId35"/>
    <Relationship TargetMode="External" Target="https://www.legis.iowa.gov/docs/iac/chapter/441.81.pdf" Type="http://schemas.openxmlformats.org/officeDocument/2006/relationships/hyperlink" Id="rId36"/>
    <Relationship TargetMode="External" Target="https://www.legis.iowa.gov/docs/iac/chapter/441.82.pdf" Type="http://schemas.openxmlformats.org/officeDocument/2006/relationships/hyperlink" Id="rId37"/>
    <Relationship TargetMode="External" Target="https://www.legis.iowa.gov/docs/iac/chapter/441.83.pdf" Type="http://schemas.openxmlformats.org/officeDocument/2006/relationships/hyperlink" Id="rId38"/>
    <Relationship TargetMode="External" Target="https://www.legis.iowa.gov/docs/iac/chapter/441.84.pdf" Type="http://schemas.openxmlformats.org/officeDocument/2006/relationships/hyperlink" Id="rId39"/>
    <Relationship TargetMode="External" Target="https://www.legis.iowa.gov/docs/iac/chapter/441.85.pdf" Type="http://schemas.openxmlformats.org/officeDocument/2006/relationships/hyperlink" Id="rId40"/>
    <Relationship TargetMode="External" Target="https://www.legis.iowa.gov/docs/iac/chapter/441.87.pdf" Type="http://schemas.openxmlformats.org/officeDocument/2006/relationships/hyperlink" Id="rId41"/>
    <Relationship TargetMode="External" Target="https://www.legis.iowa.gov/docs/iac/chapter/441.74.pdf" Type="http://schemas.openxmlformats.org/officeDocument/2006/relationships/hyperlink" Id="rId42"/>
    <Relationship TargetMode="External" Target="https://www.legis.iowa.gov/docs/iac/chapter/441.86.pdf" Type="http://schemas.openxmlformats.org/officeDocument/2006/relationships/hyperlink" Id="rId43"/>
    <Relationship TargetMode="External" Target="https://www.legis.iowa.gov/docs/iac/chapter/441.90.pdf" Type="http://schemas.openxmlformats.org/officeDocument/2006/relationships/hyperlink" Id="rId44"/>
    <Relationship TargetMode="External" Target="https://www.legis.iowa.gov/docs/iac/chapter/441.78.pdf" Type="http://schemas.openxmlformats.org/officeDocument/2006/relationships/hyperlink" Id="rId45"/>
    <Relationship TargetMode="External" Target="https://www.legis.iowa.gov/docs/iac/chapter/441.73.pdf" Type="http://schemas.openxmlformats.org/officeDocument/2006/relationships/hyperlink" Id="rId46"/>
    <Relationship TargetMode="External" Target="https://www.legis.iowa.gov/docs/iac/chapter/441.74.pdf" Type="http://schemas.openxmlformats.org/officeDocument/2006/relationships/hyperlink" Id="rId47"/>
    <Relationship TargetMode="External" Target="https://www.legis.iowa.gov/docs/iac/chapter/441.78.pdf" Type="http://schemas.openxmlformats.org/officeDocument/2006/relationships/hyperlink" Id="rId48"/>
    <Relationship TargetMode="External" Target="https://www.legis.iowa.gov/docs/iac/chapter/441.88.pdf" Type="http://schemas.openxmlformats.org/officeDocument/2006/relationships/hyperlink" Id="rId49"/>
    <Relationship TargetMode="External" Target="https://www.legis.iowa.gov/docs/iac/chapter/441.74.pdf" Type="http://schemas.openxmlformats.org/officeDocument/2006/relationships/hyperlink" Id="rId50"/>
    <Relationship TargetMode="External" Target="https://www.legis.iowa.gov/docs/iac/chapter/441.86.pdf" Type="http://schemas.openxmlformats.org/officeDocument/2006/relationships/hyperlink" Id="rId51"/>
    <Relationship TargetMode="External" Target="https://www.legis.iowa.gov/docs/iac/rule/441.73.7.pdf" Type="http://schemas.openxmlformats.org/officeDocument/2006/relationships/hyperlink" Id="rId52"/>
    <Relationship TargetMode="External" Target="https://www.legis.iowa.gov/docs/iac/chapter/441.75.pdf" Type="http://schemas.openxmlformats.org/officeDocument/2006/relationships/hyperlink" Id="rId53"/>
    <Relationship TargetMode="External" Target="https://www.legis.iowa.gov/docs/iac/chapter/441.78.pdf" Type="http://schemas.openxmlformats.org/officeDocument/2006/relationships/hyperlink" Id="rId54"/>
    <Relationship TargetMode="External" Target="https://www.legis.iowa.gov/docs/iac/chapter/441.81.pdf" Type="http://schemas.openxmlformats.org/officeDocument/2006/relationships/hyperlink" Id="rId55"/>
    <Relationship TargetMode="External" Target="https://www.legis.iowa.gov/docs/iac/chapter/441.82.pdf" Type="http://schemas.openxmlformats.org/officeDocument/2006/relationships/hyperlink" Id="rId56"/>
    <Relationship TargetMode="External" Target="https://www.legis.iowa.gov/docs/iac/chapter/441.83.pdf" Type="http://schemas.openxmlformats.org/officeDocument/2006/relationships/hyperlink" Id="rId57"/>
    <Relationship TargetMode="External" Target="https://www.legis.iowa.gov/docs/iac/chapter/441.85.pdf" Type="http://schemas.openxmlformats.org/officeDocument/2006/relationships/hyperlink" Id="rId58"/>
    <Relationship TargetMode="External" Target="https://www.legis.iowa.gov/docs/iac/chapter/441.7.pdf" Type="http://schemas.openxmlformats.org/officeDocument/2006/relationships/hyperlink" Id="rId59"/>
    <Relationship TargetMode="External" Target="https://www.legis.iowa.gov/docs/iac/chapter/441.79.pdf" Type="http://schemas.openxmlformats.org/officeDocument/2006/relationships/hyperlink" Id="rId60"/>
    <Relationship TargetMode="External" Target="https://www.legis.iowa.gov/docs/iac/chapter/441.79.pdf" Type="http://schemas.openxmlformats.org/officeDocument/2006/relationships/hyperlink" Id="rId61"/>
    <Relationship TargetMode="External" Target="https://www.legis.iowa.gov/docs/iac/chapter/441.7.pdf" Type="http://schemas.openxmlformats.org/officeDocument/2006/relationships/hyperlink" Id="rId62"/>
    <Relationship TargetMode="External" Target="https://www.legis.iowa.gov/docs/iac/rule/441.73.7.pdf" Type="http://schemas.openxmlformats.org/officeDocument/2006/relationships/hyperlink" Id="rId63"/>
    <Relationship TargetMode="External" Target="https://www.legis.iowa.gov/docs/ico/chapter/249A.4.pdf" Type="http://schemas.openxmlformats.org/officeDocument/2006/relationships/hyperlink"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