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EMERGENCY FOOD ASSISTANCE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sets forth the rules governing The Emergency Food Assistance Program (TEFAP) in Iowa. The Iowa department of human services has been designated by the governor as the agency responsible for administration of the emergency food assistance program. The department is responsible for receiving, storing, distributing, and accounting for foods donated through the U.S. Department of Agriculture (USDA). The department contracts with food banks that provide services in the state for TEFAP.</w:t>
      </w:r>
    </w:p>
    <w:p>
      <w:pPr>
        <w:spacing w:before="0" w:after="0"/>
        <w:ind w:left="120"/>
        <w:jc w:val="left"/>
      </w:pPr>
      <w:r>
        <w:rPr>
          <w:rFonts w:ascii="Times New Roman" w:hAnsi="Times New Roman"/>
          <w:b w:val="false"/>
          <w:i w:val="false"/>
          <w:color w:val="000000"/>
          <w:sz w:val="22"/>
        </w:rPr>
        <w:t xml:space="preserve">For information about TEFAP and other food distribution programs, contact the Iowa Department of Human Services, Division of Financial, Food, and Work Supports, Food Distribution Program Manager, 1305 East Walnut Street, Des Moines, Iowa 50319-0114; telephone (515)443-2736. Clarifications of federal policy may be obtained by referencing </w:t>
      </w:r>
      <w:r>
        <w:rPr>
          <w:rFonts w:ascii="Times New Roman" w:hAnsi="Times New Roman"/>
          <w:b w:val="false"/>
          <w:i w:val="false"/>
          <w:color w:val="000000"/>
          <w:sz w:val="22"/>
        </w:rPr>
        <w:t>7 CFR Part 251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 CFR Part 250</w:t>
      </w:r>
      <w:r>
        <w:rPr>
          <w:rFonts w:ascii="Times New Roman" w:hAnsi="Times New Roman"/>
          <w:b w:val="false"/>
          <w:i w:val="false"/>
          <w:color w:val="000000"/>
          <w:sz w:val="22"/>
        </w:rPr>
        <w:t>, when applicable.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6559C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“Bonus items” </w:t>
      </w:r>
      <w:r>
        <w:rPr>
          <w:rFonts w:ascii="Times New Roman" w:hAnsi="Times New Roman"/>
          <w:b w:val="false"/>
          <w:i w:val="false"/>
          <w:color w:val="000000"/>
          <w:sz w:val="22"/>
        </w:rPr>
        <w:t>means USDA-donated commodities that are so designated by USDA, are offered by USDA to the states as a one-time offer, and are not charged or credited against a state’s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“Charitable institution” </w:t>
      </w:r>
      <w:r>
        <w:rPr>
          <w:rFonts w:ascii="Times New Roman" w:hAnsi="Times New Roman"/>
          <w:b w:val="false"/>
          <w:i w:val="false"/>
          <w:color w:val="000000"/>
          <w:sz w:val="22"/>
        </w:rPr>
        <w:t>means a facility that is public or private, nonprofit, and tax-exempt under the Internal Revenue Code as documented by a letter of exemption; is not a penal institution (including a correctional institution that conducts rehabilitation programs); and provides food assistance to needy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“Commodities” </w:t>
      </w:r>
      <w:r>
        <w:rPr>
          <w:rFonts w:ascii="Times New Roman" w:hAnsi="Times New Roman"/>
          <w:b w:val="false"/>
          <w:i w:val="false"/>
          <w:color w:val="000000"/>
          <w:sz w:val="22"/>
        </w:rPr>
        <w:t>means foods donated or available for donation by the USDA.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formal, written agreement between the department and an eligible recipient agency regarding receiving, storing, handling, and distributing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an eligible recipient agency that has entered into a contract with the department regarding storing, handling, and distributing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site” </w:t>
      </w:r>
      <w:r>
        <w:rPr>
          <w:rFonts w:ascii="Times New Roman" w:hAnsi="Times New Roman"/>
          <w:b w:val="false"/>
          <w:i w:val="false"/>
          <w:color w:val="000000"/>
          <w:sz w:val="22"/>
        </w:rPr>
        <w:t>means a location where an eligible recipient agency actually distributes commodities to needy persons for home consumption or serves prepared meals to needy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recipient agency” </w:t>
      </w:r>
      <w:r>
        <w:rPr>
          <w:rFonts w:ascii="Times New Roman" w:hAnsi="Times New Roman"/>
          <w:b w:val="false"/>
          <w:i w:val="false"/>
          <w:color w:val="000000"/>
          <w:sz w:val="22"/>
        </w:rPr>
        <w:t>means a charitable institution that has entered into a contract with the department for the receipt of commodities or administrative funds or has entered into an agreement with another eligible recipient agency that has signed such a contract with the department. Eligible recipient agencies may include food banks, food pantries, soup kitchens, hunger relief centers, hospitals, retirement homes, Nutrition Services Incentive Programs that operate congregate meals sites or provide home-delivered meals (to the extent that they serve predominately needy persons), summer camps for children or child nutrition programs providing food service, and disaster relief programs. An eligible recipient agency shall meet federal requirements as described at 7 CFR 251.3(d) and 7 CFR 251.5(a), as amended to May 2,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feeding organization” </w:t>
      </w:r>
      <w:r>
        <w:rPr>
          <w:rFonts w:ascii="Times New Roman" w:hAnsi="Times New Roman"/>
          <w:b w:val="false"/>
          <w:i w:val="false"/>
          <w:color w:val="000000"/>
          <w:sz w:val="22"/>
        </w:rPr>
        <w:t>means an eligible recipient agency that provides nutrition assistance to relieve situations of emergency and distress through the provision of food to needy persons, including low-income and unemployed persons, under an agreement with the department. Emergency feeding organizations can include food banks, food pantries, soup kitchens, emergency shelters, and hunger relief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“FNS” </w:t>
      </w:r>
      <w:r>
        <w:rPr>
          <w:rFonts w:ascii="Times New Roman" w:hAnsi="Times New Roman"/>
          <w:b w:val="false"/>
          <w:i w:val="false"/>
          <w:color w:val="000000"/>
          <w:sz w:val="22"/>
        </w:rPr>
        <w:t>means the Food and Nutrition Service, a division of the USDA that administers food assistance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bank” </w:t>
      </w:r>
      <w:r>
        <w:rPr>
          <w:rFonts w:ascii="Times New Roman" w:hAnsi="Times New Roman"/>
          <w:b w:val="false"/>
          <w:i w:val="false"/>
          <w:color w:val="000000"/>
          <w:sz w:val="22"/>
        </w:rPr>
        <w:t>means a public or charitable institution that maintains an established operation involving the provision of food or edible commodities or the products thereof to food pantries, soup kitchens, hunger relief centers, or other food or feeding centers that, as an integral part of their normal activities, provide meals or food to needy persons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distribution program” </w:t>
      </w:r>
      <w:r>
        <w:rPr>
          <w:rFonts w:ascii="Times New Roman" w:hAnsi="Times New Roman"/>
          <w:b w:val="false"/>
          <w:i w:val="false"/>
          <w:color w:val="000000"/>
          <w:sz w:val="22"/>
        </w:rPr>
        <w:t>means the office in the department’s division of financial, food, and work supports that is responsible for administering the FNS food distribution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pantry” </w:t>
      </w:r>
      <w:r>
        <w:rPr>
          <w:rFonts w:ascii="Times New Roman" w:hAnsi="Times New Roman"/>
          <w:b w:val="false"/>
          <w:i w:val="false"/>
          <w:color w:val="000000"/>
          <w:sz w:val="22"/>
        </w:rPr>
        <w:t>means a public or private nonprofit organization that distributes food to low-income and unemployed households to relieve situations of emergency and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a single individual living alone or a group of related or nonrelated individuals who live together, who are not boarders or residents of an institution, and who purchase and prepare food for home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manager” </w:t>
      </w:r>
      <w:r>
        <w:rPr>
          <w:rFonts w:ascii="Times New Roman" w:hAnsi="Times New Roman"/>
          <w:b w:val="false"/>
          <w:i w:val="false"/>
          <w:color w:val="000000"/>
          <w:sz w:val="22"/>
        </w:rPr>
        <w:t>means a department employee who is assigned to fulfill department responsibilities for management of the USDA FNS food distribution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“Soup kitchen” </w:t>
      </w:r>
      <w:r>
        <w:rPr>
          <w:rFonts w:ascii="Times New Roman" w:hAnsi="Times New Roman"/>
          <w:b w:val="false"/>
          <w:i w:val="false"/>
          <w:color w:val="000000"/>
          <w:sz w:val="22"/>
        </w:rPr>
        <w:t>means a public or charitable institution that provides prepared food to needy homeless persons on a regular basis as a part of its normal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“Subcontract” </w:t>
      </w:r>
      <w:r>
        <w:rPr>
          <w:rFonts w:ascii="Times New Roman" w:hAnsi="Times New Roman"/>
          <w:b w:val="false"/>
          <w:i w:val="false"/>
          <w:color w:val="000000"/>
          <w:sz w:val="22"/>
        </w:rPr>
        <w:t>means a contract between a contractor, as defined in this chapter, and another eligible recipient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“Subcontractor” </w:t>
      </w:r>
      <w:r>
        <w:rPr>
          <w:rFonts w:ascii="Times New Roman" w:hAnsi="Times New Roman"/>
          <w:b w:val="false"/>
          <w:i w:val="false"/>
          <w:color w:val="000000"/>
          <w:sz w:val="22"/>
        </w:rPr>
        <w:t>means an eligible recipient agency that has entered into a subcontract with a contractor,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“Subsidiary distributing organization” </w:t>
      </w:r>
      <w:r>
        <w:rPr>
          <w:rFonts w:ascii="Times New Roman" w:hAnsi="Times New Roman"/>
          <w:b w:val="false"/>
          <w:i w:val="false"/>
          <w:color w:val="000000"/>
          <w:sz w:val="22"/>
        </w:rPr>
        <w:t>means an eligible recipient agency that holds a contract with the department and is also under subcontract with another eligible recipient agency for the distribution of federal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“TEFAP” </w:t>
      </w:r>
      <w:r>
        <w:rPr>
          <w:rFonts w:ascii="Times New Roman" w:hAnsi="Times New Roman"/>
          <w:b w:val="false"/>
          <w:i w:val="false"/>
          <w:color w:val="000000"/>
          <w:sz w:val="22"/>
        </w:rPr>
        <w:t>means The Emergency Food Assistance Program as authorized by the Emergency Food Assistance Act of 1983 as amended through Public Law 107-249, enacted October 23,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“USDA” </w:t>
      </w:r>
      <w:r>
        <w:rPr>
          <w:rFonts w:ascii="Times New Roman" w:hAnsi="Times New Roman"/>
          <w:b w:val="false"/>
          <w:i w:val="false"/>
          <w:color w:val="000000"/>
          <w:sz w:val="22"/>
        </w:rPr>
        <w:t>means the United States Department of Agriculture.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6559C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441—66.2</w:t>
      </w:r>
      <w:r>
        <w:rPr>
          <w:rFonts w:ascii="Times New Roman" w:hAnsi="Times New Roman"/>
          <w:b/>
          <w:i w:val="false"/>
          <w:color w:val="000000"/>
          <w:sz w:val="22"/>
        </w:rPr>
        <w:t xml:space="preserve">(234) </w:t>
      </w:r>
      <w:r>
        <w:rPr>
          <w:rFonts w:ascii="Times New Roman" w:hAnsi="Times New Roman"/>
          <w:b/>
          <w:i w:val="false"/>
          <w:color w:val="000000"/>
          <w:sz w:val="22"/>
        </w:rPr>
        <w:t xml:space="preserve">Application to be a TEFAP contractor or subcontractor. </w:t>
      </w:r>
      <w:r>
        <w:rPr>
          <w:rFonts w:ascii="Times New Roman" w:hAnsi="Times New Roman"/>
          <w:b w:val="false"/>
          <w:i w:val="false"/>
          <w:color w:val="000000"/>
          <w:sz w:val="22"/>
        </w:rPr>
        <w:t xml:space="preserve">An organization that seeks to be a TEFAP contractor shall submit a written request to the Iowa Department of Human Services, Division of Financial, Food, and Work Supports, Food Distribution Program Manager, 1305 East Walnut Street, Des Moines, Iowa 50319-0114. The written request shall contain sufficient information about the applicant to enable the department to determine whether the applicant qualifies to be an eligible recipient agency as defined at </w:t>
      </w:r>
      <w:hyperlink r:id="rId5">
        <w:r>
          <w:rPr>
            <w:rStyle w:val="Hyperlink"/>
            <w:rFonts w:ascii="Times New Roman" w:hAnsi="Times New Roman"/>
            <w:b w:val="false"/>
            <w:i w:val="false"/>
            <w:color w:val="000000"/>
            <w:sz w:val="22"/>
          </w:rPr>
          <w:t>441—66.1</w:t>
        </w:r>
      </w:hyperlink>
      <w:r>
        <w:rPr>
          <w:rFonts w:ascii="Times New Roman" w:hAnsi="Times New Roman"/>
          <w:b w:val="false"/>
          <w:i w:val="false"/>
          <w:color w:val="000000"/>
          <w:sz w:val="22"/>
        </w:rPr>
        <w:t xml:space="preserve">(234). An organization that seeks to be a TEFAP subcontractor shall submit a written request to the food bank contracted with the department to administer TEFAP in the organization’s service area. The written request shall contain sufficient information about the applicant to enable the food bank to determine whether the applicant qualifies to be an eligible recipient agency as defined at </w:t>
      </w:r>
      <w:hyperlink r:id="rId6">
        <w:r>
          <w:rPr>
            <w:rStyle w:val="Hyperlink"/>
            <w:rFonts w:ascii="Times New Roman" w:hAnsi="Times New Roman"/>
            <w:b w:val="false"/>
            <w:i w:val="false"/>
            <w:color w:val="000000"/>
            <w:sz w:val="22"/>
          </w:rPr>
          <w:t>441—66.1</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w:t>
      </w:r>
      <w:r>
        <w:rPr>
          <w:rFonts w:ascii="Times New Roman" w:hAnsi="Times New Roman"/>
          <w:b w:val="false"/>
          <w:i w:val="false"/>
          <w:color w:val="000000"/>
          <w:sz w:val="22"/>
        </w:rPr>
        <w:t>Within ten days of receipt of an applicant’s written request to be a TEFAP contractor, the program manager shall notify the applicant in writing that the department has received the applicant’s request. The department shall approve an applicant’s request to be a TEFAP contractor only when the following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qualifies to be an eligible recipient agency as defined at </w:t>
      </w:r>
      <w:hyperlink r:id="rId7">
        <w:r>
          <w:rPr>
            <w:rStyle w:val="Hyperlink"/>
            <w:rFonts w:ascii="Times New Roman" w:hAnsi="Times New Roman"/>
            <w:b w:val="false"/>
            <w:i w:val="false"/>
            <w:color w:val="000000"/>
            <w:sz w:val="22"/>
          </w:rPr>
          <w:t>441—66.1</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Priority is given to current food banks that service contiguous counties and food banks that are a Feeding America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contract with the applicant, in addition to those eligible recipient agencies currently under contract with the department, will allow the department to distribute commodities in Iowa to needy individuals or households in the most cost-effective and comprehensive manner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review of denial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applicant’s request to be a TEFAP contractor is denied by the program manager, the applicant may request an administrative review by sending a letter requesting review of the denial to the administrator of the division of financial, food, and work supports. The applicant shall send the letter within five days of receipt of the letter of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more information is needed, the administrator shall request the information within five days of receipt of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review the denial and shall issue a decision within ten days of the request for review or of the receipt of additional information,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division administrator reverses the denial, the applicant shall be given the opportunity to negotiate a TEFAP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applicant’s request to be a TEFAP subcontractor is denied by the food bank, the applicant may request an administrative review by sending a letter requesting review of the denial to the food distribution program manager. The applicant shall send the letter within five days of receipt of the letter of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more information is needed, the program manager shall request the information within five days of receipt of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manager shall review the denial and shall issue a decision within ten days of the request for review or of the receipt of additional information,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program manager reverses the denial, the applicant shall be given the opportunity to negotiate a TEFAP subcontract with the applicable food bank.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6559C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441—66.3</w:t>
      </w:r>
      <w:r>
        <w:rPr>
          <w:rFonts w:ascii="Times New Roman" w:hAnsi="Times New Roman"/>
          <w:b/>
          <w:i w:val="false"/>
          <w:color w:val="000000"/>
          <w:sz w:val="22"/>
        </w:rPr>
        <w:t xml:space="preserve">(234) </w:t>
      </w:r>
      <w:r>
        <w:rPr>
          <w:rFonts w:ascii="Times New Roman" w:hAnsi="Times New Roman"/>
          <w:b/>
          <w:i w:val="false"/>
          <w:color w:val="000000"/>
          <w:sz w:val="22"/>
        </w:rPr>
        <w:t xml:space="preserve">Contracts. </w:t>
      </w:r>
      <w:r>
        <w:rPr>
          <w:rFonts w:ascii="Times New Roman" w:hAnsi="Times New Roman"/>
          <w:b w:val="false"/>
          <w:i w:val="false"/>
          <w:color w:val="000000"/>
          <w:sz w:val="22"/>
        </w:rPr>
        <w:t xml:space="preserve">A contract between the department and an eligible recipient agency approved as described at subrule </w:t>
      </w:r>
      <w:hyperlink r:id="rId8">
        <w:r>
          <w:rPr>
            <w:rStyle w:val="Hyperlink"/>
            <w:rFonts w:ascii="Times New Roman" w:hAnsi="Times New Roman"/>
            <w:b w:val="false"/>
            <w:i w:val="false"/>
            <w:color w:val="000000"/>
            <w:sz w:val="22"/>
          </w:rPr>
          <w:t>66.2(1)</w:t>
        </w:r>
      </w:hyperlink>
      <w:r>
        <w:rPr>
          <w:rFonts w:ascii="Times New Roman" w:hAnsi="Times New Roman"/>
          <w:b w:val="false"/>
          <w:i w:val="false"/>
          <w:color w:val="000000"/>
          <w:sz w:val="22"/>
        </w:rPr>
        <w:t xml:space="preserve"> shall cover receiving, storing, handling, and distributing commodities. A contract may also cover the issues of receiving, storing, handling, and distributing commodities through a subsidiary distributing organization that holds a subcontract with a contractor. A TEFAP contract shall include, but is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color w:val="000000"/>
          <w:sz w:val="22"/>
        </w:rPr>
        <w:t xml:space="preserve">Subcontractors subject to contract provisions. </w:t>
      </w:r>
      <w:r>
        <w:rPr>
          <w:rFonts w:ascii="Times New Roman" w:hAnsi="Times New Roman"/>
          <w:b w:val="false"/>
          <w:i w:val="false"/>
          <w:color w:val="000000"/>
          <w:sz w:val="22"/>
        </w:rPr>
        <w:t>A contractor shall ensure that its subsidiary distributing organizations, if any, and other subcontractors that the organizations serve are subject to all the provisions of the contract between the department and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color w:val="000000"/>
          <w:sz w:val="22"/>
        </w:rPr>
        <w:t xml:space="preserve">Oversight. </w:t>
      </w:r>
      <w:r>
        <w:rPr>
          <w:rFonts w:ascii="Times New Roman" w:hAnsi="Times New Roman"/>
          <w:b w:val="false"/>
          <w:i w:val="false"/>
          <w:color w:val="000000"/>
          <w:sz w:val="22"/>
        </w:rPr>
        <w:t>A contractor shall oversee each subcontractor that the contractor 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66.3(3)</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r>
        <w:rPr>
          <w:rFonts w:ascii="Times New Roman" w:hAnsi="Times New Roman"/>
          <w:b w:val="false"/>
          <w:i w:val="false"/>
          <w:color w:val="000000"/>
          <w:sz w:val="22"/>
        </w:rPr>
        <w:t xml:space="preserve">A contractor shall maintain a file on each subcontractor that the contractor serves, documenting the programs of the subcontractor and the procedures the subcontractor uses to determine household eligibility under the policies described at </w:t>
      </w:r>
      <w:hyperlink r:id="rId9">
        <w:r>
          <w:rPr>
            <w:rStyle w:val="Hyperlink"/>
            <w:rFonts w:ascii="Times New Roman" w:hAnsi="Times New Roman"/>
            <w:b w:val="false"/>
            <w:i w:val="false"/>
            <w:color w:val="000000"/>
            <w:sz w:val="22"/>
          </w:rPr>
          <w:t>441—66.5</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66.3(4)</w:t>
      </w:r>
      <w:r>
        <w:rPr>
          <w:rFonts w:ascii="Times New Roman" w:hAnsi="Times New Roman"/>
          <w:b w:val="false"/>
          <w:i w:val="false"/>
          <w:color w:val="000000"/>
          <w:sz w:val="22"/>
        </w:rPr>
        <w:t> </w:t>
      </w:r>
      <w:r>
        <w:rPr>
          <w:rFonts w:ascii="Times New Roman" w:hAnsi="Times New Roman"/>
          <w:b w:val="false"/>
          <w:i/>
          <w:color w:val="000000"/>
          <w:sz w:val="22"/>
        </w:rPr>
        <w:t xml:space="preserve">Issue rates. </w:t>
      </w:r>
      <w:r>
        <w:rPr>
          <w:rFonts w:ascii="Times New Roman" w:hAnsi="Times New Roman"/>
          <w:b w:val="false"/>
          <w:i w:val="false"/>
          <w:color w:val="000000"/>
          <w:sz w:val="22"/>
        </w:rPr>
        <w:t>A contractor shall determine the issue rates for each subcontractor that the contractor serves, based on the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Ability to distribute without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Anticipated use based on inventory records and controls;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Ability to accept and store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66.3(5)</w:t>
      </w:r>
      <w:r>
        <w:rPr>
          <w:rFonts w:ascii="Times New Roman" w:hAnsi="Times New Roman"/>
          <w:b w:val="false"/>
          <w:i w:val="false"/>
          <w:color w:val="000000"/>
          <w:sz w:val="22"/>
        </w:rPr>
        <w:t> </w:t>
      </w:r>
      <w:r>
        <w:rPr>
          <w:rFonts w:ascii="Times New Roman" w:hAnsi="Times New Roman"/>
          <w:b w:val="false"/>
          <w:i/>
          <w:color w:val="000000"/>
          <w:sz w:val="22"/>
        </w:rPr>
        <w:t xml:space="preserve">Maintenance of expenditures. </w:t>
      </w:r>
      <w:r>
        <w:rPr>
          <w:rFonts w:ascii="Times New Roman" w:hAnsi="Times New Roman"/>
          <w:b w:val="false"/>
          <w:i w:val="false"/>
          <w:color w:val="000000"/>
          <w:sz w:val="22"/>
        </w:rPr>
        <w:t>Each contractor and subcontractor shall maintain its normal expenditures for food with no reduction due to receipt of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66.3(6)</w:t>
      </w:r>
      <w:r>
        <w:rPr>
          <w:rFonts w:ascii="Times New Roman" w:hAnsi="Times New Roman"/>
          <w:b w:val="false"/>
          <w:i w:val="false"/>
          <w:color w:val="000000"/>
          <w:sz w:val="22"/>
        </w:rPr>
        <w:t> </w:t>
      </w:r>
      <w:r>
        <w:rPr>
          <w:rFonts w:ascii="Times New Roman" w:hAnsi="Times New Roman"/>
          <w:b w:val="false"/>
          <w:i/>
          <w:color w:val="000000"/>
          <w:sz w:val="22"/>
        </w:rPr>
        <w:t xml:space="preserve">Distribution to low-income households. </w:t>
      </w:r>
      <w:r>
        <w:rPr>
          <w:rFonts w:ascii="Times New Roman" w:hAnsi="Times New Roman"/>
          <w:b w:val="false"/>
          <w:i w:val="false"/>
          <w:color w:val="000000"/>
          <w:sz w:val="22"/>
        </w:rPr>
        <w:t xml:space="preserve">A contractor or subcontractor that distributes commodities to households must limit the distribution of commodities to households that meet the eligibility criteria as described at </w:t>
      </w:r>
      <w:hyperlink r:id="rId10">
        <w:r>
          <w:rPr>
            <w:rStyle w:val="Hyperlink"/>
            <w:rFonts w:ascii="Times New Roman" w:hAnsi="Times New Roman"/>
            <w:b w:val="false"/>
            <w:i w:val="false"/>
            <w:color w:val="000000"/>
            <w:sz w:val="22"/>
          </w:rPr>
          <w:t>441—66.5</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66.3(7)</w:t>
      </w:r>
      <w:r>
        <w:rPr>
          <w:rFonts w:ascii="Times New Roman" w:hAnsi="Times New Roman"/>
          <w:b w:val="false"/>
          <w:i w:val="false"/>
          <w:color w:val="000000"/>
          <w:sz w:val="22"/>
        </w:rPr>
        <w:t> </w:t>
      </w:r>
      <w:r>
        <w:rPr>
          <w:rFonts w:ascii="Times New Roman" w:hAnsi="Times New Roman"/>
          <w:b w:val="false"/>
          <w:i/>
          <w:color w:val="000000"/>
          <w:sz w:val="22"/>
        </w:rPr>
        <w:t xml:space="preserve">Meal sites serving needy persons. </w:t>
      </w:r>
      <w:r>
        <w:rPr>
          <w:rFonts w:ascii="Times New Roman" w:hAnsi="Times New Roman"/>
          <w:b w:val="false"/>
          <w:i w:val="false"/>
          <w:color w:val="000000"/>
          <w:sz w:val="22"/>
        </w:rPr>
        <w:t>A contractor or subcontractor that provides prepared meals must demonstrate that it serves predominantly needy persons. The agency is not required to employ a means test or to keep records solely for the purpose of demonstrating that its recipients are needy.</w:t>
      </w:r>
    </w:p>
    <w:p>
      <w:pPr>
        <w:spacing w:before="0" w:after="0"/>
        <w:ind w:left="120"/>
        <w:jc w:val="both"/>
      </w:pPr>
      <w:r>
        <w:rPr>
          <w:rFonts w:ascii="Times New Roman" w:hAnsi="Times New Roman"/>
          <w:b/>
          <w:i w:val="false"/>
          <w:color w:val="000000"/>
          <w:sz w:val="22"/>
        </w:rPr>
        <w:t>441—66.4</w:t>
      </w:r>
      <w:r>
        <w:rPr>
          <w:rFonts w:ascii="Times New Roman" w:hAnsi="Times New Roman"/>
          <w:b/>
          <w:i w:val="false"/>
          <w:color w:val="000000"/>
          <w:sz w:val="22"/>
        </w:rPr>
        <w:t xml:space="preserve">(234) </w:t>
      </w:r>
      <w:r>
        <w:rPr>
          <w:rFonts w:ascii="Times New Roman" w:hAnsi="Times New Roman"/>
          <w:b/>
          <w:i w:val="false"/>
          <w:color w:val="000000"/>
          <w:sz w:val="22"/>
        </w:rPr>
        <w:t xml:space="preserve">Distribution. </w:t>
      </w:r>
      <w:r>
        <w:rPr>
          <w:rFonts w:ascii="Times New Roman" w:hAnsi="Times New Roman"/>
          <w:b w:val="false"/>
          <w:i w:val="false"/>
          <w:color w:val="000000"/>
          <w:sz w:val="22"/>
        </w:rPr>
        <w:t xml:space="preserve">The department is the agency responsible for food distribution in Iowa under TEFAP. TEFAP commodities and funds are allocated and delivered to Iowa by the USDA according to the USDA formula as defined at </w:t>
      </w:r>
      <w:r>
        <w:rPr>
          <w:rFonts w:ascii="Times New Roman" w:hAnsi="Times New Roman"/>
          <w:b w:val="false"/>
          <w:i w:val="false"/>
          <w:color w:val="000000"/>
          <w:sz w:val="22"/>
        </w:rPr>
        <w:t>7 CFR 251.3(h)</w:t>
      </w:r>
      <w:r>
        <w:rPr>
          <w:rFonts w:ascii="Times New Roman" w:hAnsi="Times New Roman"/>
          <w:b w:val="false"/>
          <w:i w:val="false"/>
          <w:color w:val="000000"/>
          <w:sz w:val="22"/>
        </w:rPr>
        <w:t>, as amended to May 2,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color w:val="000000"/>
          <w:sz w:val="22"/>
        </w:rPr>
        <w:t xml:space="preserve">Distribution contractors. </w:t>
      </w:r>
      <w:r>
        <w:rPr>
          <w:rFonts w:ascii="Times New Roman" w:hAnsi="Times New Roman"/>
          <w:b w:val="false"/>
          <w:i w:val="false"/>
          <w:color w:val="000000"/>
          <w:sz w:val="22"/>
        </w:rPr>
        <w:t xml:space="preserve">The department shall enter into a contract for distribution of commodities with a qualified eligible recipient agency approved as described at subrule </w:t>
      </w:r>
      <w:hyperlink r:id="rId11">
        <w:r>
          <w:rPr>
            <w:rStyle w:val="Hyperlink"/>
            <w:rFonts w:ascii="Times New Roman" w:hAnsi="Times New Roman"/>
            <w:b w:val="false"/>
            <w:i w:val="false"/>
            <w:color w:val="000000"/>
            <w:sz w:val="22"/>
          </w:rPr>
          <w:t>66.2(1)</w:t>
        </w:r>
      </w:hyperlink>
      <w:r>
        <w:rPr>
          <w:rFonts w:ascii="Times New Roman" w:hAnsi="Times New Roman"/>
          <w:b w:val="false"/>
          <w:i w:val="false"/>
          <w:color w:val="000000"/>
          <w:sz w:val="22"/>
        </w:rPr>
        <w:t xml:space="preserve"> to distribute commodities in Iowa to needy individuals or households in the most cost-effective and comprehensive manner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Subcontractors. </w:t>
      </w:r>
      <w:r>
        <w:rPr>
          <w:rFonts w:ascii="Times New Roman" w:hAnsi="Times New Roman"/>
          <w:b w:val="false"/>
          <w:i w:val="false"/>
          <w:color w:val="000000"/>
          <w:sz w:val="22"/>
        </w:rPr>
        <w:t>TEFAP contractors may subcontract with other eligible recipient agencies for distribution of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feeding organizations. </w:t>
      </w:r>
      <w:r>
        <w:rPr>
          <w:rFonts w:ascii="Times New Roman" w:hAnsi="Times New Roman"/>
          <w:b w:val="false"/>
          <w:i w:val="false"/>
          <w:color w:val="000000"/>
          <w:sz w:val="22"/>
        </w:rPr>
        <w:t>In the distribution of commodities, the department shall give priority to eligible recipient agencies that are emergency feeding organizations. If the need arises, the department shall implement a priority system to serve predominately needy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subsidiary distributing organizations. </w:t>
      </w:r>
      <w:r>
        <w:rPr>
          <w:rFonts w:ascii="Times New Roman" w:hAnsi="Times New Roman"/>
          <w:b w:val="false"/>
          <w:i w:val="false"/>
          <w:color w:val="000000"/>
          <w:sz w:val="22"/>
        </w:rPr>
        <w:t>A contractor may furnish services through another eligible recipient agency as a subsidiary distributing organization, provided that the contractor has a written contract with the subsidiary distributing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color w:val="000000"/>
          <w:sz w:val="22"/>
        </w:rPr>
        <w:t xml:space="preserve">Allocation to contractors. </w:t>
      </w:r>
      <w:r>
        <w:rPr>
          <w:rFonts w:ascii="Times New Roman" w:hAnsi="Times New Roman"/>
          <w:b w:val="false"/>
          <w:i w:val="false"/>
          <w:color w:val="000000"/>
          <w:sz w:val="22"/>
        </w:rPr>
        <w:t xml:space="preserve">The department shall make commodities available for distribution to contractors in accordance with the provisions of </w:t>
      </w:r>
      <w:r>
        <w:rPr>
          <w:rFonts w:ascii="Times New Roman" w:hAnsi="Times New Roman"/>
          <w:b w:val="false"/>
          <w:i w:val="false"/>
          <w:color w:val="000000"/>
          <w:sz w:val="22"/>
        </w:rPr>
        <w:t>7 CFR Part 251</w:t>
      </w:r>
      <w:r>
        <w:rPr>
          <w:rFonts w:ascii="Times New Roman" w:hAnsi="Times New Roman"/>
          <w:b w:val="false"/>
          <w:i w:val="false"/>
          <w:color w:val="000000"/>
          <w:sz w:val="22"/>
        </w:rPr>
        <w:t xml:space="preserve">, as amended to May 2, 2022, and of </w:t>
      </w:r>
      <w:r>
        <w:rPr>
          <w:rFonts w:ascii="Times New Roman" w:hAnsi="Times New Roman"/>
          <w:b w:val="false"/>
          <w:i w:val="false"/>
          <w:color w:val="000000"/>
          <w:sz w:val="22"/>
        </w:rPr>
        <w:t>7 CFR Part 250</w:t>
      </w:r>
      <w:r>
        <w:rPr>
          <w:rFonts w:ascii="Times New Roman" w:hAnsi="Times New Roman"/>
          <w:b w:val="false"/>
          <w:i w:val="false"/>
          <w:color w:val="000000"/>
          <w:sz w:val="22"/>
        </w:rPr>
        <w:t xml:space="preserve">, as amended to May 2, 2022, when the provisions of Part 250 are not inconsistent with </w:t>
      </w:r>
      <w:r>
        <w:rPr>
          <w:rFonts w:ascii="Times New Roman" w:hAnsi="Times New Roman"/>
          <w:b w:val="false"/>
          <w:i w:val="false"/>
          <w:color w:val="000000"/>
          <w:sz w:val="22"/>
        </w:rPr>
        <w:t>7 CFR Part 251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of allocation. </w:t>
      </w:r>
      <w:r>
        <w:rPr>
          <w:rFonts w:ascii="Times New Roman" w:hAnsi="Times New Roman"/>
          <w:b w:val="false"/>
          <w:i w:val="false"/>
          <w:color w:val="000000"/>
          <w:sz w:val="22"/>
        </w:rPr>
        <w:t>To the extent possible, the department shall allocate commodities to the contractors each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Basis for allocation. </w:t>
      </w:r>
      <w:r>
        <w:rPr>
          <w:rFonts w:ascii="Times New Roman" w:hAnsi="Times New Roman"/>
          <w:b w:val="false"/>
          <w:i w:val="false"/>
          <w:color w:val="000000"/>
          <w:sz w:val="22"/>
        </w:rPr>
        <w:t xml:space="preserve">The allocation of commodities to each contractor is based on the percentage of residents who live in the area that each contractor serves based on the formula identified in </w:t>
      </w:r>
      <w:r>
        <w:rPr>
          <w:rFonts w:ascii="Times New Roman" w:hAnsi="Times New Roman"/>
          <w:b w:val="false"/>
          <w:i w:val="false"/>
          <w:color w:val="000000"/>
          <w:sz w:val="22"/>
        </w:rPr>
        <w:t>7 CFR 251.3(h)</w:t>
      </w:r>
      <w:r>
        <w:rPr>
          <w:rFonts w:ascii="Times New Roman" w:hAnsi="Times New Roman"/>
          <w:b w:val="false"/>
          <w:i w:val="false"/>
          <w:color w:val="000000"/>
          <w:sz w:val="22"/>
        </w:rPr>
        <w:t>, as amended to May 2, 2022, for entitlement. Bonus items will be allocated using this same formula, unless agreed upon by the eligible recipient agencies with direct contracts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66.4(3)</w:t>
      </w:r>
      <w:r>
        <w:rPr>
          <w:rFonts w:ascii="Times New Roman" w:hAnsi="Times New Roman"/>
          <w:b w:val="false"/>
          <w:i w:val="false"/>
          <w:color w:val="000000"/>
          <w:sz w:val="22"/>
        </w:rPr>
        <w:t> </w:t>
      </w:r>
      <w:r>
        <w:rPr>
          <w:rFonts w:ascii="Times New Roman" w:hAnsi="Times New Roman"/>
          <w:b w:val="false"/>
          <w:i/>
          <w:color w:val="000000"/>
          <w:sz w:val="22"/>
        </w:rPr>
        <w:t xml:space="preserve">Variations in distribution. </w:t>
      </w:r>
      <w:r>
        <w:rPr>
          <w:rFonts w:ascii="Times New Roman" w:hAnsi="Times New Roman"/>
          <w:b w:val="false"/>
          <w:i w:val="false"/>
          <w:color w:val="000000"/>
          <w:sz w:val="22"/>
        </w:rPr>
        <w:t>The department may withhold or reduce the delivery of commodities to contractors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commodities are not available or have not been transported to the state in time for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commodities inventory is not sufficient to meet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eligible recipient agency has commodities on hand in excess of the amount that could be used without waste in providing services for the number of needy persons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state’s supply is depleted;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department or USDA has issued orders restricting distribution of certain food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66.4(4)</w:t>
      </w:r>
      <w:r>
        <w:rPr>
          <w:rFonts w:ascii="Times New Roman" w:hAnsi="Times New Roman"/>
          <w:b w:val="false"/>
          <w:i w:val="false"/>
          <w:color w:val="000000"/>
          <w:sz w:val="22"/>
        </w:rPr>
        <w:t> </w:t>
      </w:r>
      <w:r>
        <w:rPr>
          <w:rFonts w:ascii="Times New Roman" w:hAnsi="Times New Roman"/>
          <w:b w:val="false"/>
          <w:i/>
          <w:color w:val="000000"/>
          <w:sz w:val="22"/>
        </w:rPr>
        <w:t xml:space="preserve">Special provisions for situations of disaster and distress. </w:t>
      </w:r>
      <w:r>
        <w:rPr>
          <w:rFonts w:ascii="Times New Roman" w:hAnsi="Times New Roman"/>
          <w:b w:val="false"/>
          <w:i w:val="false"/>
          <w:color w:val="000000"/>
          <w:sz w:val="22"/>
        </w:rPr>
        <w:t>The department reserves the right to distribute commodities in situations of disaster, emergency, or distress to any affected area in Iowa. Federal regulations at 7 CFR 250.43 and 7 CFR 250.44, as amended to May 2, 2022, shall apply in these situations.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6559C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441—66.5</w:t>
      </w:r>
      <w:r>
        <w:rPr>
          <w:rFonts w:ascii="Times New Roman" w:hAnsi="Times New Roman"/>
          <w:b/>
          <w:i w:val="false"/>
          <w:color w:val="000000"/>
          <w:sz w:val="22"/>
        </w:rPr>
        <w:t xml:space="preserve">(234) </w:t>
      </w:r>
      <w:r>
        <w:rPr>
          <w:rFonts w:ascii="Times New Roman" w:hAnsi="Times New Roman"/>
          <w:b/>
          <w:i w:val="false"/>
          <w:color w:val="000000"/>
          <w:sz w:val="22"/>
        </w:rPr>
        <w:t xml:space="preserve">Household eligibility. </w:t>
      </w:r>
      <w:r>
        <w:rPr>
          <w:rFonts w:ascii="Times New Roman" w:hAnsi="Times New Roman"/>
          <w:b w:val="false"/>
          <w:i w:val="false"/>
          <w:color w:val="000000"/>
          <w:sz w:val="22"/>
        </w:rPr>
        <w:t>Household eligibility is determined by residence, household size, and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66.5(1)</w:t>
      </w:r>
      <w:r>
        <w:rPr>
          <w:rFonts w:ascii="Times New Roman" w:hAnsi="Times New Roman"/>
          <w:b w:val="false"/>
          <w:i w:val="false"/>
          <w:color w:val="000000"/>
          <w:sz w:val="22"/>
        </w:rPr>
        <w:t> </w:t>
      </w:r>
      <w:r>
        <w:rPr>
          <w:rFonts w:ascii="Times New Roman" w:hAnsi="Times New Roman"/>
          <w:b w:val="false"/>
          <w:i/>
          <w:color w:val="000000"/>
          <w:sz w:val="22"/>
        </w:rPr>
        <w:t xml:space="preserve">Residence. </w:t>
      </w:r>
      <w:r>
        <w:rPr>
          <w:rFonts w:ascii="Times New Roman" w:hAnsi="Times New Roman"/>
          <w:b w:val="false"/>
          <w:i w:val="false"/>
          <w:color w:val="000000"/>
          <w:sz w:val="22"/>
        </w:rPr>
        <w:t>Household members shall be residing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66.5(2)</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 xml:space="preserve">Household size is determined by the number of people living in a dwelling, excluding boarders, as household is defined at </w:t>
      </w:r>
      <w:hyperlink r:id="rId12">
        <w:r>
          <w:rPr>
            <w:rStyle w:val="Hyperlink"/>
            <w:rFonts w:ascii="Times New Roman" w:hAnsi="Times New Roman"/>
            <w:b w:val="false"/>
            <w:i w:val="false"/>
            <w:color w:val="000000"/>
            <w:sz w:val="22"/>
          </w:rPr>
          <w:t>441—66.1</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66.5(3)</w:t>
      </w:r>
      <w:r>
        <w:rPr>
          <w:rFonts w:ascii="Times New Roman" w:hAnsi="Times New Roman"/>
          <w:b w:val="false"/>
          <w:i w:val="false"/>
          <w:color w:val="000000"/>
          <w:sz w:val="22"/>
        </w:rPr>
        <w:t> </w:t>
      </w:r>
      <w:r>
        <w:rPr>
          <w:rFonts w:ascii="Times New Roman" w:hAnsi="Times New Roman"/>
          <w:b w:val="false"/>
          <w:i/>
          <w:color w:val="000000"/>
          <w:sz w:val="22"/>
        </w:rPr>
        <w:t xml:space="preserve">Income eligibility. </w:t>
      </w:r>
      <w:r>
        <w:rPr>
          <w:rFonts w:ascii="Times New Roman" w:hAnsi="Times New Roman"/>
          <w:b w:val="false"/>
          <w:i w:val="false"/>
          <w:color w:val="000000"/>
          <w:sz w:val="22"/>
        </w:rPr>
        <w:t>All earned and unearned income of the household shall be considered in determining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defined. </w:t>
      </w:r>
      <w:r>
        <w:rPr>
          <w:rFonts w:ascii="Times New Roman" w:hAnsi="Times New Roman"/>
          <w:b w:val="false"/>
          <w:i w:val="false"/>
          <w:color w:val="000000"/>
          <w:sz w:val="22"/>
        </w:rPr>
        <w:t>Income means all income received by an individual from sources identified by the U.S. Census Bureau in computing median income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wages or salary;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Net income from nonfarm self-employment;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Net income from farm self-employment;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from estates or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Net rental income and royalties;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assistance or welfare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Pensions and annuities;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Workers’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Alimony;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Veterans’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Social 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Railroad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Supplemental security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State or federal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Veterans’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Black lung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All disability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 xml:space="preserve">Unemployment compensation benefits;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Income from minors under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income. </w:t>
      </w:r>
      <w:r>
        <w:rPr>
          <w:rFonts w:ascii="Times New Roman" w:hAnsi="Times New Roman"/>
          <w:b w:val="false"/>
          <w:i w:val="false"/>
          <w:color w:val="000000"/>
          <w:sz w:val="22"/>
        </w:rPr>
        <w:t>Earned or unearned income shall be the gross annual, monthly, or weekly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Biweekly income shall be multiplied by </w:t>
      </w:r>
      <w:hyperlink r:id="rId1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to determine monthly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Adjusted gross self-employment income shall be averaged over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received from interest and dividends shall be averaged over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income that stops or starts during the month shall be estimated based on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Income exclusions. </w:t>
      </w:r>
      <w:r>
        <w:rPr>
          <w:rFonts w:ascii="Times New Roman" w:hAnsi="Times New Roman"/>
          <w:b w:val="false"/>
          <w:i w:val="false"/>
          <w:color w:val="000000"/>
          <w:sz w:val="22"/>
        </w:rPr>
        <w:t>When calculating total household income for this program, all income shall be excluded that is specifically excluded for food assistance by federal statute, especially those sources listed in federal regulations at 7 CFR 273.9(c)(10) as amended to May 2,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guidelines. </w:t>
      </w:r>
      <w:r>
        <w:rPr>
          <w:rFonts w:ascii="Times New Roman" w:hAnsi="Times New Roman"/>
          <w:b w:val="false"/>
          <w:i w:val="false"/>
          <w:color w:val="000000"/>
          <w:sz w:val="22"/>
        </w:rPr>
        <w:t>Households are eligible for TEFAP when the countable household income is at or below 185 percent of the federal poverty guidelines. These federal guidelines are revised annually, effective every July 1. The department shall forward these income guidelines annually to contractors.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6559C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441—66.6</w:t>
      </w:r>
      <w:r>
        <w:rPr>
          <w:rFonts w:ascii="Times New Roman" w:hAnsi="Times New Roman"/>
          <w:b/>
          <w:i w:val="false"/>
          <w:color w:val="000000"/>
          <w:sz w:val="22"/>
        </w:rPr>
        <w:t xml:space="preserve">(234) </w:t>
      </w:r>
      <w:r>
        <w:rPr>
          <w:rFonts w:ascii="Times New Roman" w:hAnsi="Times New Roman"/>
          <w:b/>
          <w:i w:val="false"/>
          <w:color w:val="000000"/>
          <w:sz w:val="22"/>
        </w:rPr>
        <w:t xml:space="preserve">Reimbursement for allowable costs. </w:t>
      </w:r>
      <w:r>
        <w:rPr>
          <w:rFonts w:ascii="Times New Roman" w:hAnsi="Times New Roman"/>
          <w:b w:val="false"/>
          <w:i w:val="false"/>
          <w:color w:val="000000"/>
          <w:sz w:val="22"/>
        </w:rPr>
        <w:t xml:space="preserve">To the extent that funds are available for payment, the department shall pay allowable costs to contractors as reimbursement for expenses attributable to the program. TEFAP payments by the department are subject to federal regulations at </w:t>
      </w:r>
      <w:r>
        <w:rPr>
          <w:rFonts w:ascii="Times New Roman" w:hAnsi="Times New Roman"/>
          <w:b w:val="false"/>
          <w:i w:val="false"/>
          <w:color w:val="000000"/>
          <w:sz w:val="22"/>
        </w:rPr>
        <w:t>7 CFR Part 251</w:t>
      </w:r>
      <w:r>
        <w:rPr>
          <w:rFonts w:ascii="Times New Roman" w:hAnsi="Times New Roman"/>
          <w:b w:val="false"/>
          <w:i w:val="false"/>
          <w:color w:val="000000"/>
          <w:sz w:val="22"/>
        </w:rPr>
        <w:t>, as amended to May 2, 2022, especially 7 CFR 251.8(e).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66.6(1)</w:t>
      </w: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“Allowable costs” are the direct costs incurred for intrastate storage and transportation of federal commodities. Allowable costs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to rent, lease, operate, and maintain storage facilities and transportation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to load, unload, distribute, and otherwise handle, account for, and manage the distribution of federal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Salary and support expenses of employees and operations necessary in the management, coordination, and accomplishment of TEFAP food distribution to the extent that expenses are directly attributed to the storage and distribution of federal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associated with determinations of eligibility, verification,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Costs of providing information to persons receiving commodities concerning the appropriate storage and preparation of such commodities;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of other administrative procedures required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66.6(2)</w:t>
      </w:r>
      <w:r>
        <w:rPr>
          <w:rFonts w:ascii="Times New Roman" w:hAnsi="Times New Roman"/>
          <w:b w:val="false"/>
          <w:i w:val="false"/>
          <w:color w:val="000000"/>
          <w:sz w:val="22"/>
        </w:rPr>
        <w:t> </w:t>
      </w:r>
      <w:r>
        <w:rPr>
          <w:rFonts w:ascii="Times New Roman" w:hAnsi="Times New Roman"/>
          <w:b w:val="false"/>
          <w:i/>
          <w:color w:val="000000"/>
          <w:sz w:val="22"/>
        </w:rPr>
        <w:t xml:space="preserve">Reimbursement request. </w:t>
      </w:r>
      <w:r>
        <w:rPr>
          <w:rFonts w:ascii="Times New Roman" w:hAnsi="Times New Roman"/>
          <w:b w:val="false"/>
          <w:i w:val="false"/>
          <w:color w:val="000000"/>
          <w:sz w:val="22"/>
        </w:rPr>
        <w:t>Contractors must complete the form provided by the department in order to file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66.6(3)</w:t>
      </w:r>
      <w:r>
        <w:rPr>
          <w:rFonts w:ascii="Times New Roman" w:hAnsi="Times New Roman"/>
          <w:b w:val="false"/>
          <w:i w:val="false"/>
          <w:color w:val="000000"/>
          <w:sz w:val="22"/>
        </w:rPr>
        <w:t> </w:t>
      </w:r>
      <w:r>
        <w:rPr>
          <w:rFonts w:ascii="Times New Roman" w:hAnsi="Times New Roman"/>
          <w:b w:val="false"/>
          <w:i/>
          <w:color w:val="000000"/>
          <w:sz w:val="22"/>
        </w:rPr>
        <w:t xml:space="preserve">Rate of reimbursement. </w:t>
      </w:r>
      <w:r>
        <w:rPr>
          <w:rFonts w:ascii="Times New Roman" w:hAnsi="Times New Roman"/>
          <w:b w:val="false"/>
          <w:i w:val="false"/>
          <w:color w:val="000000"/>
          <w:sz w:val="22"/>
        </w:rPr>
        <w:t xml:space="preserve">The department shall reimburse each contractor at the same rate as commodity allocations are determined pursuant to </w:t>
      </w:r>
      <w:r>
        <w:rPr>
          <w:rFonts w:ascii="Times New Roman" w:hAnsi="Times New Roman"/>
          <w:b w:val="false"/>
          <w:i w:val="false"/>
          <w:color w:val="000000"/>
          <w:sz w:val="22"/>
        </w:rPr>
        <w:t>7 CFR 251.3(h)</w:t>
      </w:r>
      <w:r>
        <w:rPr>
          <w:rFonts w:ascii="Times New Roman" w:hAnsi="Times New Roman"/>
          <w:b w:val="false"/>
          <w:i w:val="false"/>
          <w:color w:val="000000"/>
          <w:sz w:val="22"/>
        </w:rPr>
        <w:t xml:space="preserve"> as amended to May 2, 2022. In the event the department cannot maintain this level of reimbursement throughout the term of the contract, the reimbursement shall be adjusted based on the available funds remaining from the USDA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66.6(4)</w:t>
      </w:r>
      <w:r>
        <w:rPr>
          <w:rFonts w:ascii="Times New Roman" w:hAnsi="Times New Roman"/>
          <w:b w:val="false"/>
          <w:i w:val="false"/>
          <w:color w:val="000000"/>
          <w:sz w:val="22"/>
        </w:rPr>
        <w:t> </w:t>
      </w:r>
      <w:r>
        <w:rPr>
          <w:rFonts w:ascii="Times New Roman" w:hAnsi="Times New Roman"/>
          <w:b w:val="false"/>
          <w:i/>
          <w:color w:val="000000"/>
          <w:sz w:val="22"/>
        </w:rPr>
        <w:t xml:space="preserve">No reimbursement for bonus items. </w:t>
      </w:r>
      <w:r>
        <w:rPr>
          <w:rFonts w:ascii="Times New Roman" w:hAnsi="Times New Roman"/>
          <w:b w:val="false"/>
          <w:i w:val="false"/>
          <w:color w:val="000000"/>
          <w:sz w:val="22"/>
        </w:rPr>
        <w:t>The department shall not reimburse a contractor for bonus items received. The department cannot project the amount and items received as bonus items throughout the year. Each contractor or subcontractor shall have the option to refuse bonus items.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6559C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441—66.7</w:t>
      </w:r>
      <w:r>
        <w:rPr>
          <w:rFonts w:ascii="Times New Roman" w:hAnsi="Times New Roman"/>
          <w:b/>
          <w:i w:val="false"/>
          <w:color w:val="000000"/>
          <w:sz w:val="22"/>
        </w:rPr>
        <w:t xml:space="preserve">(234) </w:t>
      </w:r>
      <w:r>
        <w:rPr>
          <w:rFonts w:ascii="Times New Roman" w:hAnsi="Times New Roman"/>
          <w:b/>
          <w:i w:val="false"/>
          <w:color w:val="000000"/>
          <w:sz w:val="22"/>
        </w:rPr>
        <w:t xml:space="preserve">Commodity losses and claims. </w:t>
      </w:r>
      <w:r>
        <w:rPr>
          <w:rFonts w:ascii="Times New Roman" w:hAnsi="Times New Roman"/>
          <w:b w:val="false"/>
          <w:i w:val="false"/>
          <w:color w:val="000000"/>
          <w:sz w:val="22"/>
        </w:rPr>
        <w:t>Commodities which cannot be demonstrated by appropriate records or other satisfactory evidence to have been delivered to, or to be available in good condition for delivery to, eligible recipient agencies for which they were intended are considered to be lost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66.7(1)</w:t>
      </w:r>
      <w:r>
        <w:rPr>
          <w:rFonts w:ascii="Times New Roman" w:hAnsi="Times New Roman"/>
          <w:b w:val="false"/>
          <w:i w:val="false"/>
          <w:color w:val="000000"/>
          <w:sz w:val="22"/>
        </w:rPr>
        <w:t> </w:t>
      </w:r>
      <w:r>
        <w:rPr>
          <w:rFonts w:ascii="Times New Roman" w:hAnsi="Times New Roman"/>
          <w:b w:val="false"/>
          <w:i/>
          <w:color w:val="000000"/>
          <w:sz w:val="22"/>
        </w:rPr>
        <w:t xml:space="preserve">Circumstances of loss. </w:t>
      </w:r>
      <w:r>
        <w:rPr>
          <w:rFonts w:ascii="Times New Roman" w:hAnsi="Times New Roman"/>
          <w:b w:val="false"/>
          <w:i w:val="false"/>
          <w:color w:val="000000"/>
          <w:sz w:val="22"/>
        </w:rPr>
        <w:t>Commodities may be lost through one or more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Theft, damage, spoilage, or infestation in transit or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Improper distribution to institutions, families, or individuals or distributing above authorized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 or exchange of commodities or diversion to an improper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deliver end products according to contracted yields under a processing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similar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66.7(2)</w:t>
      </w:r>
      <w:r>
        <w:rPr>
          <w:rFonts w:ascii="Times New Roman" w:hAnsi="Times New Roman"/>
          <w:b w:val="false"/>
          <w:i w:val="false"/>
          <w:color w:val="000000"/>
          <w:sz w:val="22"/>
        </w:rPr>
        <w:t> </w:t>
      </w:r>
      <w:r>
        <w:rPr>
          <w:rFonts w:ascii="Times New Roman" w:hAnsi="Times New Roman"/>
          <w:b w:val="false"/>
          <w:i/>
          <w:color w:val="000000"/>
          <w:sz w:val="22"/>
        </w:rPr>
        <w:t xml:space="preserve">Reporting commodity losses. </w:t>
      </w:r>
      <w:r>
        <w:rPr>
          <w:rFonts w:ascii="Times New Roman" w:hAnsi="Times New Roman"/>
          <w:b w:val="false"/>
          <w:i w:val="false"/>
          <w:color w:val="000000"/>
          <w:sz w:val="22"/>
        </w:rPr>
        <w:t>All commodity losses regardless of the dollar value shall be reported to the program manager by the responsible entity such as, but not limited to, contractors and subcontractors, warehouses, or carriers.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fault and claim procedures. </w:t>
      </w:r>
      <w:r>
        <w:rPr>
          <w:rFonts w:ascii="Times New Roman" w:hAnsi="Times New Roman"/>
          <w:b w:val="false"/>
          <w:i w:val="false"/>
          <w:color w:val="000000"/>
          <w:sz w:val="22"/>
        </w:rPr>
        <w:t>The program manager shall investigate the commodity loss and determine who is at fault as described in FNS Instruction 410-1, Claims for Losses of Donated Foods and Related Administrative Losses — Procedures for the State Distributing Agency, published on December 29,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Value of loss does not exceed $500. </w:t>
      </w:r>
      <w:r>
        <w:rPr>
          <w:rFonts w:ascii="Times New Roman" w:hAnsi="Times New Roman"/>
          <w:b w:val="false"/>
          <w:i w:val="false"/>
          <w:color w:val="000000"/>
          <w:sz w:val="22"/>
        </w:rPr>
        <w:t xml:space="preserve">The department shall not initiate a claim action against an entity that has been determined to be at fault if the value of the accumulated commodity loss does not exceed $500.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If there is evidence of violation of a federal or state statute, procedures in subrule </w:t>
      </w:r>
      <w:hyperlink r:id="rId14">
        <w:r>
          <w:rPr>
            <w:rStyle w:val="Hyperlink"/>
            <w:rFonts w:ascii="Times New Roman" w:hAnsi="Times New Roman"/>
            <w:b w:val="false"/>
            <w:i w:val="false"/>
            <w:color w:val="000000"/>
            <w:sz w:val="22"/>
          </w:rPr>
          <w:t>66.7(7)</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Losses exceeding $500. </w:t>
      </w:r>
      <w:r>
        <w:rPr>
          <w:rFonts w:ascii="Times New Roman" w:hAnsi="Times New Roman"/>
          <w:b w:val="false"/>
          <w:i w:val="false"/>
          <w:color w:val="000000"/>
          <w:sz w:val="22"/>
        </w:rPr>
        <w:t>When the department believes that a claim exists against an entity and the value of the lost commodities exceeds $500, the department shall immediately refer the claim determination to the FNS regional office. When the department receives notice from FNS that a claim exists, the department shall immediately initiate the claim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Losses occurring in transit. </w:t>
      </w:r>
      <w:r>
        <w:rPr>
          <w:rFonts w:ascii="Times New Roman" w:hAnsi="Times New Roman"/>
          <w:b w:val="false"/>
          <w:i w:val="false"/>
          <w:color w:val="000000"/>
          <w:sz w:val="22"/>
        </w:rPr>
        <w:t>A claim action must be initiated regardless of the value of the commodity losses if the commodity losses occur when in transit for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Demand letters. </w:t>
      </w:r>
      <w:r>
        <w:rPr>
          <w:rFonts w:ascii="Times New Roman" w:hAnsi="Times New Roman"/>
          <w:b w:val="false"/>
          <w:i w:val="false"/>
          <w:color w:val="000000"/>
          <w:sz w:val="22"/>
        </w:rPr>
        <w:t>The department shall send up to three demand letters to the entity determined responsible for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Late charge. </w:t>
      </w:r>
      <w:r>
        <w:rPr>
          <w:rFonts w:ascii="Times New Roman" w:hAnsi="Times New Roman"/>
          <w:b w:val="false"/>
          <w:i w:val="false"/>
          <w:color w:val="000000"/>
          <w:sz w:val="22"/>
        </w:rPr>
        <w:t>Interest shall be assessed against an entity beginning on the thirty-first day following the date of the first demand letter, unless an extension has been granted. Interest shall be assessed at the rate determined by the U.S. Treasury Department at the beginning of each fiscal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66.7(4)</w:t>
      </w:r>
      <w:r>
        <w:rPr>
          <w:rFonts w:ascii="Times New Roman" w:hAnsi="Times New Roman"/>
          <w:b w:val="false"/>
          <w:i w:val="false"/>
          <w:color w:val="000000"/>
          <w:sz w:val="22"/>
        </w:rPr>
        <w:t> </w:t>
      </w:r>
      <w:r>
        <w:rPr>
          <w:rFonts w:ascii="Times New Roman" w:hAnsi="Times New Roman"/>
          <w:b w:val="false"/>
          <w:i/>
          <w:color w:val="000000"/>
          <w:sz w:val="22"/>
        </w:rPr>
        <w:t xml:space="preserve">Claims payment. </w:t>
      </w:r>
      <w:r>
        <w:rPr>
          <w:rFonts w:ascii="Times New Roman" w:hAnsi="Times New Roman"/>
          <w:b w:val="false"/>
          <w:i w:val="false"/>
          <w:color w:val="000000"/>
          <w:sz w:val="22"/>
        </w:rPr>
        <w:t>The claim shall be paid to the food distribution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Cash payment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with like items may be used in lieu of cash payment for losses with the approval of the program manager. Approval shall not be granted if the replacement in kind would result in further losses or if the inventory is already in excess. A claim for the loss of bonus items may not be paid through replacement in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review of claim. </w:t>
      </w:r>
      <w:r>
        <w:rPr>
          <w:rFonts w:ascii="Times New Roman" w:hAnsi="Times New Roman"/>
          <w:b w:val="false"/>
          <w:i w:val="false"/>
          <w:color w:val="000000"/>
          <w:sz w:val="22"/>
        </w:rPr>
        <w:t>An entity may request an administrative review of a claim by sending a letter requesting review of the claim and a copy of a demand letter to the administrator of the division of financial, food, and work supports within 20 days of receipt of its first demand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more information is needed, the administrator shall request the information within 5 days of receipt of the request for review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review the claim and issue a decision affirming, altering, or reversing the claim decision within 10 days of the request for the review or the receipt of additional information,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66.7(6)</w:t>
      </w:r>
      <w:r>
        <w:rPr>
          <w:rFonts w:ascii="Times New Roman" w:hAnsi="Times New Roman"/>
          <w:b w:val="false"/>
          <w:i w:val="false"/>
          <w:color w:val="000000"/>
          <w:sz w:val="22"/>
        </w:rPr>
        <w:t> </w:t>
      </w:r>
      <w:r>
        <w:rPr>
          <w:rFonts w:ascii="Times New Roman" w:hAnsi="Times New Roman"/>
          <w:b w:val="false"/>
          <w:i/>
          <w:color w:val="000000"/>
          <w:sz w:val="22"/>
        </w:rPr>
        <w:t xml:space="preserve">Failure to make restitution. </w:t>
      </w:r>
      <w:r>
        <w:rPr>
          <w:rFonts w:ascii="Times New Roman" w:hAnsi="Times New Roman"/>
          <w:b w:val="false"/>
          <w:i w:val="false"/>
          <w:color w:val="000000"/>
          <w:sz w:val="22"/>
        </w:rPr>
        <w:t>Failure to make restitution when requested is cause for cancellation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66.7(7)</w:t>
      </w:r>
      <w:r>
        <w:rPr>
          <w:rFonts w:ascii="Times New Roman" w:hAnsi="Times New Roman"/>
          <w:b w:val="false"/>
          <w:i w:val="false"/>
          <w:color w:val="000000"/>
          <w:sz w:val="22"/>
        </w:rPr>
        <w:t> </w:t>
      </w:r>
      <w:r>
        <w:rPr>
          <w:rFonts w:ascii="Times New Roman" w:hAnsi="Times New Roman"/>
          <w:b w:val="false"/>
          <w:i/>
          <w:color w:val="000000"/>
          <w:sz w:val="22"/>
        </w:rPr>
        <w:t xml:space="preserve">Referral for violation of federal or state statute. </w:t>
      </w:r>
      <w:r>
        <w:rPr>
          <w:rFonts w:ascii="Times New Roman" w:hAnsi="Times New Roman"/>
          <w:b w:val="false"/>
          <w:i w:val="false"/>
          <w:color w:val="000000"/>
          <w:sz w:val="22"/>
        </w:rPr>
        <w:t>In instances of suspected violation of federal or state statute such as, but not limited to, embezzlement, misapplication, theft or fraud of any funds or commodities from the program, the department shall refer the case to the FNS.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6559C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441—66.8</w:t>
      </w:r>
      <w:r>
        <w:rPr>
          <w:rFonts w:ascii="Times New Roman" w:hAnsi="Times New Roman"/>
          <w:b/>
          <w:i w:val="false"/>
          <w:color w:val="000000"/>
          <w:sz w:val="22"/>
        </w:rPr>
        <w:t xml:space="preserve">(234) </w:t>
      </w:r>
      <w:r>
        <w:rPr>
          <w:rFonts w:ascii="Times New Roman" w:hAnsi="Times New Roman"/>
          <w:b/>
          <w:i w:val="false"/>
          <w:color w:val="000000"/>
          <w:sz w:val="22"/>
        </w:rPr>
        <w:t xml:space="preserve">State monitoring. </w:t>
      </w:r>
      <w:r>
        <w:rPr>
          <w:rFonts w:ascii="Times New Roman" w:hAnsi="Times New Roman"/>
          <w:b w:val="false"/>
          <w:i w:val="false"/>
          <w:color w:val="000000"/>
          <w:sz w:val="22"/>
        </w:rPr>
        <w:t>The department shall annually review at least 25 percent of the TEFAP contractors and 10 percent of other eligible recipient agencies receiving commodities as subcontractors or 20 agencies, whichever is fewer. The department shall not contract with another entity to carry out these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66.8(1)</w:t>
      </w:r>
      <w:r>
        <w:rPr>
          <w:rFonts w:ascii="Times New Roman" w:hAnsi="Times New Roman"/>
          <w:b w:val="false"/>
          <w:i w:val="false"/>
          <w:color w:val="000000"/>
          <w:sz w:val="22"/>
        </w:rPr>
        <w:t> </w:t>
      </w:r>
      <w:r>
        <w:rPr>
          <w:rFonts w:ascii="Times New Roman" w:hAnsi="Times New Roman"/>
          <w:b w:val="false"/>
          <w:i/>
          <w:color w:val="000000"/>
          <w:sz w:val="22"/>
        </w:rPr>
        <w:t xml:space="preserve">Elements of review. </w:t>
      </w:r>
      <w:r>
        <w:rPr>
          <w:rFonts w:ascii="Times New Roman" w:hAnsi="Times New Roman"/>
          <w:b w:val="false"/>
          <w:i w:val="false"/>
          <w:color w:val="000000"/>
          <w:sz w:val="22"/>
        </w:rPr>
        <w:t>Reviews of contractors and subcontractors shall include a review of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 ordering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and warehousing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Inventory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Approval of distribution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Record-keeping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Civil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66.8(2)</w:t>
      </w:r>
      <w:r>
        <w:rPr>
          <w:rFonts w:ascii="Times New Roman" w:hAnsi="Times New Roman"/>
          <w:b w:val="false"/>
          <w:i w:val="false"/>
          <w:color w:val="000000"/>
          <w:sz w:val="22"/>
        </w:rPr>
        <w:t> </w:t>
      </w:r>
      <w:r>
        <w:rPr>
          <w:rFonts w:ascii="Times New Roman" w:hAnsi="Times New Roman"/>
          <w:b w:val="false"/>
          <w:i/>
          <w:color w:val="000000"/>
          <w:sz w:val="22"/>
        </w:rPr>
        <w:t xml:space="preserve">Report of findings. </w:t>
      </w:r>
      <w:r>
        <w:rPr>
          <w:rFonts w:ascii="Times New Roman" w:hAnsi="Times New Roman"/>
          <w:b w:val="false"/>
          <w:i w:val="false"/>
          <w:color w:val="000000"/>
          <w:sz w:val="22"/>
        </w:rPr>
        <w:t>When a review of a contractor or subcontractor is completed, the department shall submit a report of findings to the agency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each deficiency found and contributing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requirements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timetable for establishing and completing a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66.8(3)</w:t>
      </w:r>
      <w:r>
        <w:rPr>
          <w:rFonts w:ascii="Times New Roman" w:hAnsi="Times New Roman"/>
          <w:b w:val="false"/>
          <w:i w:val="false"/>
          <w:color w:val="000000"/>
          <w:sz w:val="22"/>
        </w:rPr>
        <w:t> </w:t>
      </w:r>
      <w:r>
        <w:rPr>
          <w:rFonts w:ascii="Times New Roman" w:hAnsi="Times New Roman"/>
          <w:b w:val="false"/>
          <w:i/>
          <w:color w:val="000000"/>
          <w:sz w:val="22"/>
        </w:rPr>
        <w:t xml:space="preserve">Monitoring of corrective action. </w:t>
      </w:r>
      <w:r>
        <w:rPr>
          <w:rFonts w:ascii="Times New Roman" w:hAnsi="Times New Roman"/>
          <w:b w:val="false"/>
          <w:i w:val="false"/>
          <w:color w:val="000000"/>
          <w:sz w:val="22"/>
        </w:rPr>
        <w:t>The department shall monitor the corrective action activities of each contractor or subcontractor that has a corrective action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6559C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441—66.9</w:t>
      </w:r>
      <w:r>
        <w:rPr>
          <w:rFonts w:ascii="Times New Roman" w:hAnsi="Times New Roman"/>
          <w:b/>
          <w:i w:val="false"/>
          <w:color w:val="000000"/>
          <w:sz w:val="22"/>
        </w:rPr>
        <w:t xml:space="preserve">(234) </w:t>
      </w:r>
      <w:r>
        <w:rPr>
          <w:rFonts w:ascii="Times New Roman" w:hAnsi="Times New Roman"/>
          <w:b/>
          <w:i w:val="false"/>
          <w:color w:val="000000"/>
          <w:sz w:val="22"/>
        </w:rPr>
        <w:t xml:space="preserve">Limits on unrelated activities. </w:t>
      </w:r>
      <w:r>
        <w:rPr>
          <w:rFonts w:ascii="Times New Roman" w:hAnsi="Times New Roman"/>
          <w:b w:val="false"/>
          <w:i w:val="false"/>
          <w:color w:val="000000"/>
          <w:sz w:val="22"/>
        </w:rPr>
        <w:t xml:space="preserve">Contractors and subcontractors shall ensure that activities unrelated to the distribution of foods are conducted in a manner consistent with the limits in subrule </w:t>
      </w:r>
      <w:hyperlink r:id="rId15">
        <w:r>
          <w:rPr>
            <w:rStyle w:val="Hyperlink"/>
            <w:rFonts w:ascii="Times New Roman" w:hAnsi="Times New Roman"/>
            <w:b w:val="false"/>
            <w:i w:val="false"/>
            <w:color w:val="000000"/>
            <w:sz w:val="22"/>
          </w:rPr>
          <w:t>66.9(1)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66.9(1)</w:t>
      </w:r>
      <w:r>
        <w:rPr>
          <w:rFonts w:ascii="Times New Roman" w:hAnsi="Times New Roman"/>
          <w:b w:val="false"/>
          <w:i w:val="false"/>
          <w:color w:val="000000"/>
          <w:sz w:val="22"/>
        </w:rPr>
        <w:t> </w:t>
      </w:r>
      <w:r>
        <w:rPr>
          <w:rFonts w:ascii="Times New Roman" w:hAnsi="Times New Roman"/>
          <w:b w:val="false"/>
          <w:i/>
          <w:color w:val="000000"/>
          <w:sz w:val="22"/>
        </w:rPr>
        <w:t xml:space="preserve">Allowable activities. </w:t>
      </w:r>
      <w:r>
        <w:rPr>
          <w:rFonts w:ascii="Times New Roman" w:hAnsi="Times New Roman"/>
          <w:b w:val="false"/>
          <w:i w:val="false"/>
          <w:color w:val="000000"/>
          <w:sz w:val="22"/>
        </w:rPr>
        <w:t>Activities unrelated to the distribution of foods may be conducted at distribution sites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 part of commodity distribution. </w:t>
      </w:r>
      <w:r>
        <w:rPr>
          <w:rFonts w:ascii="Times New Roman" w:hAnsi="Times New Roman"/>
          <w:b w:val="false"/>
          <w:i w:val="false"/>
          <w:color w:val="000000"/>
          <w:sz w:val="22"/>
        </w:rPr>
        <w:t>The persons conducting the activity shall make clear to commodity recipients that the activity is not part of commodity distribution and is not endorsed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Impermissible activities include, but are not limited to, information not related to commodity distribution placed in or printed on bags, boxes, or other containers in which commodities are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Recipes or information about commodities, dates of future distributions, hours of operations, or other federal, state, or local government programs or services for the needy may be distributed without a clarification that the information is not endorsed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Cooperation not required for receipt of commodities. </w:t>
      </w:r>
      <w:r>
        <w:rPr>
          <w:rFonts w:ascii="Times New Roman" w:hAnsi="Times New Roman"/>
          <w:b w:val="false"/>
          <w:i w:val="false"/>
          <w:color w:val="000000"/>
          <w:sz w:val="22"/>
        </w:rPr>
        <w:t>The persons conducting the activity shall make clear to commodity recipients that cooperation is not a condition of the receipt of the commodities. Cooperation includes, but is not limited to, contributing money, signing petitions, or conversing with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Does not disrupt or interfere with the distribution of commodities. </w:t>
      </w:r>
      <w:r>
        <w:rPr>
          <w:rFonts w:ascii="Times New Roman" w:hAnsi="Times New Roman"/>
          <w:b w:val="false"/>
          <w:i w:val="false"/>
          <w:color w:val="000000"/>
          <w:sz w:val="22"/>
        </w:rPr>
        <w:t>The activity shall not be conducted in a manner that disrupts the distribution of the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66.9(2)</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contract. </w:t>
      </w:r>
      <w:r>
        <w:rPr>
          <w:rFonts w:ascii="Times New Roman" w:hAnsi="Times New Roman"/>
          <w:b w:val="false"/>
          <w:i w:val="false"/>
          <w:color w:val="000000"/>
          <w:sz w:val="22"/>
        </w:rPr>
        <w:t xml:space="preserve">Except as provided in subrule </w:t>
      </w:r>
      <w:hyperlink r:id="rId16">
        <w:r>
          <w:rPr>
            <w:rStyle w:val="Hyperlink"/>
            <w:rFonts w:ascii="Times New Roman" w:hAnsi="Times New Roman"/>
            <w:b w:val="false"/>
            <w:i w:val="false"/>
            <w:color w:val="000000"/>
            <w:sz w:val="22"/>
          </w:rPr>
          <w:t>66.9(3)</w:t>
        </w:r>
      </w:hyperlink>
      <w:r>
        <w:rPr>
          <w:rFonts w:ascii="Times New Roman" w:hAnsi="Times New Roman"/>
          <w:b w:val="false"/>
          <w:i w:val="false"/>
          <w:color w:val="000000"/>
          <w:sz w:val="22"/>
        </w:rPr>
        <w:t xml:space="preserve">, the department shall immediately terminate from further participation in commodity distribution any contractor or subcontractor that distributes or permits distribution of materials in a manner inconsistent with the provisions of subrule </w:t>
      </w:r>
      <w:hyperlink r:id="rId17">
        <w:r>
          <w:rPr>
            <w:rStyle w:val="Hyperlink"/>
            <w:rFonts w:ascii="Times New Roman" w:hAnsi="Times New Roman"/>
            <w:b w:val="false"/>
            <w:i w:val="false"/>
            <w:color w:val="000000"/>
            <w:sz w:val="22"/>
          </w:rPr>
          <w:t>66.9(1)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66.9(3)</w:t>
      </w:r>
      <w:r>
        <w:rPr>
          <w:rFonts w:ascii="Times New Roman" w:hAnsi="Times New Roman"/>
          <w:b w:val="false"/>
          <w:i w:val="false"/>
          <w:color w:val="000000"/>
          <w:sz w:val="22"/>
        </w:rPr>
        <w:t> </w:t>
      </w:r>
      <w:r>
        <w:rPr>
          <w:rFonts w:ascii="Times New Roman" w:hAnsi="Times New Roman"/>
          <w:b w:val="false"/>
          <w:i/>
          <w:color w:val="000000"/>
          <w:sz w:val="22"/>
        </w:rPr>
        <w:t xml:space="preserve">Exception to termination of contract. </w:t>
      </w:r>
      <w:r>
        <w:rPr>
          <w:rFonts w:ascii="Times New Roman" w:hAnsi="Times New Roman"/>
          <w:b w:val="false"/>
          <w:i w:val="false"/>
          <w:color w:val="000000"/>
          <w:sz w:val="22"/>
        </w:rPr>
        <w:t>The department may withhold termination of a contract if the department cannot find another eligible recipient agency to operate the distribution in the area served by the violating organization. In these circumstances, the department shall monitor the distribution of commodities by the violating organization to ensure that no further violations occur.</w:t>
      </w:r>
    </w:p>
    <w:p>
      <w:pPr>
        <w:spacing w:before="0" w:after="0"/>
        <w:ind w:left="120"/>
        <w:jc w:val="both"/>
      </w:pPr>
      <w:r>
        <w:rPr>
          <w:rFonts w:ascii="Times New Roman" w:hAnsi="Times New Roman"/>
          <w:b/>
          <w:i w:val="false"/>
          <w:color w:val="000000"/>
          <w:sz w:val="22"/>
        </w:rPr>
        <w:t>441—66.10</w:t>
      </w:r>
      <w:r>
        <w:rPr>
          <w:rFonts w:ascii="Times New Roman" w:hAnsi="Times New Roman"/>
          <w:b/>
          <w:i w:val="false"/>
          <w:color w:val="000000"/>
          <w:sz w:val="22"/>
        </w:rPr>
        <w:t xml:space="preserve">(234)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66.10(1)</w:t>
      </w:r>
      <w:r>
        <w:rPr>
          <w:rFonts w:ascii="Times New Roman" w:hAnsi="Times New Roman"/>
          <w:b w:val="false"/>
          <w:i w:val="false"/>
          <w:color w:val="000000"/>
          <w:sz w:val="22"/>
        </w:rPr>
        <w:t> </w:t>
      </w:r>
      <w:r>
        <w:rPr>
          <w:rFonts w:ascii="Times New Roman" w:hAnsi="Times New Roman"/>
          <w:b w:val="false"/>
          <w:i/>
          <w:color w:val="000000"/>
          <w:sz w:val="22"/>
        </w:rPr>
        <w:t xml:space="preserve">Complaints regarding commodities. </w:t>
      </w:r>
      <w:r>
        <w:rPr>
          <w:rFonts w:ascii="Times New Roman" w:hAnsi="Times New Roman"/>
          <w:b w:val="false"/>
          <w:i w:val="false"/>
          <w:color w:val="000000"/>
          <w:sz w:val="22"/>
        </w:rPr>
        <w:t>Each contractor or subcontractor shall immediately advise the department in writing of any complaints regarding commodities. The contractor or subcontractor shall provide complete information pertaining to the product and reason for complaint so that the department or USDA can conduct a proper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66.10(2)</w:t>
      </w:r>
      <w:r>
        <w:rPr>
          <w:rFonts w:ascii="Times New Roman" w:hAnsi="Times New Roman"/>
          <w:b w:val="false"/>
          <w:i w:val="false"/>
          <w:color w:val="000000"/>
          <w:sz w:val="22"/>
        </w:rPr>
        <w:t> </w:t>
      </w:r>
      <w:r>
        <w:rPr>
          <w:rFonts w:ascii="Times New Roman" w:hAnsi="Times New Roman"/>
          <w:b w:val="false"/>
          <w:i/>
          <w:color w:val="000000"/>
          <w:sz w:val="22"/>
        </w:rPr>
        <w:t xml:space="preserve">Complaints regarding eligible recipient agencies. </w:t>
      </w:r>
      <w:r>
        <w:rPr>
          <w:rFonts w:ascii="Times New Roman" w:hAnsi="Times New Roman"/>
          <w:b w:val="false"/>
          <w:i w:val="false"/>
          <w:color w:val="000000"/>
          <w:sz w:val="22"/>
        </w:rPr>
        <w:t>A contractor shall promptly investigate any complaints it receives about the contractor or its subcontractors. Within ten days of receipt of the complaint, the contractor shall forward to the department a written report of the findings and the action taken. The department reserves the right to conduct an investigation if deemed necessary.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ARC 6559C</w:t>
      </w:r>
      <w:r>
        <w:rPr>
          <w:rFonts w:ascii="Times New Roman" w:hAnsi="Times New Roman"/>
          <w:b w:val="false"/>
          <w:i w:val="false"/>
          <w:color w:val="000000"/>
          <w:sz w:val="21"/>
        </w:rPr>
        <w:t xml:space="preserve"> (Notice ARC 6410C, IAB 7/13/22)</w:t>
      </w:r>
      <w:r>
        <w:rPr>
          <w:rFonts w:ascii="Times New Roman" w:hAnsi="Times New Roman"/>
          <w:b w:val="false"/>
          <w:i w:val="false"/>
          <w:color w:val="000000"/>
          <w:sz w:val="21"/>
        </w:rPr>
        <w:t>, IAB 10/5/22, effective 12/1/22]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66.1.pdf" Type="http://schemas.openxmlformats.org/officeDocument/2006/relationships/hyperlink" Id="rId5"/>
    <Relationship TargetMode="External" Target="https://www.legis.iowa.gov/docs/iac/rule/441.66.1.pdf" Type="http://schemas.openxmlformats.org/officeDocument/2006/relationships/hyperlink" Id="rId6"/>
    <Relationship TargetMode="External" Target="https://www.legis.iowa.gov/docs/iac/rule/441.66.1.pdf" Type="http://schemas.openxmlformats.org/officeDocument/2006/relationships/hyperlink" Id="rId7"/>
    <Relationship TargetMode="External" Target="https://www.legis.iowa.gov/docs/iac/rule/441.66.2.pdf" Type="http://schemas.openxmlformats.org/officeDocument/2006/relationships/hyperlink" Id="rId8"/>
    <Relationship TargetMode="External" Target="https://www.legis.iowa.gov/docs/iac/rule/441.66.5.pdf" Type="http://schemas.openxmlformats.org/officeDocument/2006/relationships/hyperlink" Id="rId9"/>
    <Relationship TargetMode="External" Target="https://www.legis.iowa.gov/docs/iac/rule/441.66.5.pdf" Type="http://schemas.openxmlformats.org/officeDocument/2006/relationships/hyperlink" Id="rId10"/>
    <Relationship TargetMode="External" Target="https://www.legis.iowa.gov/docs/iac/rule/441.66.2.pdf" Type="http://schemas.openxmlformats.org/officeDocument/2006/relationships/hyperlink" Id="rId11"/>
    <Relationship TargetMode="External" Target="https://www.legis.iowa.gov/docs/iac/rule/441.66.1.pdf" Type="http://schemas.openxmlformats.org/officeDocument/2006/relationships/hyperlink" Id="rId12"/>
    <Relationship TargetMode="External" Target="https://www.legis.iowa.gov/docs/iac/rule/441.2.15.pdf" Type="http://schemas.openxmlformats.org/officeDocument/2006/relationships/hyperlink" Id="rId13"/>
    <Relationship TargetMode="External" Target="https://www.legis.iowa.gov/docs/iac/rule/441.66.7.pdf" Type="http://schemas.openxmlformats.org/officeDocument/2006/relationships/hyperlink" Id="rId14"/>
    <Relationship TargetMode="External" Target="https://www.legis.iowa.gov/docs/iac/rule/441.66.9.pdf" Type="http://schemas.openxmlformats.org/officeDocument/2006/relationships/hyperlink" Id="rId15"/>
    <Relationship TargetMode="External" Target="https://www.legis.iowa.gov/docs/iac/rule/441.66.9.pdf" Type="http://schemas.openxmlformats.org/officeDocument/2006/relationships/hyperlink" Id="rId16"/>
    <Relationship TargetMode="External" Target="https://www.legis.iowa.gov/docs/iac/rule/441.66.9.pdf" Type="http://schemas.openxmlformats.org/officeDocument/2006/relationships/hyperlink" Id="rId17"/>
    <Relationship TargetMode="External" Target="https://www.legis.iowa.gov/docs/ico/chapter/234.12.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