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16"/>
        </w:rPr>
        <w:t>TITLE VII</w:t>
      </w:r>
    </w:p>
    <w:p>
      <w:pPr>
        <w:pBdr>
          <w:bottom w:space="3"/>
        </w:pBdr>
        <w:spacing w:before="0" w:after="0"/>
        <w:ind w:left="120"/>
        <w:jc w:val="center"/>
      </w:pPr>
      <w:r>
        <w:rPr>
          <w:rFonts w:ascii="Times New Roman" w:hAnsi="Times New Roman"/>
          <w:b w:val="false"/>
          <w:i/>
          <w:color w:val="000000"/>
          <w:sz w:val="16"/>
        </w:rPr>
        <w:t>FOOD PROGRAMS</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65</w:t>
      </w:r>
    </w:p>
    <w:p>
      <w:pPr>
        <w:spacing w:before="0" w:after="0"/>
        <w:ind w:left="120"/>
        <w:jc w:val="center"/>
      </w:pPr>
      <w:r>
        <w:rPr>
          <w:rFonts w:ascii="Times New Roman" w:hAnsi="Times New Roman"/>
          <w:b w:val="false"/>
          <w:i w:val="false"/>
          <w:color w:val="000000"/>
          <w:sz w:val="21"/>
        </w:rPr>
        <w:t xml:space="preserve"> SUPPLEMENTAL NUTRITION ASSISTANCE PROGRAM ADMINISTRATION</w:t>
      </w:r>
    </w:p>
    <w:p>
      <w:pPr>
        <w:spacing w:before="0" w:after="0"/>
        <w:ind w:left="120"/>
        <w:jc w:val="center"/>
      </w:pPr>
      <w:r>
        <w:rPr>
          <w:rFonts w:ascii="Times New Roman" w:hAnsi="Times New Roman"/>
          <w:b w:val="false"/>
          <w:i w:val="false"/>
          <w:color w:val="000000"/>
          <w:sz w:val="14"/>
        </w:rPr>
        <w:t>[Prior to 7/1/83, Social Services[770] Ch 65]</w:t>
      </w:r>
    </w:p>
    <w:p>
      <w:pPr>
        <w:spacing w:before="0" w:after="0"/>
        <w:ind w:left="120"/>
        <w:jc w:val="center"/>
      </w:pPr>
      <w:r>
        <w:rPr>
          <w:rFonts w:ascii="Times New Roman" w:hAnsi="Times New Roman"/>
          <w:b w:val="false"/>
          <w:i w:val="false"/>
          <w:color w:val="000000"/>
          <w:sz w:val="14"/>
        </w:rPr>
        <w:t>[Prior to 2/11/87, Human Services[498]]</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PREAMBLE</w:t>
      </w:r>
    </w:p>
    <w:p>
      <w:pPr>
        <w:spacing w:before="0" w:after="0"/>
        <w:ind w:left="120"/>
        <w:jc w:val="left"/>
      </w:pPr>
      <w:r>
        <w:rPr>
          <w:rFonts w:ascii="Times New Roman" w:hAnsi="Times New Roman"/>
          <w:b w:val="false"/>
          <w:i w:val="false"/>
          <w:color w:val="000000"/>
          <w:sz w:val="22"/>
        </w:rPr>
        <w:t>The basis for the Supplemental Nutrition Assistance Program (SNAP) is as provided in Title 7 of the Code of Federal Regulations. The purpose of this chapter is to provide for adoption of new and amended federal regulations as they are published, to establish a legal basis for Iowa’s choice of administrative options when administrative options are given to the state in federal regulations, to implement the policy changes that the United States Department of Agriculture (USDA) directs states to implement that are required by law but are not yet included in federal regulations, and to implement USDA-approved demonstration projects and waivers of federal regulations.</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6558C</w:t>
      </w:r>
      <w:r>
        <w:rPr>
          <w:rFonts w:ascii="Times New Roman" w:hAnsi="Times New Roman"/>
          <w:b w:val="false"/>
          <w:i w:val="false"/>
          <w:color w:val="000000"/>
          <w:sz w:val="16"/>
        </w:rPr>
        <w:t>, IAB 10/5/22, effective 12/1/22</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I</w:t>
      </w:r>
    </w:p>
    <w:p>
      <w:pPr>
        <w:spacing w:before="0" w:after="0"/>
        <w:ind w:left="120"/>
        <w:jc w:val="both"/>
      </w:pPr>
      <w:r>
        <w:rPr>
          <w:rFonts w:ascii="Times New Roman" w:hAnsi="Times New Roman"/>
          <w:b/>
          <w:i w:val="false"/>
          <w:color w:val="000000"/>
          <w:sz w:val="22"/>
        </w:rPr>
        <w:t>441—65.1</w:t>
      </w:r>
      <w:r>
        <w:rPr>
          <w:rFonts w:ascii="Times New Roman" w:hAnsi="Times New Roman"/>
          <w:b/>
          <w:i w:val="false"/>
          <w:color w:val="000000"/>
          <w:sz w:val="22"/>
        </w:rPr>
        <w:t xml:space="preserve">(234)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“Notice of expiration” </w:t>
      </w:r>
      <w:r>
        <w:rPr>
          <w:rFonts w:ascii="Times New Roman" w:hAnsi="Times New Roman"/>
          <w:b w:val="false"/>
          <w:i w:val="false"/>
          <w:color w:val="000000"/>
          <w:sz w:val="22"/>
        </w:rPr>
        <w:t>means a message printed on Form 470-2881, which is automatically issued to the household.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“Parent” </w:t>
      </w:r>
      <w:r>
        <w:rPr>
          <w:rFonts w:ascii="Times New Roman" w:hAnsi="Times New Roman"/>
          <w:b w:val="false"/>
          <w:i w:val="false"/>
          <w:color w:val="000000"/>
          <w:sz w:val="22"/>
        </w:rPr>
        <w:t>means natural, legal, or stepmother or stepfather.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“Supplemental Nutrition Assistance Program”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“SNAP” </w:t>
      </w:r>
      <w:r>
        <w:rPr>
          <w:rFonts w:ascii="Times New Roman" w:hAnsi="Times New Roman"/>
          <w:b w:val="false"/>
          <w:i w:val="false"/>
          <w:color w:val="000000"/>
          <w:sz w:val="22"/>
        </w:rPr>
        <w:t>means benefits provided by the federal program administered through 7 CFR Parts 270 through 283 as amended to May 2, 2022.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6558C</w:t>
      </w:r>
      <w:r>
        <w:rPr>
          <w:rFonts w:ascii="Times New Roman" w:hAnsi="Times New Roman"/>
          <w:b w:val="false"/>
          <w:i w:val="false"/>
          <w:color w:val="000000"/>
          <w:sz w:val="16"/>
        </w:rPr>
        <w:t>, IAB 10/5/22, effective 12/1/22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441—65.2</w:t>
      </w:r>
      <w:r>
        <w:rPr>
          <w:rFonts w:ascii="Times New Roman" w:hAnsi="Times New Roman"/>
          <w:b/>
          <w:i w:val="false"/>
          <w:color w:val="000000"/>
          <w:sz w:val="22"/>
        </w:rPr>
        <w:t xml:space="preserve">(234) </w:t>
      </w:r>
      <w:r>
        <w:rPr>
          <w:rFonts w:ascii="Times New Roman" w:hAnsi="Times New Roman"/>
          <w:b/>
          <w:i w:val="false"/>
          <w:color w:val="000000"/>
          <w:sz w:val="22"/>
        </w:rPr>
        <w:t xml:space="preserve">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65.2(1)</w:t>
      </w:r>
      <w:r>
        <w:rPr>
          <w:rFonts w:ascii="Times New Roman" w:hAnsi="Times New Roman"/>
          <w:b w:val="false"/>
          <w:i w:val="false"/>
          <w:color w:val="000000"/>
          <w:sz w:val="22"/>
        </w:rPr>
        <w:t> </w:t>
      </w:r>
      <w:r>
        <w:rPr>
          <w:rFonts w:ascii="Times New Roman" w:hAnsi="Times New Roman"/>
          <w:b w:val="false"/>
          <w:i/>
          <w:color w:val="000000"/>
          <w:sz w:val="22"/>
        </w:rPr>
        <w:t xml:space="preserve">Application filing. </w:t>
      </w:r>
      <w:r>
        <w:rPr>
          <w:rFonts w:ascii="Times New Roman" w:hAnsi="Times New Roman"/>
          <w:b w:val="false"/>
          <w:i w:val="false"/>
          <w:color w:val="000000"/>
          <w:sz w:val="22"/>
        </w:rPr>
        <w:t>Persons in need of SNAP benefits may file an application in person at any local department office in Iowa or by mail, by fax, or online.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application is filed the day a local department office receives an application for SNAP benefits that contains the applicant’s name and address and is signed by either a responsible member of the household or the household’s authorized representative. The application must be filed on Form 470-0462 or 470-0462(S). Applying through the self-service portal constitutes submission of this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an application is submitted to a closed office, it will be considered received on the first day that is not a weekend or state holiday following the day that the office was last open. An electronic application received outside of normal business hours is considered received on the first department workday following the date the department office received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an incomplete application form is submitted, the application cannot be processed until a completed form is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Households receiving SNAP benefits in Iowa may apply for continued participation by submitting Form 470-2881.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65.2(2)</w:t>
      </w:r>
      <w:r>
        <w:rPr>
          <w:rFonts w:ascii="Times New Roman" w:hAnsi="Times New Roman"/>
          <w:b w:val="false"/>
          <w:i w:val="false"/>
          <w:color w:val="000000"/>
          <w:sz w:val="22"/>
        </w:rPr>
        <w:t> </w:t>
      </w:r>
      <w:r>
        <w:rPr>
          <w:rFonts w:ascii="Times New Roman" w:hAnsi="Times New Roman"/>
          <w:b w:val="false"/>
          <w:i/>
          <w:color w:val="000000"/>
          <w:sz w:val="22"/>
        </w:rPr>
        <w:t xml:space="preserve">Failure to provide verification. </w:t>
      </w:r>
      <w:r>
        <w:rPr>
          <w:rFonts w:ascii="Times New Roman" w:hAnsi="Times New Roman"/>
          <w:b w:val="false"/>
          <w:i w:val="false"/>
          <w:color w:val="000000"/>
          <w:sz w:val="22"/>
        </w:rPr>
        <w:t>When a household files an initial application and the department requests additional verification, the applicant shall have ten days to provide the requested verification. If the applicant fails to provide the verification within ten days, the department may deny the application immediately. If the applicant provides the department with the requested verification prior to the thirtieth day from the date of application, the department shall reopen the case and provide benefits from the date of application. If the household provides the verification in the second 30 days after the date of the application, the department shall reopen the case and provide benefits from the date the verification was provided.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6558C</w:t>
      </w:r>
      <w:r>
        <w:rPr>
          <w:rFonts w:ascii="Times New Roman" w:hAnsi="Times New Roman"/>
          <w:b w:val="false"/>
          <w:i w:val="false"/>
          <w:color w:val="000000"/>
          <w:sz w:val="16"/>
        </w:rPr>
        <w:t>, IAB 10/5/22, effective 12/1/22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441—65.3</w:t>
      </w:r>
      <w:r>
        <w:rPr>
          <w:rFonts w:ascii="Times New Roman" w:hAnsi="Times New Roman"/>
          <w:b/>
          <w:i w:val="false"/>
          <w:color w:val="000000"/>
          <w:sz w:val="22"/>
        </w:rPr>
        <w:t xml:space="preserve">(234) </w:t>
      </w:r>
      <w:r>
        <w:rPr>
          <w:rFonts w:ascii="Times New Roman" w:hAnsi="Times New Roman"/>
          <w:b/>
          <w:i w:val="false"/>
          <w:color w:val="000000"/>
          <w:sz w:val="22"/>
        </w:rPr>
        <w:t xml:space="preserve">Administration of program. </w:t>
      </w:r>
      <w:r>
        <w:rPr>
          <w:rFonts w:ascii="Times New Roman" w:hAnsi="Times New Roman"/>
          <w:b w:val="false"/>
          <w:i w:val="false"/>
          <w:color w:val="000000"/>
          <w:sz w:val="22"/>
        </w:rPr>
        <w:t xml:space="preserve">SNAP shall be administered in accordance with the Food and Nutrition Act of 2008, </w:t>
      </w:r>
      <w:r>
        <w:rPr>
          <w:rFonts w:ascii="Times New Roman" w:hAnsi="Times New Roman"/>
          <w:b w:val="false"/>
          <w:i w:val="false"/>
          <w:color w:val="000000"/>
          <w:sz w:val="22"/>
        </w:rPr>
        <w:t>7 U.S.C. 2011 et seq.</w:t>
      </w:r>
      <w:r>
        <w:rPr>
          <w:rFonts w:ascii="Times New Roman" w:hAnsi="Times New Roman"/>
          <w:b w:val="false"/>
          <w:i w:val="false"/>
          <w:color w:val="000000"/>
          <w:sz w:val="22"/>
        </w:rPr>
        <w:t>, and in accordance with 7 CFR Parts 270 through 283 as amended to May 2, 2022. A copy of the federal law and regulations may be obtained at no more than the actual cost of reproduction by contacting the Division of Financial, Food, and Work Supports, Department of Human Services, Hoover State Office Building, 1305 East Walnut Street, Des Moines, Iowa 50319-0114.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6558C</w:t>
      </w:r>
      <w:r>
        <w:rPr>
          <w:rFonts w:ascii="Times New Roman" w:hAnsi="Times New Roman"/>
          <w:b w:val="false"/>
          <w:i w:val="false"/>
          <w:color w:val="000000"/>
          <w:sz w:val="16"/>
        </w:rPr>
        <w:t>, IAB 10/5/22, effective 12/1/22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441—65.4</w:t>
      </w:r>
      <w:r>
        <w:rPr>
          <w:rFonts w:ascii="Times New Roman" w:hAnsi="Times New Roman"/>
          <w:b/>
          <w:i w:val="false"/>
          <w:color w:val="000000"/>
          <w:sz w:val="22"/>
        </w:rPr>
        <w:t xml:space="preserve">(234) </w:t>
      </w:r>
      <w:r>
        <w:rPr>
          <w:rFonts w:ascii="Times New Roman" w:hAnsi="Times New Roman"/>
          <w:b/>
          <w:i w:val="false"/>
          <w:color w:val="000000"/>
          <w:sz w:val="22"/>
        </w:rPr>
        <w:t xml:space="preserve">Issuance. </w:t>
      </w:r>
      <w:r>
        <w:rPr>
          <w:rFonts w:ascii="Times New Roman" w:hAnsi="Times New Roman"/>
          <w:b w:val="false"/>
          <w:i w:val="false"/>
          <w:color w:val="000000"/>
          <w:sz w:val="22"/>
        </w:rPr>
        <w:t>The department shall issue SNAP benefits by electronic benefit transfer (EBT) cards.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65.4(1)</w:t>
      </w:r>
      <w:r>
        <w:rPr>
          <w:rFonts w:ascii="Times New Roman" w:hAnsi="Times New Roman"/>
          <w:b w:val="false"/>
          <w:i w:val="false"/>
          <w:color w:val="000000"/>
          <w:sz w:val="22"/>
        </w:rPr>
        <w:t> </w:t>
      </w:r>
      <w:r>
        <w:rPr>
          <w:rFonts w:ascii="Times New Roman" w:hAnsi="Times New Roman"/>
          <w:b w:val="false"/>
          <w:i/>
          <w:color w:val="000000"/>
          <w:sz w:val="22"/>
        </w:rPr>
        <w:t xml:space="preserve">Schedule. </w:t>
      </w:r>
      <w:r>
        <w:rPr>
          <w:rFonts w:ascii="Times New Roman" w:hAnsi="Times New Roman"/>
          <w:b w:val="false"/>
          <w:i w:val="false"/>
          <w:color w:val="000000"/>
          <w:sz w:val="22"/>
        </w:rPr>
        <w:t>Benefits for ongoing certifications shall be made available to households on a staggered basis during the first ten calendar days of each month.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65.4(2)</w:t>
      </w:r>
      <w:r>
        <w:rPr>
          <w:rFonts w:ascii="Times New Roman" w:hAnsi="Times New Roman"/>
          <w:b w:val="false"/>
          <w:i w:val="false"/>
          <w:color w:val="000000"/>
          <w:sz w:val="22"/>
        </w:rPr>
        <w:t> </w:t>
      </w:r>
      <w:r>
        <w:rPr>
          <w:rFonts w:ascii="Times New Roman" w:hAnsi="Times New Roman"/>
          <w:b w:val="false"/>
          <w:i/>
          <w:color w:val="000000"/>
          <w:sz w:val="22"/>
        </w:rPr>
        <w:t xml:space="preserve">EBT cards. </w:t>
      </w:r>
      <w:r>
        <w:rPr>
          <w:rFonts w:ascii="Times New Roman" w:hAnsi="Times New Roman"/>
          <w:b w:val="false"/>
          <w:i w:val="false"/>
          <w:color w:val="000000"/>
          <w:sz w:val="22"/>
        </w:rPr>
        <w:t>EBT cards shall be mailed to recipients except in the event of a disaster. In the event of a disaster, disaster EBT cards will be distributed through the local office.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8500B</w:t>
      </w:r>
      <w:r>
        <w:rPr>
          <w:rFonts w:ascii="Times New Roman" w:hAnsi="Times New Roman"/>
          <w:b w:val="false"/>
          <w:i w:val="false"/>
          <w:color w:val="000000"/>
          <w:sz w:val="16"/>
        </w:rPr>
        <w:t>, IAB 2/10/10, effective 3/1/10</w:t>
      </w:r>
      <w:r>
        <w:rPr>
          <w:rFonts w:ascii="Times New Roman" w:hAnsi="Times New Roman"/>
          <w:b w:val="false"/>
          <w:i w:val="false"/>
          <w:color w:val="000000"/>
          <w:sz w:val="16"/>
        </w:rPr>
        <w:t xml:space="preserve">; </w:t>
      </w:r>
      <w:r>
        <w:rPr>
          <w:rFonts w:ascii="Times New Roman" w:hAnsi="Times New Roman"/>
          <w:b/>
          <w:i w:val="false"/>
          <w:color w:val="000000"/>
          <w:sz w:val="16"/>
        </w:rPr>
        <w:t>ARC 4573C</w:t>
      </w:r>
      <w:r>
        <w:rPr>
          <w:rFonts w:ascii="Times New Roman" w:hAnsi="Times New Roman"/>
          <w:b w:val="false"/>
          <w:i w:val="false"/>
          <w:color w:val="000000"/>
          <w:sz w:val="16"/>
        </w:rPr>
        <w:t>, IAB 7/31/19, effective 9/4/19</w:t>
      </w:r>
      <w:r>
        <w:rPr>
          <w:rFonts w:ascii="Times New Roman" w:hAnsi="Times New Roman"/>
          <w:b w:val="false"/>
          <w:i w:val="false"/>
          <w:color w:val="000000"/>
          <w:sz w:val="16"/>
        </w:rPr>
        <w:t xml:space="preserve">; </w:t>
      </w:r>
      <w:r>
        <w:rPr>
          <w:rFonts w:ascii="Times New Roman" w:hAnsi="Times New Roman"/>
          <w:b/>
          <w:i w:val="false"/>
          <w:color w:val="000000"/>
          <w:sz w:val="16"/>
        </w:rPr>
        <w:t>ARC 6558C</w:t>
      </w:r>
      <w:r>
        <w:rPr>
          <w:rFonts w:ascii="Times New Roman" w:hAnsi="Times New Roman"/>
          <w:b w:val="false"/>
          <w:i w:val="false"/>
          <w:color w:val="000000"/>
          <w:sz w:val="16"/>
        </w:rPr>
        <w:t>, IAB 10/5/22, effective 12/1/22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441—65.5</w:t>
      </w:r>
      <w:r>
        <w:rPr>
          <w:rFonts w:ascii="Times New Roman" w:hAnsi="Times New Roman"/>
          <w:b/>
          <w:i w:val="false"/>
          <w:color w:val="000000"/>
          <w:sz w:val="22"/>
        </w:rPr>
        <w:t xml:space="preserve">(234) </w:t>
      </w:r>
      <w:r>
        <w:rPr>
          <w:rFonts w:ascii="Times New Roman" w:hAnsi="Times New Roman"/>
          <w:b/>
          <w:i w:val="false"/>
          <w:color w:val="000000"/>
          <w:sz w:val="22"/>
        </w:rPr>
        <w:t xml:space="preserve">Simplified reporting.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65.5(1)</w:t>
      </w:r>
      <w:r>
        <w:rPr>
          <w:rFonts w:ascii="Times New Roman" w:hAnsi="Times New Roman"/>
          <w:b w:val="false"/>
          <w:i w:val="false"/>
          <w:color w:val="000000"/>
          <w:sz w:val="22"/>
        </w:rPr>
        <w:t> </w:t>
      </w:r>
      <w:r>
        <w:rPr>
          <w:rFonts w:ascii="Times New Roman" w:hAnsi="Times New Roman"/>
          <w:b w:val="false"/>
          <w:i/>
          <w:color w:val="000000"/>
          <w:sz w:val="22"/>
        </w:rPr>
        <w:t xml:space="preserve">Identification. </w:t>
      </w:r>
      <w:r>
        <w:rPr>
          <w:rFonts w:ascii="Times New Roman" w:hAnsi="Times New Roman"/>
          <w:b w:val="false"/>
          <w:i w:val="false"/>
          <w:color w:val="000000"/>
          <w:sz w:val="22"/>
        </w:rPr>
        <w:t>All households are subject to simplified reporting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65.5(2)</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eligibility and benefits. </w:t>
      </w:r>
      <w:r>
        <w:rPr>
          <w:rFonts w:ascii="Times New Roman" w:hAnsi="Times New Roman"/>
          <w:b w:val="false"/>
          <w:i w:val="false"/>
          <w:color w:val="000000"/>
          <w:sz w:val="22"/>
        </w:rPr>
        <w:t>Eligibility and benefits for simplified reporting households shall be determined on the basis of the household’s prospective income and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65.5(3)</w:t>
      </w:r>
      <w:r>
        <w:rPr>
          <w:rFonts w:ascii="Times New Roman" w:hAnsi="Times New Roman"/>
          <w:b w:val="false"/>
          <w:i w:val="false"/>
          <w:color w:val="000000"/>
          <w:sz w:val="22"/>
        </w:rPr>
        <w:t> </w:t>
      </w:r>
      <w:r>
        <w:rPr>
          <w:rFonts w:ascii="Times New Roman" w:hAnsi="Times New Roman"/>
          <w:b w:val="false"/>
          <w:i/>
          <w:color w:val="000000"/>
          <w:sz w:val="22"/>
        </w:rPr>
        <w:t xml:space="preserve">Certification periods. </w:t>
      </w:r>
      <w:r>
        <w:rPr>
          <w:rFonts w:ascii="Times New Roman" w:hAnsi="Times New Roman"/>
          <w:b w:val="false"/>
          <w:i w:val="false"/>
          <w:color w:val="000000"/>
          <w:sz w:val="22"/>
        </w:rPr>
        <w:t>Households shall be certified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Households that have no earned income and in which all adult members are elderly or disabled shall be assigned certification periods of 12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other households shall be assigned certification periods of six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Exceptions: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household that has unstable circumstances or that includes an able-bodied adult without dependents shall be assigned a shorter certification period consistent with the household’s circumstances, but no less than four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shorter certification period may be assigned at application or recertification to match the SNAP recertification date to the family investment program (FIP) or medical assistance annual review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65.5(4)</w:t>
      </w:r>
      <w:r>
        <w:rPr>
          <w:rFonts w:ascii="Times New Roman" w:hAnsi="Times New Roman"/>
          <w:b w:val="false"/>
          <w:i w:val="false"/>
          <w:color w:val="000000"/>
          <w:sz w:val="22"/>
        </w:rPr>
        <w:t> </w:t>
      </w:r>
      <w:r>
        <w:rPr>
          <w:rFonts w:ascii="Times New Roman" w:hAnsi="Times New Roman"/>
          <w:b w:val="false"/>
          <w:i/>
          <w:color w:val="000000"/>
          <w:sz w:val="22"/>
        </w:rPr>
        <w:t xml:space="preserve">Reporting responsibilities. </w:t>
      </w:r>
      <w:r>
        <w:rPr>
          <w:rFonts w:ascii="Times New Roman" w:hAnsi="Times New Roman"/>
          <w:b w:val="false"/>
          <w:i w:val="false"/>
          <w:color w:val="000000"/>
          <w:sz w:val="22"/>
        </w:rPr>
        <w:t>Simplified reporting households are required to report changes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household shall report if the household’s total gross income exceeds 130 percent of the federal poverty level for the household size. The household must report this change within ten days of the end of the month in which the income exceeds this level. A categorically eligible household that reports income over 130 percent of the federal poverty level and that remains eligible for benefits shall not be required to make any additional report of changes.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household containing an able-bodied adult without dependents shall report any change in work hours that brings that adult below 20 hours of work per week, averaged monthly. The household must report this change within ten days of the end of the month in which the change in work hours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household shall report if a member wins substantial lottery or gambling winnings. Substantial winnings are defined as a cash prize equal to or greater than the maximum allowable financial resource limit for elderly or disabled households. The household must report this change within ten days of the end of the month in which the winning occurs.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6558C</w:t>
      </w:r>
      <w:r>
        <w:rPr>
          <w:rFonts w:ascii="Times New Roman" w:hAnsi="Times New Roman"/>
          <w:b w:val="false"/>
          <w:i w:val="false"/>
          <w:color w:val="000000"/>
          <w:sz w:val="16"/>
        </w:rPr>
        <w:t>, IAB 10/5/22, effective 12/1/22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441—65.6</w:t>
      </w:r>
      <w:r>
        <w:rPr>
          <w:rFonts w:ascii="Times New Roman" w:hAnsi="Times New Roman"/>
          <w:b/>
          <w:i w:val="false"/>
          <w:color w:val="000000"/>
          <w:sz w:val="22"/>
        </w:rPr>
        <w:t xml:space="preserve">(234) </w:t>
      </w:r>
      <w:r>
        <w:rPr>
          <w:rFonts w:ascii="Times New Roman" w:hAnsi="Times New Roman"/>
          <w:b/>
          <w:i w:val="false"/>
          <w:color w:val="000000"/>
          <w:sz w:val="22"/>
        </w:rPr>
        <w:t xml:space="preserve">Delays in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65.6(1)</w:t>
      </w:r>
      <w:r>
        <w:rPr>
          <w:rFonts w:ascii="Times New Roman" w:hAnsi="Times New Roman"/>
          <w:b w:val="false"/>
          <w:i w:val="false"/>
          <w:color w:val="000000"/>
          <w:sz w:val="22"/>
        </w:rPr>
        <w:t> </w:t>
      </w:r>
      <w:r>
        <w:rPr>
          <w:rFonts w:ascii="Times New Roman" w:hAnsi="Times New Roman"/>
          <w:b w:val="false"/>
          <w:i w:val="false"/>
          <w:color w:val="000000"/>
          <w:sz w:val="22"/>
        </w:rPr>
        <w:t>When by the thirtieth day after the date of application the agency cannot take any further action on the application due to the fault of the household, the agency shall give the household an additional 30 days to take the required action. The agency shall send the household a notice of pending status on the thirtieth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65.6(2)</w:t>
      </w:r>
      <w:r>
        <w:rPr>
          <w:rFonts w:ascii="Times New Roman" w:hAnsi="Times New Roman"/>
          <w:b w:val="false"/>
          <w:i w:val="false"/>
          <w:color w:val="000000"/>
          <w:sz w:val="22"/>
        </w:rPr>
        <w:t> </w:t>
      </w:r>
      <w:r>
        <w:rPr>
          <w:rFonts w:ascii="Times New Roman" w:hAnsi="Times New Roman"/>
          <w:b w:val="false"/>
          <w:i w:val="false"/>
          <w:color w:val="000000"/>
          <w:sz w:val="22"/>
        </w:rPr>
        <w:t>When there is a delay beyond 60 days from the date of application and the agency is at fault and the application is complete enough to determine eligibility, the application shall be processed. For subsequent months of certification, the agency may require a new application form to be completed when household circumstance indicates changes have occurred or will occur.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65.6(3)</w:t>
      </w:r>
      <w:r>
        <w:rPr>
          <w:rFonts w:ascii="Times New Roman" w:hAnsi="Times New Roman"/>
          <w:b w:val="false"/>
          <w:i w:val="false"/>
          <w:color w:val="000000"/>
          <w:sz w:val="22"/>
        </w:rPr>
        <w:t> </w:t>
      </w:r>
      <w:r>
        <w:rPr>
          <w:rFonts w:ascii="Times New Roman" w:hAnsi="Times New Roman"/>
          <w:b w:val="false"/>
          <w:i w:val="false"/>
          <w:color w:val="000000"/>
          <w:sz w:val="22"/>
        </w:rPr>
        <w:t>When there is a delay beyond 60 days from the date of application and the agency is at fault and the application is not complete enough to determine eligibility, the application shall be denied. The household shall be notified to file a new application and that it may be entitled to retroactive benefits.</w:t>
      </w:r>
    </w:p>
    <w:p>
      <w:pPr>
        <w:spacing w:before="210" w:after="0"/>
        <w:ind w:left="120"/>
        <w:jc w:val="both"/>
      </w:pPr>
      <w:r>
        <w:rPr>
          <w:rFonts w:ascii="Times New Roman" w:hAnsi="Times New Roman"/>
          <w:b/>
          <w:i w:val="false"/>
          <w:color w:val="000000"/>
          <w:sz w:val="22"/>
        </w:rPr>
        <w:t>441—65.7</w:t>
      </w:r>
      <w:r>
        <w:rPr>
          <w:rFonts w:ascii="Times New Roman" w:hAnsi="Times New Roman"/>
          <w:b/>
          <w:i w:val="false"/>
          <w:color w:val="000000"/>
          <w:sz w:val="22"/>
        </w:rPr>
        <w:t xml:space="preserve">(234) </w:t>
      </w:r>
      <w:r>
        <w:rPr>
          <w:rFonts w:ascii="Times New Roman" w:hAnsi="Times New Roman"/>
          <w:b/>
          <w:i w:val="false"/>
          <w:color w:val="000000"/>
          <w:sz w:val="22"/>
        </w:rPr>
        <w:t xml:space="preserve">Expedited service.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5/2/01</w:t>
      </w:r>
      <w:r>
        <w:rPr>
          <w:rFonts w:ascii="Times New Roman" w:hAnsi="Times New Roman"/>
          <w:b w:val="false"/>
          <w:i w:val="false"/>
          <w:color w:val="000000"/>
          <w:sz w:val="22"/>
        </w:rPr>
        <w:t>, effective 6/1/01.</w:t>
      </w:r>
    </w:p>
    <w:p>
      <w:pPr>
        <w:spacing w:before="0" w:after="0"/>
        <w:ind w:left="120"/>
        <w:jc w:val="both"/>
      </w:pPr>
      <w:r>
        <w:rPr>
          <w:rFonts w:ascii="Times New Roman" w:hAnsi="Times New Roman"/>
          <w:b/>
          <w:i w:val="false"/>
          <w:color w:val="000000"/>
          <w:sz w:val="22"/>
        </w:rPr>
        <w:t>441—65.8</w:t>
      </w:r>
      <w:r>
        <w:rPr>
          <w:rFonts w:ascii="Times New Roman" w:hAnsi="Times New Roman"/>
          <w:b/>
          <w:i w:val="false"/>
          <w:color w:val="000000"/>
          <w:sz w:val="22"/>
        </w:rPr>
        <w:t xml:space="preserve">(234) </w:t>
      </w:r>
      <w:r>
        <w:rPr>
          <w:rFonts w:ascii="Times New Roman" w:hAnsi="Times New Roman"/>
          <w:b/>
          <w:i w:val="false"/>
          <w:color w:val="000000"/>
          <w:sz w:val="22"/>
        </w:rPr>
        <w:t xml:space="preserve">Deductions.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65.8(1)</w:t>
      </w:r>
      <w:r>
        <w:rPr>
          <w:rFonts w:ascii="Times New Roman" w:hAnsi="Times New Roman"/>
          <w:b w:val="false"/>
          <w:i w:val="false"/>
          <w:color w:val="000000"/>
          <w:sz w:val="22"/>
        </w:rPr>
        <w:t> </w:t>
      </w:r>
      <w:r>
        <w:rPr>
          <w:rFonts w:ascii="Times New Roman" w:hAnsi="Times New Roman"/>
          <w:b w:val="false"/>
          <w:i/>
          <w:color w:val="000000"/>
          <w:sz w:val="22"/>
        </w:rPr>
        <w:t xml:space="preserve">Standard allowance for households with heating or air-conditioning expenses. </w:t>
      </w:r>
      <w:r>
        <w:rPr>
          <w:rFonts w:ascii="Times New Roman" w:hAnsi="Times New Roman"/>
          <w:b w:val="false"/>
          <w:i w:val="false"/>
          <w:color w:val="000000"/>
          <w:sz w:val="22"/>
        </w:rPr>
        <w:t>When a household is receiving heating or air-conditioning service for which it is required to pay all or part of the expense or receives assistance under the Low-Income Home Energy Assistance Act (LIHEAA) of 1981, the heating or air-conditioning standard shall be 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standard allowance for utilities which include heating or air-conditioning costs shall change annually effective each October 1 using a methodology approved by the Food and Nutrition Service of the United States Department of Agriculture.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Effective October 1, 2021, four dollars will be subtracted from this amount to allow for cost neutrality necessary for the standard medical expense deduction.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65.8(2)</w:t>
      </w:r>
      <w:r>
        <w:rPr>
          <w:rFonts w:ascii="Times New Roman" w:hAnsi="Times New Roman"/>
          <w:b w:val="false"/>
          <w:i w:val="false"/>
          <w:color w:val="000000"/>
          <w:sz w:val="22"/>
        </w:rPr>
        <w:t> </w:t>
      </w:r>
      <w:r>
        <w:rPr>
          <w:rFonts w:ascii="Times New Roman" w:hAnsi="Times New Roman"/>
          <w:b w:val="false"/>
          <w:i/>
          <w:color w:val="000000"/>
          <w:sz w:val="22"/>
        </w:rPr>
        <w:t xml:space="preserve">Heating expense. </w:t>
      </w:r>
      <w:r>
        <w:rPr>
          <w:rFonts w:ascii="Times New Roman" w:hAnsi="Times New Roman"/>
          <w:b w:val="false"/>
          <w:i w:val="false"/>
          <w:color w:val="000000"/>
          <w:sz w:val="22"/>
        </w:rPr>
        <w:t>Heating expense is the cost of fuel for the primary heating service normally used by the household.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65.8(3)</w:t>
      </w:r>
      <w:r>
        <w:rPr>
          <w:rFonts w:ascii="Times New Roman" w:hAnsi="Times New Roman"/>
          <w:b w:val="false"/>
          <w:i w:val="false"/>
          <w:color w:val="000000"/>
          <w:sz w:val="22"/>
        </w:rPr>
        <w:t> </w:t>
      </w:r>
      <w:r>
        <w:rPr>
          <w:rFonts w:ascii="Times New Roman" w:hAnsi="Times New Roman"/>
          <w:b w:val="false"/>
          <w:i/>
          <w:color w:val="000000"/>
          <w:sz w:val="22"/>
        </w:rPr>
        <w:t xml:space="preserve">Telephone standard. </w:t>
      </w:r>
      <w:r>
        <w:rPr>
          <w:rFonts w:ascii="Times New Roman" w:hAnsi="Times New Roman"/>
          <w:b w:val="false"/>
          <w:i w:val="false"/>
          <w:color w:val="000000"/>
          <w:sz w:val="22"/>
        </w:rPr>
        <w:t xml:space="preserve">When a household is receiving a standard utility allowance under subrule </w:t>
      </w:r>
      <w:hyperlink r:id="rId5">
        <w:r>
          <w:rPr>
            <w:rStyle w:val="Hyperlink"/>
            <w:rFonts w:ascii="Times New Roman" w:hAnsi="Times New Roman"/>
            <w:b w:val="false"/>
            <w:i w:val="false"/>
            <w:color w:val="000000"/>
            <w:sz w:val="22"/>
          </w:rPr>
          <w:t>65.8(1)</w:t>
        </w:r>
      </w:hyperlink>
      <w:r>
        <w:rPr>
          <w:rFonts w:ascii="Times New Roman" w:hAnsi="Times New Roman"/>
          <w:b w:val="false"/>
          <w:i w:val="false"/>
          <w:color w:val="000000"/>
          <w:sz w:val="22"/>
        </w:rPr>
        <w:t xml:space="preserve"> or </w:t>
      </w:r>
      <w:hyperlink r:id="rId6">
        <w:r>
          <w:rPr>
            <w:rStyle w:val="Hyperlink"/>
            <w:rFonts w:ascii="Times New Roman" w:hAnsi="Times New Roman"/>
            <w:b w:val="false"/>
            <w:i w:val="false"/>
            <w:color w:val="000000"/>
            <w:sz w:val="22"/>
          </w:rPr>
          <w:t>65.8(5)</w:t>
        </w:r>
      </w:hyperlink>
      <w:r>
        <w:rPr>
          <w:rFonts w:ascii="Times New Roman" w:hAnsi="Times New Roman"/>
          <w:b w:val="false"/>
          <w:i w:val="false"/>
          <w:color w:val="000000"/>
          <w:sz w:val="22"/>
        </w:rPr>
        <w:t xml:space="preserve"> or is solely responsible for telephone expenses, a standard allowance shall be allowed. This allowance shall change annually effective each October 1 using a methodology approved by the Food and Nutrition Service of the United States Department of Agriculture.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65.8(4)</w:t>
      </w:r>
      <w:r>
        <w:rPr>
          <w:rFonts w:ascii="Times New Roman" w:hAnsi="Times New Roman"/>
          <w:b w:val="false"/>
          <w:i w:val="false"/>
          <w:color w:val="000000"/>
          <w:sz w:val="22"/>
        </w:rPr>
        <w:t> </w:t>
      </w:r>
      <w:r>
        <w:rPr>
          <w:rFonts w:ascii="Times New Roman" w:hAnsi="Times New Roman"/>
          <w:b w:val="false"/>
          <w:i/>
          <w:color w:val="000000"/>
          <w:sz w:val="22"/>
        </w:rPr>
        <w:t xml:space="preserve">Energy assistance payments. </w:t>
      </w:r>
      <w:r>
        <w:rPr>
          <w:rFonts w:ascii="Times New Roman" w:hAnsi="Times New Roman"/>
          <w:b w:val="false"/>
          <w:i w:val="false"/>
          <w:color w:val="000000"/>
          <w:sz w:val="22"/>
        </w:rPr>
        <w:t>For purposes of prorating the low income energy assistance payments to determine if households have incurred out-of-pocket expenses for utilities, the heating period shall consist of the months from October through March.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65.8(5)</w:t>
      </w:r>
      <w:r>
        <w:rPr>
          <w:rFonts w:ascii="Times New Roman" w:hAnsi="Times New Roman"/>
          <w:b w:val="false"/>
          <w:i w:val="false"/>
          <w:color w:val="000000"/>
          <w:sz w:val="22"/>
        </w:rPr>
        <w:t> </w:t>
      </w:r>
      <w:r>
        <w:rPr>
          <w:rFonts w:ascii="Times New Roman" w:hAnsi="Times New Roman"/>
          <w:b w:val="false"/>
          <w:i/>
          <w:color w:val="000000"/>
          <w:sz w:val="22"/>
        </w:rPr>
        <w:t xml:space="preserve">Standard allowance for households without heating or air-conditioning expenses. </w:t>
      </w:r>
      <w:r>
        <w:rPr>
          <w:rFonts w:ascii="Times New Roman" w:hAnsi="Times New Roman"/>
          <w:b w:val="false"/>
          <w:i w:val="false"/>
          <w:color w:val="000000"/>
          <w:sz w:val="22"/>
        </w:rPr>
        <w:t>When a household is receiving some utility service other than heating or air-conditioning for which it is responsible to pay all or part of the expense, the nonheating or air-conditioning standard shall be allowed. These utility expenses cannot be solely for telephone.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This allowance shall change annually effective each October 1 using a methodology approved by the Food and Nutrition Service of the United States Department of Agriculture.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Effective October 1, 2021, four dollars will be subtracted from this amount to allow for cost neutrality necessary for the standard medical expense deduction.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65.8(6)</w:t>
      </w:r>
      <w:r>
        <w:rPr>
          <w:rFonts w:ascii="Times New Roman" w:hAnsi="Times New Roman"/>
          <w:b w:val="false"/>
          <w:i w:val="false"/>
          <w:color w:val="000000"/>
          <w:sz w:val="22"/>
        </w:rPr>
        <w:t> </w:t>
      </w:r>
      <w:r>
        <w:rPr>
          <w:rFonts w:ascii="Times New Roman" w:hAnsi="Times New Roman"/>
          <w:b w:val="false"/>
          <w:i/>
          <w:color w:val="000000"/>
          <w:sz w:val="22"/>
        </w:rPr>
        <w:t xml:space="preserve">Excluded payments. </w:t>
      </w:r>
      <w:r>
        <w:rPr>
          <w:rFonts w:ascii="Times New Roman" w:hAnsi="Times New Roman"/>
          <w:b w:val="false"/>
          <w:i w:val="false"/>
          <w:color w:val="000000"/>
          <w:sz w:val="22"/>
        </w:rPr>
        <w:t>A utility expense which is reimbursed or paid by an excluded payment, including HUD or FmHA utility reimbursements, shall not be deductible.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65.8(7)</w:t>
      </w:r>
      <w:r>
        <w:rPr>
          <w:rFonts w:ascii="Times New Roman" w:hAnsi="Times New Roman"/>
          <w:b w:val="false"/>
          <w:i w:val="false"/>
          <w:color w:val="000000"/>
          <w:sz w:val="22"/>
        </w:rPr>
        <w:t> </w:t>
      </w:r>
      <w:r>
        <w:rPr>
          <w:rFonts w:ascii="Times New Roman" w:hAnsi="Times New Roman"/>
          <w:b w:val="false"/>
          <w:i/>
          <w:color w:val="000000"/>
          <w:sz w:val="22"/>
        </w:rPr>
        <w:t xml:space="preserve">Excess medical expense deduction. </w:t>
      </w:r>
      <w:r>
        <w:rPr>
          <w:rFonts w:ascii="Times New Roman" w:hAnsi="Times New Roman"/>
          <w:b w:val="false"/>
          <w:i w:val="false"/>
          <w:color w:val="000000"/>
          <w:sz w:val="22"/>
        </w:rPr>
        <w:t>Notwithstanding anything to the contrary in these rules or regulations, at certification, households having a member eligible for the excess medical expense deduction shall be allowed to provide verification of expenses so that a reasonable projection of the member’s medical expenses anticipated to occur during the household’s certification period can be made. The household may choose to claim actual expenses or to use the standard medical expense deduction.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Actual medical expense.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projection may be based on available information about the member’s medical condition, public or private medical insurance coverage, and current verified medical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Households that choose to claim actual medical expenses shall not be required to report changes in medical expenses that were anticipated to occur during the certification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Standard medical expense.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household may choose a standard medical expense deduction if the household incurs more than $35 per month in medical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household that chooses the standard deduction shall not be required to report changes in medical expenses during the certification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amount of the standard medical expense deduction must be approved by the Food and Nutrition Service of the U.S. Department of Agriculture. The amount of the standard is reviewed periodically and adjustments are requested when needed.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65.8(8)</w:t>
      </w:r>
      <w:r>
        <w:rPr>
          <w:rFonts w:ascii="Times New Roman" w:hAnsi="Times New Roman"/>
          <w:b w:val="false"/>
          <w:i w:val="false"/>
          <w:color w:val="000000"/>
          <w:sz w:val="22"/>
        </w:rPr>
        <w:t> </w:t>
      </w:r>
      <w:r>
        <w:rPr>
          <w:rFonts w:ascii="Times New Roman" w:hAnsi="Times New Roman"/>
          <w:b w:val="false"/>
          <w:i/>
          <w:color w:val="000000"/>
          <w:sz w:val="22"/>
        </w:rPr>
        <w:t xml:space="preserve">Child support payment deduction. </w:t>
      </w:r>
      <w:r>
        <w:rPr>
          <w:rFonts w:ascii="Times New Roman" w:hAnsi="Times New Roman"/>
          <w:b w:val="false"/>
          <w:i w:val="false"/>
          <w:color w:val="000000"/>
          <w:sz w:val="22"/>
        </w:rPr>
        <w:t>A household may receive a deduction equal to the amount paid for legally obligated child support.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65.8(9)</w:t>
      </w:r>
      <w:r>
        <w:rPr>
          <w:rFonts w:ascii="Times New Roman" w:hAnsi="Times New Roman"/>
          <w:b w:val="false"/>
          <w:i w:val="false"/>
          <w:color w:val="000000"/>
          <w:sz w:val="22"/>
        </w:rPr>
        <w:t> </w:t>
      </w:r>
      <w:r>
        <w:rPr>
          <w:rFonts w:ascii="Times New Roman" w:hAnsi="Times New Roman"/>
          <w:b w:val="false"/>
          <w:i/>
          <w:color w:val="000000"/>
          <w:sz w:val="22"/>
        </w:rPr>
        <w:t xml:space="preserve">Standard deduction. </w:t>
      </w:r>
      <w:r>
        <w:rPr>
          <w:rFonts w:ascii="Times New Roman" w:hAnsi="Times New Roman"/>
          <w:b w:val="false"/>
          <w:i w:val="false"/>
          <w:color w:val="000000"/>
          <w:sz w:val="22"/>
        </w:rPr>
        <w:t>Each household will receive a standard deduction from income based on a formula set forth in regulations at 7 CFR 273.9(d) as amended to May 2, 2022. The amount of the standard deduction is adjusted for inflation annually as directed by the Food and Nutrition Service of the U.S. Department of Agriculture.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65.8(10)</w:t>
      </w:r>
      <w:r>
        <w:rPr>
          <w:rFonts w:ascii="Times New Roman" w:hAnsi="Times New Roman"/>
          <w:b w:val="false"/>
          <w:i w:val="false"/>
          <w:color w:val="000000"/>
          <w:sz w:val="22"/>
        </w:rPr>
        <w:t> </w:t>
      </w:r>
      <w:r>
        <w:rPr>
          <w:rFonts w:ascii="Times New Roman" w:hAnsi="Times New Roman"/>
          <w:b w:val="false"/>
          <w:i/>
          <w:color w:val="000000"/>
          <w:sz w:val="22"/>
        </w:rPr>
        <w:t xml:space="preserve">Homeless standard deduction. </w:t>
      </w:r>
      <w:r>
        <w:rPr>
          <w:rFonts w:ascii="Times New Roman" w:hAnsi="Times New Roman"/>
          <w:b w:val="false"/>
          <w:i w:val="false"/>
          <w:color w:val="000000"/>
          <w:sz w:val="22"/>
        </w:rPr>
        <w:t>A household in which all members are homeless may choose the homeless standard deduction in place of the shelter and utility expenses deduction.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Households choosing this option are not required to verify shelter-related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Households choosing this option are not eligible to receive a shelter or utility deduction.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amount of the homeless standard deduction is determined by the Food and Nutrition Service of the U.S. Department of Agriculture and adjusted annually.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
        <w:r>
          <w:rPr>
            <w:rStyle w:val="Hyperlink"/>
            <w:rFonts w:ascii="Times New Roman" w:hAnsi="Times New Roman"/>
            <w:b w:val="false"/>
            <w:i w:val="false"/>
            <w:color w:val="000000"/>
            <w:sz w:val="22"/>
          </w:rPr>
          <w:t>234.12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8992B</w:t>
      </w:r>
      <w:r>
        <w:rPr>
          <w:rFonts w:ascii="Times New Roman" w:hAnsi="Times New Roman"/>
          <w:b w:val="false"/>
          <w:i w:val="false"/>
          <w:color w:val="000000"/>
          <w:sz w:val="16"/>
        </w:rPr>
        <w:t>, IAB 8/11/10, effective 10/1/10</w:t>
      </w:r>
      <w:r>
        <w:rPr>
          <w:rFonts w:ascii="Times New Roman" w:hAnsi="Times New Roman"/>
          <w:b w:val="false"/>
          <w:i w:val="false"/>
          <w:color w:val="000000"/>
          <w:sz w:val="16"/>
        </w:rPr>
        <w:t xml:space="preserve">; </w:t>
      </w:r>
      <w:r>
        <w:rPr>
          <w:rFonts w:ascii="Times New Roman" w:hAnsi="Times New Roman"/>
          <w:b/>
          <w:i w:val="false"/>
          <w:color w:val="000000"/>
          <w:sz w:val="16"/>
        </w:rPr>
        <w:t>ARC 1148C</w:t>
      </w:r>
      <w:r>
        <w:rPr>
          <w:rFonts w:ascii="Times New Roman" w:hAnsi="Times New Roman"/>
          <w:b w:val="false"/>
          <w:i w:val="false"/>
          <w:color w:val="000000"/>
          <w:sz w:val="16"/>
        </w:rPr>
        <w:t>, IAB 10/30/13, effective 1/1/14</w:t>
      </w:r>
      <w:r>
        <w:rPr>
          <w:rFonts w:ascii="Times New Roman" w:hAnsi="Times New Roman"/>
          <w:b w:val="false"/>
          <w:i w:val="false"/>
          <w:color w:val="000000"/>
          <w:sz w:val="16"/>
        </w:rPr>
        <w:t xml:space="preserve">; </w:t>
      </w:r>
      <w:r>
        <w:rPr>
          <w:rFonts w:ascii="Times New Roman" w:hAnsi="Times New Roman"/>
          <w:b/>
          <w:i w:val="false"/>
          <w:color w:val="000000"/>
          <w:sz w:val="16"/>
        </w:rPr>
        <w:t>ARC 6558C</w:t>
      </w:r>
      <w:r>
        <w:rPr>
          <w:rFonts w:ascii="Times New Roman" w:hAnsi="Times New Roman"/>
          <w:b w:val="false"/>
          <w:i w:val="false"/>
          <w:color w:val="000000"/>
          <w:sz w:val="16"/>
        </w:rPr>
        <w:t>, IAB 10/5/22, effective 12/1/22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441—65.9</w:t>
      </w:r>
      <w:r>
        <w:rPr>
          <w:rFonts w:ascii="Times New Roman" w:hAnsi="Times New Roman"/>
          <w:b/>
          <w:i w:val="false"/>
          <w:color w:val="000000"/>
          <w:sz w:val="22"/>
        </w:rPr>
        <w:t xml:space="preserve">(234) </w:t>
      </w:r>
      <w:r>
        <w:rPr>
          <w:rFonts w:ascii="Times New Roman" w:hAnsi="Times New Roman"/>
          <w:b/>
          <w:i w:val="false"/>
          <w:color w:val="000000"/>
          <w:sz w:val="22"/>
        </w:rPr>
        <w:t xml:space="preserve">Treatment centers and group living arrangements. </w:t>
      </w:r>
      <w:r>
        <w:rPr>
          <w:rFonts w:ascii="Times New Roman" w:hAnsi="Times New Roman"/>
          <w:b w:val="false"/>
          <w:i w:val="false"/>
          <w:color w:val="000000"/>
          <w:sz w:val="22"/>
        </w:rPr>
        <w:t>Alcohol or drug treatment or rehabilitation centers and group living arrangements shall provide a list of participating residents to the department on a monthly basis.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6558C</w:t>
      </w:r>
      <w:r>
        <w:rPr>
          <w:rFonts w:ascii="Times New Roman" w:hAnsi="Times New Roman"/>
          <w:b w:val="false"/>
          <w:i w:val="false"/>
          <w:color w:val="000000"/>
          <w:sz w:val="16"/>
        </w:rPr>
        <w:t>, IAB 10/5/22, effective 12/1/22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441—65.10</w:t>
      </w:r>
      <w:r>
        <w:rPr>
          <w:rFonts w:ascii="Times New Roman" w:hAnsi="Times New Roman"/>
          <w:b/>
          <w:i w:val="false"/>
          <w:color w:val="000000"/>
          <w:sz w:val="22"/>
        </w:rPr>
        <w:t xml:space="preserve">(234) </w:t>
      </w:r>
      <w:r>
        <w:rPr>
          <w:rFonts w:ascii="Times New Roman" w:hAnsi="Times New Roman"/>
          <w:b/>
          <w:i w:val="false"/>
          <w:color w:val="000000"/>
          <w:sz w:val="22"/>
        </w:rPr>
        <w:t xml:space="preserve">Reporting changes.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9/10/08</w:t>
      </w:r>
      <w:r>
        <w:rPr>
          <w:rFonts w:ascii="Times New Roman" w:hAnsi="Times New Roman"/>
          <w:b w:val="false"/>
          <w:i w:val="false"/>
          <w:color w:val="000000"/>
          <w:sz w:val="22"/>
        </w:rPr>
        <w:t>, effective 10/1/08.</w:t>
      </w:r>
    </w:p>
    <w:p>
      <w:pPr>
        <w:spacing w:before="210" w:after="0"/>
        <w:ind w:left="120"/>
        <w:jc w:val="both"/>
      </w:pPr>
      <w:r>
        <w:rPr>
          <w:rFonts w:ascii="Times New Roman" w:hAnsi="Times New Roman"/>
          <w:b/>
          <w:i w:val="false"/>
          <w:color w:val="000000"/>
          <w:sz w:val="22"/>
        </w:rPr>
        <w:t>441—65.11</w:t>
      </w:r>
      <w:r>
        <w:rPr>
          <w:rFonts w:ascii="Times New Roman" w:hAnsi="Times New Roman"/>
          <w:b/>
          <w:i w:val="false"/>
          <w:color w:val="000000"/>
          <w:sz w:val="22"/>
        </w:rPr>
        <w:t xml:space="preserve">(234) </w:t>
      </w:r>
      <w:r>
        <w:rPr>
          <w:rFonts w:ascii="Times New Roman" w:hAnsi="Times New Roman"/>
          <w:b/>
          <w:i w:val="false"/>
          <w:color w:val="000000"/>
          <w:sz w:val="22"/>
        </w:rPr>
        <w:t xml:space="preserve">Discrimination complaint. </w:t>
      </w:r>
      <w:r>
        <w:rPr>
          <w:rFonts w:ascii="Times New Roman" w:hAnsi="Times New Roman"/>
          <w:b w:val="false"/>
          <w:i w:val="false"/>
          <w:color w:val="000000"/>
          <w:sz w:val="22"/>
        </w:rPr>
        <w:t>Individuals who feel that they have been subject to discrimination may file a written complaint with the Diversity Programs Unit, Department of Human Services, Hoover State Office Building, 1305 E. Walnut Street, Des Moines, Iowa 50319-0114.</w:t>
      </w:r>
    </w:p>
    <w:p>
      <w:pPr>
        <w:spacing w:before="210" w:after="0"/>
        <w:ind w:left="120"/>
        <w:jc w:val="both"/>
      </w:pPr>
      <w:r>
        <w:rPr>
          <w:rFonts w:ascii="Times New Roman" w:hAnsi="Times New Roman"/>
          <w:b/>
          <w:i w:val="false"/>
          <w:color w:val="000000"/>
          <w:sz w:val="22"/>
        </w:rPr>
        <w:t>441—65.12</w:t>
      </w:r>
      <w:r>
        <w:rPr>
          <w:rFonts w:ascii="Times New Roman" w:hAnsi="Times New Roman"/>
          <w:b/>
          <w:i w:val="false"/>
          <w:color w:val="000000"/>
          <w:sz w:val="22"/>
        </w:rPr>
        <w:t xml:space="preserve">(234) </w:t>
      </w:r>
      <w:r>
        <w:rPr>
          <w:rFonts w:ascii="Times New Roman" w:hAnsi="Times New Roman"/>
          <w:b/>
          <w:i w:val="false"/>
          <w:color w:val="000000"/>
          <w:sz w:val="22"/>
        </w:rPr>
        <w:t xml:space="preserve">Appeals. </w:t>
      </w:r>
      <w:r>
        <w:rPr>
          <w:rFonts w:ascii="Times New Roman" w:hAnsi="Times New Roman"/>
          <w:b w:val="false"/>
          <w:i w:val="false"/>
          <w:color w:val="000000"/>
          <w:sz w:val="22"/>
        </w:rPr>
        <w:t xml:space="preserve">Fair hearings and appeals are provided according to the department’s rules, </w:t>
      </w:r>
      <w:hyperlink r:id="rId8">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441—65.13</w:t>
      </w:r>
      <w:r>
        <w:rPr>
          <w:rFonts w:ascii="Times New Roman" w:hAnsi="Times New Roman"/>
          <w:b/>
          <w:i w:val="false"/>
          <w:color w:val="000000"/>
          <w:sz w:val="22"/>
        </w:rPr>
        <w:t xml:space="preserve">(234) </w:t>
      </w:r>
      <w:r>
        <w:rPr>
          <w:rFonts w:ascii="Times New Roman" w:hAnsi="Times New Roman"/>
          <w:b/>
          <w:i w:val="false"/>
          <w:color w:val="000000"/>
          <w:sz w:val="22"/>
        </w:rPr>
        <w:t xml:space="preserve">Joint processing.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65.13(1)</w:t>
      </w:r>
      <w:r>
        <w:rPr>
          <w:rFonts w:ascii="Times New Roman" w:hAnsi="Times New Roman"/>
          <w:b w:val="false"/>
          <w:i w:val="false"/>
          <w:color w:val="000000"/>
          <w:sz w:val="22"/>
        </w:rPr>
        <w:t> </w:t>
      </w:r>
      <w:r>
        <w:rPr>
          <w:rFonts w:ascii="Times New Roman" w:hAnsi="Times New Roman"/>
          <w:b w:val="false"/>
          <w:i/>
          <w:color w:val="000000"/>
          <w:sz w:val="22"/>
        </w:rPr>
        <w:t xml:space="preserve">Joint processing with SSI. </w:t>
      </w:r>
      <w:r>
        <w:rPr>
          <w:rFonts w:ascii="Times New Roman" w:hAnsi="Times New Roman"/>
          <w:b w:val="false"/>
          <w:i w:val="false"/>
          <w:color w:val="000000"/>
          <w:sz w:val="22"/>
        </w:rPr>
        <w:t>The department will handle joint processing of supplemental security income and SNAP applications by having the social security administration complete and forward SNAP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65.13(2)</w:t>
      </w:r>
      <w:r>
        <w:rPr>
          <w:rFonts w:ascii="Times New Roman" w:hAnsi="Times New Roman"/>
          <w:b w:val="false"/>
          <w:i w:val="false"/>
          <w:color w:val="000000"/>
          <w:sz w:val="22"/>
        </w:rPr>
        <w:t> </w:t>
      </w:r>
      <w:r>
        <w:rPr>
          <w:rFonts w:ascii="Times New Roman" w:hAnsi="Times New Roman"/>
          <w:b w:val="false"/>
          <w:i/>
          <w:color w:val="000000"/>
          <w:sz w:val="22"/>
        </w:rPr>
        <w:t xml:space="preserve">Joint processing with public assistance. </w:t>
      </w:r>
      <w:r>
        <w:rPr>
          <w:rFonts w:ascii="Times New Roman" w:hAnsi="Times New Roman"/>
          <w:b w:val="false"/>
          <w:i w:val="false"/>
          <w:color w:val="000000"/>
          <w:sz w:val="22"/>
        </w:rPr>
        <w:t>The department shall jointly process public assistance and SNAP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65.13(3)</w:t>
      </w:r>
      <w:r>
        <w:rPr>
          <w:rFonts w:ascii="Times New Roman" w:hAnsi="Times New Roman"/>
          <w:b w:val="false"/>
          <w:i w:val="false"/>
          <w:color w:val="000000"/>
          <w:sz w:val="22"/>
        </w:rPr>
        <w:t> </w:t>
      </w:r>
      <w:r>
        <w:rPr>
          <w:rFonts w:ascii="Times New Roman" w:hAnsi="Times New Roman"/>
          <w:b w:val="false"/>
          <w:i/>
          <w:color w:val="000000"/>
          <w:sz w:val="22"/>
        </w:rPr>
        <w:t xml:space="preserve">Single interview for assistance. </w:t>
      </w:r>
      <w:r>
        <w:rPr>
          <w:rFonts w:ascii="Times New Roman" w:hAnsi="Times New Roman"/>
          <w:b w:val="false"/>
          <w:i w:val="false"/>
          <w:color w:val="000000"/>
          <w:sz w:val="22"/>
        </w:rPr>
        <w:t>In joint processing of public assistance and SNAP applications, the department shall conduct a single interview at initial application for both purposes.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6558C</w:t>
      </w:r>
      <w:r>
        <w:rPr>
          <w:rFonts w:ascii="Times New Roman" w:hAnsi="Times New Roman"/>
          <w:b w:val="false"/>
          <w:i w:val="false"/>
          <w:color w:val="000000"/>
          <w:sz w:val="16"/>
        </w:rPr>
        <w:t>, IAB 10/5/22, effective 12/1/22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441—65.14</w:t>
      </w:r>
      <w:r>
        <w:rPr>
          <w:rFonts w:ascii="Times New Roman" w:hAnsi="Times New Roman"/>
          <w:b/>
          <w:i w:val="false"/>
          <w:color w:val="000000"/>
          <w:sz w:val="22"/>
        </w:rPr>
        <w:t xml:space="preserve">(234) </w:t>
      </w:r>
      <w:r>
        <w:rPr>
          <w:rFonts w:ascii="Times New Roman" w:hAnsi="Times New Roman"/>
          <w:b w:val="false"/>
          <w:i w:val="false"/>
          <w:color w:val="000000"/>
          <w:sz w:val="22"/>
        </w:rPr>
        <w:t>Rescinded, effective 10/1/83.</w:t>
      </w:r>
    </w:p>
    <w:p>
      <w:pPr>
        <w:spacing w:before="0" w:after="0"/>
        <w:ind w:left="120"/>
        <w:jc w:val="both"/>
      </w:pPr>
      <w:r>
        <w:rPr>
          <w:rFonts w:ascii="Times New Roman" w:hAnsi="Times New Roman"/>
          <w:b/>
          <w:i w:val="false"/>
          <w:color w:val="000000"/>
          <w:sz w:val="22"/>
        </w:rPr>
        <w:t>441—65.15</w:t>
      </w:r>
      <w:r>
        <w:rPr>
          <w:rFonts w:ascii="Times New Roman" w:hAnsi="Times New Roman"/>
          <w:b/>
          <w:i w:val="false"/>
          <w:color w:val="000000"/>
          <w:sz w:val="22"/>
        </w:rPr>
        <w:t xml:space="preserve">(234) </w:t>
      </w:r>
      <w:r>
        <w:rPr>
          <w:rFonts w:ascii="Times New Roman" w:hAnsi="Times New Roman"/>
          <w:b/>
          <w:i w:val="false"/>
          <w:color w:val="000000"/>
          <w:sz w:val="22"/>
        </w:rPr>
        <w:t xml:space="preserve">Proration of benefits. </w:t>
      </w:r>
      <w:r>
        <w:rPr>
          <w:rFonts w:ascii="Times New Roman" w:hAnsi="Times New Roman"/>
          <w:b w:val="false"/>
          <w:i w:val="false"/>
          <w:color w:val="000000"/>
          <w:sz w:val="22"/>
        </w:rPr>
        <w:t>Benefits shall be prorated using a 30-day month.</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
        <w:r>
          <w:rPr>
            <w:rStyle w:val="Hyperlink"/>
            <w:rFonts w:ascii="Times New Roman" w:hAnsi="Times New Roman"/>
            <w:b w:val="false"/>
            <w:i w:val="false"/>
            <w:color w:val="000000"/>
            <w:sz w:val="22"/>
          </w:rPr>
          <w:t>234.12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441—65.16</w:t>
      </w:r>
      <w:r>
        <w:rPr>
          <w:rFonts w:ascii="Times New Roman" w:hAnsi="Times New Roman"/>
          <w:b/>
          <w:i w:val="false"/>
          <w:color w:val="000000"/>
          <w:sz w:val="22"/>
        </w:rPr>
        <w:t xml:space="preserve">(234) </w:t>
      </w:r>
      <w:r>
        <w:rPr>
          <w:rFonts w:ascii="Times New Roman" w:hAnsi="Times New Roman"/>
          <w:b/>
          <w:i w:val="false"/>
          <w:color w:val="000000"/>
          <w:sz w:val="22"/>
        </w:rPr>
        <w:t xml:space="preserve">Complaint system. </w:t>
      </w:r>
      <w:r>
        <w:rPr>
          <w:rFonts w:ascii="Times New Roman" w:hAnsi="Times New Roman"/>
          <w:b w:val="false"/>
          <w:i w:val="false"/>
          <w:color w:val="000000"/>
          <w:sz w:val="22"/>
        </w:rPr>
        <w:t>Clients wishing to file a formal written complaint concerning SNAP may submit Form 470-0323 or 470-0323(S) to the office of field support. Department staff shall encourage clients to use the form.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8500B</w:t>
      </w:r>
      <w:r>
        <w:rPr>
          <w:rFonts w:ascii="Times New Roman" w:hAnsi="Times New Roman"/>
          <w:b w:val="false"/>
          <w:i w:val="false"/>
          <w:color w:val="000000"/>
          <w:sz w:val="16"/>
        </w:rPr>
        <w:t>, IAB 2/10/10, effective 3/1/10</w:t>
      </w:r>
      <w:r>
        <w:rPr>
          <w:rFonts w:ascii="Times New Roman" w:hAnsi="Times New Roman"/>
          <w:b w:val="false"/>
          <w:i w:val="false"/>
          <w:color w:val="000000"/>
          <w:sz w:val="16"/>
        </w:rPr>
        <w:t xml:space="preserve">; </w:t>
      </w:r>
      <w:r>
        <w:rPr>
          <w:rFonts w:ascii="Times New Roman" w:hAnsi="Times New Roman"/>
          <w:b/>
          <w:i w:val="false"/>
          <w:color w:val="000000"/>
          <w:sz w:val="16"/>
        </w:rPr>
        <w:t>ARC 6558C</w:t>
      </w:r>
      <w:r>
        <w:rPr>
          <w:rFonts w:ascii="Times New Roman" w:hAnsi="Times New Roman"/>
          <w:b w:val="false"/>
          <w:i w:val="false"/>
          <w:color w:val="000000"/>
          <w:sz w:val="16"/>
        </w:rPr>
        <w:t>, IAB 10/5/22, effective 12/1/22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441—65.17</w:t>
      </w:r>
      <w:r>
        <w:rPr>
          <w:rFonts w:ascii="Times New Roman" w:hAnsi="Times New Roman"/>
          <w:b/>
          <w:i w:val="false"/>
          <w:color w:val="000000"/>
          <w:sz w:val="22"/>
        </w:rPr>
        <w:t xml:space="preserve">(234) </w:t>
      </w:r>
      <w:r>
        <w:rPr>
          <w:rFonts w:ascii="Times New Roman" w:hAnsi="Times New Roman"/>
          <w:b/>
          <w:i w:val="false"/>
          <w:color w:val="000000"/>
          <w:sz w:val="22"/>
        </w:rPr>
        <w:t xml:space="preserve">Involvement in a strike. </w:t>
      </w:r>
      <w:r>
        <w:rPr>
          <w:rFonts w:ascii="Times New Roman" w:hAnsi="Times New Roman"/>
          <w:b w:val="false"/>
          <w:i w:val="false"/>
          <w:color w:val="000000"/>
          <w:sz w:val="22"/>
        </w:rPr>
        <w:t>An individual is not involved in a strike at the individual’s place of employment when the individual is not picketing and does not intend to picket during the course of the dispute, does not draw strike pay, and provides a signed statement that the individual is willing and ready to return to work but does not want to cross the picket line solely because of the risk of personal injury or death or trauma from harassment. The service area manager shall determine whether such a risk to the individual’s physical or emotional well-being exists.</w:t>
      </w:r>
    </w:p>
    <w:p>
      <w:pPr>
        <w:spacing w:before="210" w:after="0"/>
        <w:ind w:left="120"/>
        <w:jc w:val="both"/>
      </w:pPr>
      <w:r>
        <w:rPr>
          <w:rFonts w:ascii="Times New Roman" w:hAnsi="Times New Roman"/>
          <w:b/>
          <w:i w:val="false"/>
          <w:color w:val="000000"/>
          <w:sz w:val="22"/>
        </w:rPr>
        <w:t>441—65.18</w:t>
      </w:r>
      <w:r>
        <w:rPr>
          <w:rFonts w:ascii="Times New Roman" w:hAnsi="Times New Roman"/>
          <w:b/>
          <w:i w:val="false"/>
          <w:color w:val="000000"/>
          <w:sz w:val="22"/>
        </w:rPr>
        <w:t xml:space="preserve">(234) </w:t>
      </w:r>
      <w:r>
        <w:rPr>
          <w:rFonts w:ascii="Times New Roman" w:hAnsi="Times New Roman"/>
          <w:b w:val="false"/>
          <w:i w:val="false"/>
          <w:color w:val="000000"/>
          <w:sz w:val="22"/>
        </w:rPr>
        <w:t>Rescinded, effective 8/1/86.</w:t>
      </w:r>
    </w:p>
    <w:p>
      <w:pPr>
        <w:spacing w:before="210" w:after="0"/>
        <w:ind w:left="120"/>
        <w:jc w:val="both"/>
      </w:pPr>
      <w:r>
        <w:rPr>
          <w:rFonts w:ascii="Times New Roman" w:hAnsi="Times New Roman"/>
          <w:b/>
          <w:i w:val="false"/>
          <w:color w:val="000000"/>
          <w:sz w:val="22"/>
        </w:rPr>
        <w:t>441—65.19</w:t>
      </w:r>
      <w:r>
        <w:rPr>
          <w:rFonts w:ascii="Times New Roman" w:hAnsi="Times New Roman"/>
          <w:b/>
          <w:i w:val="false"/>
          <w:color w:val="000000"/>
          <w:sz w:val="22"/>
        </w:rPr>
        <w:t xml:space="preserve">(234) </w:t>
      </w:r>
      <w:r>
        <w:rPr>
          <w:rFonts w:ascii="Times New Roman" w:hAnsi="Times New Roman"/>
          <w:b/>
          <w:i w:val="false"/>
          <w:color w:val="000000"/>
          <w:sz w:val="22"/>
        </w:rPr>
        <w:t xml:space="preserve">Monthly reporting/retrospective budgeting.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9/10/08</w:t>
      </w:r>
      <w:r>
        <w:rPr>
          <w:rFonts w:ascii="Times New Roman" w:hAnsi="Times New Roman"/>
          <w:b w:val="false"/>
          <w:i w:val="false"/>
          <w:color w:val="000000"/>
          <w:sz w:val="22"/>
        </w:rPr>
        <w:t>, effective 10/1/08.</w:t>
      </w:r>
    </w:p>
    <w:p>
      <w:pPr>
        <w:spacing w:before="0" w:after="0"/>
        <w:ind w:left="120"/>
        <w:jc w:val="both"/>
      </w:pPr>
      <w:r>
        <w:rPr>
          <w:rFonts w:ascii="Times New Roman" w:hAnsi="Times New Roman"/>
          <w:b/>
          <w:i w:val="false"/>
          <w:color w:val="000000"/>
          <w:sz w:val="22"/>
        </w:rPr>
        <w:t>441—65.20</w:t>
      </w:r>
      <w:r>
        <w:rPr>
          <w:rFonts w:ascii="Times New Roman" w:hAnsi="Times New Roman"/>
          <w:b/>
          <w:i w:val="false"/>
          <w:color w:val="000000"/>
          <w:sz w:val="22"/>
        </w:rPr>
        <w:t xml:space="preserve">(234) </w:t>
      </w:r>
      <w:r>
        <w:rPr>
          <w:rFonts w:ascii="Times New Roman" w:hAnsi="Times New Roman"/>
          <w:b/>
          <w:i w:val="false"/>
          <w:color w:val="000000"/>
          <w:sz w:val="22"/>
        </w:rPr>
        <w:t xml:space="preserve">Notice of expiration issuance. </w:t>
      </w:r>
      <w:r>
        <w:rPr>
          <w:rFonts w:ascii="Times New Roman" w:hAnsi="Times New Roman"/>
          <w:b w:val="false"/>
          <w:i w:val="false"/>
          <w:color w:val="000000"/>
          <w:sz w:val="22"/>
        </w:rPr>
        <w:t>Issuance of the automated Notice of Expiration will occur with the mailing of Form 470-2881, 470-2881(M), 470-2881(S), or 470-2881(MS).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8500B</w:t>
      </w:r>
      <w:r>
        <w:rPr>
          <w:rFonts w:ascii="Times New Roman" w:hAnsi="Times New Roman"/>
          <w:b w:val="false"/>
          <w:i w:val="false"/>
          <w:color w:val="000000"/>
          <w:sz w:val="16"/>
        </w:rPr>
        <w:t>, IAB 2/10/10, effective 3/1/10</w:t>
      </w:r>
      <w:r>
        <w:rPr>
          <w:rFonts w:ascii="Times New Roman" w:hAnsi="Times New Roman"/>
          <w:b w:val="false"/>
          <w:i w:val="false"/>
          <w:color w:val="000000"/>
          <w:sz w:val="16"/>
        </w:rPr>
        <w:t xml:space="preserve">; </w:t>
      </w:r>
      <w:r>
        <w:rPr>
          <w:rFonts w:ascii="Times New Roman" w:hAnsi="Times New Roman"/>
          <w:b/>
          <w:i w:val="false"/>
          <w:color w:val="000000"/>
          <w:sz w:val="16"/>
        </w:rPr>
        <w:t>ARC 6558C</w:t>
      </w:r>
      <w:r>
        <w:rPr>
          <w:rFonts w:ascii="Times New Roman" w:hAnsi="Times New Roman"/>
          <w:b w:val="false"/>
          <w:i w:val="false"/>
          <w:color w:val="000000"/>
          <w:sz w:val="16"/>
        </w:rPr>
        <w:t>, IAB 10/5/22, effective 12/1/22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441—65.21</w:t>
      </w:r>
      <w:r>
        <w:rPr>
          <w:rFonts w:ascii="Times New Roman" w:hAnsi="Times New Roman"/>
          <w:b/>
          <w:i w:val="false"/>
          <w:color w:val="000000"/>
          <w:sz w:val="22"/>
        </w:rPr>
        <w:t xml:space="preserve">(234) </w:t>
      </w:r>
      <w:r>
        <w:rPr>
          <w:rFonts w:ascii="Times New Roman" w:hAnsi="Times New Roman"/>
          <w:b/>
          <w:i w:val="false"/>
          <w:color w:val="000000"/>
          <w:sz w:val="22"/>
        </w:rPr>
        <w:t xml:space="preserve">Claims.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65.21(1)</w:t>
      </w:r>
      <w:r>
        <w:rPr>
          <w:rFonts w:ascii="Times New Roman" w:hAnsi="Times New Roman"/>
          <w:b w:val="false"/>
          <w:i w:val="false"/>
          <w:color w:val="000000"/>
          <w:sz w:val="22"/>
        </w:rPr>
        <w:t> </w:t>
      </w:r>
      <w:r>
        <w:rPr>
          <w:rFonts w:ascii="Times New Roman" w:hAnsi="Times New Roman"/>
          <w:b w:val="false"/>
          <w:i/>
          <w:color w:val="000000"/>
          <w:sz w:val="22"/>
        </w:rPr>
        <w:t xml:space="preserve">Time period. </w:t>
      </w:r>
      <w:r>
        <w:rPr>
          <w:rFonts w:ascii="Times New Roman" w:hAnsi="Times New Roman"/>
          <w:b w:val="false"/>
          <w:i w:val="false"/>
          <w:color w:val="000000"/>
          <w:sz w:val="22"/>
        </w:rPr>
        <w:t>Inadvertent household error claims shall be calculated back to the month the error originally occurred to a maximum of three years before the month of discovery of the overissuance. Agency error claims shall be calculated back to the month the error originally occurred to a maximum of one year before the month of discovery of the overissuance.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65.21(2)</w:t>
      </w:r>
      <w:r>
        <w:rPr>
          <w:rFonts w:ascii="Times New Roman" w:hAnsi="Times New Roman"/>
          <w:b w:val="false"/>
          <w:i w:val="false"/>
          <w:color w:val="000000"/>
          <w:sz w:val="22"/>
        </w:rPr>
        <w:t> </w:t>
      </w:r>
      <w:r>
        <w:rPr>
          <w:rFonts w:ascii="Times New Roman" w:hAnsi="Times New Roman"/>
          <w:b w:val="false"/>
          <w:i/>
          <w:color w:val="000000"/>
          <w:sz w:val="22"/>
        </w:rPr>
        <w:t xml:space="preserve">Demand letters. </w:t>
      </w:r>
      <w:r>
        <w:rPr>
          <w:rFonts w:ascii="Times New Roman" w:hAnsi="Times New Roman"/>
          <w:b w:val="false"/>
          <w:i w:val="false"/>
          <w:color w:val="000000"/>
          <w:sz w:val="22"/>
        </w:rPr>
        <w:t>Households that have SNAP claims shall return the repayment agreement no later than 20 days after the date the demand letter is mailed.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agency error and inadvertent household error, when households do not return the repayment agreement by the due date or do not timely request an appeal, allotment reduction shall occur with the first allotment issued after the expiration of the Notice of Adverse Action time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intentional program violation, when households do not return the repayment agreement by the due date, allotment reduction shall occur with the next month’s allotment.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65.21(3)</w:t>
      </w:r>
      <w:r>
        <w:rPr>
          <w:rFonts w:ascii="Times New Roman" w:hAnsi="Times New Roman"/>
          <w:b w:val="false"/>
          <w:i w:val="false"/>
          <w:color w:val="000000"/>
          <w:sz w:val="22"/>
        </w:rPr>
        <w:t> </w:t>
      </w:r>
      <w:r>
        <w:rPr>
          <w:rFonts w:ascii="Times New Roman" w:hAnsi="Times New Roman"/>
          <w:b w:val="false"/>
          <w:i/>
          <w:color w:val="000000"/>
          <w:sz w:val="22"/>
        </w:rPr>
        <w:t xml:space="preserve">Adjustments for claim repayment. </w:t>
      </w:r>
      <w:r>
        <w:rPr>
          <w:rFonts w:ascii="Times New Roman" w:hAnsi="Times New Roman"/>
          <w:b w:val="false"/>
          <w:i w:val="false"/>
          <w:color w:val="000000"/>
          <w:sz w:val="22"/>
        </w:rPr>
        <w:t>A household or authorized representative may initiate a claim repayment by using benefits in an EBT account. The client or authorized representative shall complete Form 470-2574 to authorize adjustments to a household’s EBT account.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7928B</w:t>
      </w:r>
      <w:r>
        <w:rPr>
          <w:rFonts w:ascii="Times New Roman" w:hAnsi="Times New Roman"/>
          <w:b w:val="false"/>
          <w:i w:val="false"/>
          <w:color w:val="000000"/>
          <w:sz w:val="16"/>
        </w:rPr>
        <w:t>, IAB 7/1/09, effective 9/1/09</w:t>
      </w:r>
      <w:r>
        <w:rPr>
          <w:rFonts w:ascii="Times New Roman" w:hAnsi="Times New Roman"/>
          <w:b w:val="false"/>
          <w:i w:val="false"/>
          <w:color w:val="000000"/>
          <w:sz w:val="16"/>
        </w:rPr>
        <w:t xml:space="preserve">; </w:t>
      </w:r>
      <w:r>
        <w:rPr>
          <w:rFonts w:ascii="Times New Roman" w:hAnsi="Times New Roman"/>
          <w:b/>
          <w:i w:val="false"/>
          <w:color w:val="000000"/>
          <w:sz w:val="16"/>
        </w:rPr>
        <w:t>ARC 6558C</w:t>
      </w:r>
      <w:r>
        <w:rPr>
          <w:rFonts w:ascii="Times New Roman" w:hAnsi="Times New Roman"/>
          <w:b w:val="false"/>
          <w:i w:val="false"/>
          <w:color w:val="000000"/>
          <w:sz w:val="16"/>
        </w:rPr>
        <w:t>, IAB 10/5/22, effective 12/1/22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441—65.22</w:t>
      </w:r>
      <w:r>
        <w:rPr>
          <w:rFonts w:ascii="Times New Roman" w:hAnsi="Times New Roman"/>
          <w:b/>
          <w:i w:val="false"/>
          <w:color w:val="000000"/>
          <w:sz w:val="22"/>
        </w:rPr>
        <w:t xml:space="preserve">(234) </w:t>
      </w:r>
      <w:r>
        <w:rPr>
          <w:rFonts w:ascii="Times New Roman" w:hAnsi="Times New Roman"/>
          <w:b/>
          <w:i w:val="false"/>
          <w:color w:val="000000"/>
          <w:sz w:val="22"/>
        </w:rPr>
        <w:t xml:space="preserve">Verification.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65.22(1)</w:t>
      </w:r>
      <w:r>
        <w:rPr>
          <w:rFonts w:ascii="Times New Roman" w:hAnsi="Times New Roman"/>
          <w:b w:val="false"/>
          <w:i w:val="false"/>
          <w:color w:val="000000"/>
          <w:sz w:val="22"/>
        </w:rPr>
        <w:t> </w:t>
      </w:r>
      <w:r>
        <w:rPr>
          <w:rFonts w:ascii="Times New Roman" w:hAnsi="Times New Roman"/>
          <w:b w:val="false"/>
          <w:i/>
          <w:color w:val="000000"/>
          <w:sz w:val="22"/>
        </w:rPr>
        <w:t xml:space="preserve">Required verification.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Income. </w:t>
      </w:r>
      <w:r>
        <w:rPr>
          <w:rFonts w:ascii="Times New Roman" w:hAnsi="Times New Roman"/>
          <w:b w:val="false"/>
          <w:i w:val="false"/>
          <w:color w:val="000000"/>
          <w:sz w:val="22"/>
        </w:rPr>
        <w:t>Households shall be required to verify income at time of application, recertification and when income is reported or when income changes with the following exceptions: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Households are not required to verify the public assistance grant.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Households are not required to verify unemployment insurance benefits when the information is available to the department from the department of employment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Households are only required to verify interest income at the time of application and recertification.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the reported income does not meet federal requirements for acting on changes during the certification period, verification will not be required until the next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Dependent care costs. </w:t>
      </w:r>
      <w:r>
        <w:rPr>
          <w:rFonts w:ascii="Times New Roman" w:hAnsi="Times New Roman"/>
          <w:b w:val="false"/>
          <w:i w:val="false"/>
          <w:color w:val="000000"/>
          <w:sz w:val="22"/>
        </w:rPr>
        <w:t>Households shall be required to verify dependent care costs at the time of application and recertification.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Medical expenses. </w:t>
      </w:r>
      <w:r>
        <w:rPr>
          <w:rFonts w:ascii="Times New Roman" w:hAnsi="Times New Roman"/>
          <w:b w:val="false"/>
          <w:i w:val="false"/>
          <w:color w:val="000000"/>
          <w:sz w:val="22"/>
        </w:rPr>
        <w:t>Households shall be required to verify medical expenses at the time of application and whenever a change is reported. For recertification: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household that chose to claim actual expenses must verify medical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household that chose the standard medical expense deduction shall be required to declare only if the excess expense still exists.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Shelter costs. </w:t>
      </w:r>
      <w:r>
        <w:rPr>
          <w:rFonts w:ascii="Times New Roman" w:hAnsi="Times New Roman"/>
          <w:b w:val="false"/>
          <w:i w:val="false"/>
          <w:color w:val="000000"/>
          <w:sz w:val="22"/>
        </w:rPr>
        <w:t>Households shall be required to verify shelter costs at the time of application, recertification, or when an address change is reported.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Utilities. </w:t>
      </w:r>
      <w:r>
        <w:rPr>
          <w:rFonts w:ascii="Times New Roman" w:hAnsi="Times New Roman"/>
          <w:b w:val="false"/>
          <w:i w:val="false"/>
          <w:color w:val="000000"/>
          <w:sz w:val="22"/>
        </w:rPr>
        <w:t>Households shall be required to verify utility costs at the time of application, recertification, or when an address change is reported.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Telephone expense. </w:t>
      </w:r>
      <w:r>
        <w:rPr>
          <w:rFonts w:ascii="Times New Roman" w:hAnsi="Times New Roman"/>
          <w:b w:val="false"/>
          <w:i w:val="false"/>
          <w:color w:val="000000"/>
          <w:sz w:val="22"/>
        </w:rPr>
        <w:t>Households shall be required to verify telephone costs at the time of application and recertification.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Child support payment deduction. </w:t>
      </w:r>
      <w:r>
        <w:rPr>
          <w:rFonts w:ascii="Times New Roman" w:hAnsi="Times New Roman"/>
          <w:b w:val="false"/>
          <w:i w:val="false"/>
          <w:color w:val="000000"/>
          <w:sz w:val="22"/>
        </w:rPr>
        <w:t>Households shall be required to verify legally obligated child support and child medical support payments made to a person outside of the SNAP household only at certification and recertification and whenever the household reports a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65.22(2)</w:t>
      </w:r>
      <w:r>
        <w:rPr>
          <w:rFonts w:ascii="Times New Roman" w:hAnsi="Times New Roman"/>
          <w:b w:val="false"/>
          <w:i w:val="false"/>
          <w:color w:val="000000"/>
          <w:sz w:val="22"/>
        </w:rPr>
        <w:t> </w:t>
      </w:r>
      <w:r>
        <w:rPr>
          <w:rFonts w:ascii="Times New Roman" w:hAnsi="Times New Roman"/>
          <w:b w:val="false"/>
          <w:i/>
          <w:color w:val="000000"/>
          <w:sz w:val="22"/>
        </w:rPr>
        <w:t xml:space="preserve">Failure to verify. </w:t>
      </w:r>
      <w:r>
        <w:rPr>
          <w:rFonts w:ascii="Times New Roman" w:hAnsi="Times New Roman"/>
          <w:b w:val="false"/>
          <w:i w:val="false"/>
          <w:color w:val="000000"/>
          <w:sz w:val="22"/>
        </w:rPr>
        <w:t>When the household does not verify an expense as required, no deduction for that expense will be allowed.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65.22(3)</w:t>
      </w:r>
      <w:r>
        <w:rPr>
          <w:rFonts w:ascii="Times New Roman" w:hAnsi="Times New Roman"/>
          <w:b w:val="false"/>
          <w:i w:val="false"/>
          <w:color w:val="000000"/>
          <w:sz w:val="22"/>
        </w:rPr>
        <w:t> </w:t>
      </w:r>
      <w:r>
        <w:rPr>
          <w:rFonts w:ascii="Times New Roman" w:hAnsi="Times New Roman"/>
          <w:b w:val="false"/>
          <w:i/>
          <w:color w:val="000000"/>
          <w:sz w:val="22"/>
        </w:rPr>
        <w:t xml:space="preserve">Special verification procedures. </w:t>
      </w:r>
      <w:r>
        <w:rPr>
          <w:rFonts w:ascii="Times New Roman" w:hAnsi="Times New Roman"/>
          <w:b w:val="false"/>
          <w:i w:val="false"/>
          <w:color w:val="000000"/>
          <w:sz w:val="22"/>
        </w:rPr>
        <w:t xml:space="preserve">Persons whose applications meet the initial criteria for error-prone cases may be subject to special verification procedures, including a face-to-face interview and additional documentation requirements in accordance with department of inspections and appeals’ rules in </w:t>
      </w:r>
      <w:hyperlink r:id="rId10">
        <w:r>
          <w:rPr>
            <w:rStyle w:val="Hyperlink"/>
            <w:rFonts w:ascii="Times New Roman" w:hAnsi="Times New Roman"/>
            <w:b w:val="false"/>
            <w:i w:val="false"/>
            <w:color w:val="000000"/>
            <w:sz w:val="22"/>
          </w:rPr>
          <w:t>481—Chapter 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Failure to cooperate with the investigations division of the department of inspections and appeals in establishing eligibility factors will not result in denial or cancellation of the household’s SNAP benefits. The investigations division will gather as much information as possible without the client’s cooperation. If further information is needed based on those findings, a request for information must be sent to the household.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8556B</w:t>
      </w:r>
      <w:r>
        <w:rPr>
          <w:rFonts w:ascii="Times New Roman" w:hAnsi="Times New Roman"/>
          <w:b w:val="false"/>
          <w:i w:val="false"/>
          <w:color w:val="000000"/>
          <w:sz w:val="16"/>
        </w:rPr>
        <w:t>, IAB 3/10/10, effective 2/10/10</w:t>
      </w:r>
      <w:r>
        <w:rPr>
          <w:rFonts w:ascii="Times New Roman" w:hAnsi="Times New Roman"/>
          <w:b w:val="false"/>
          <w:i w:val="false"/>
          <w:color w:val="000000"/>
          <w:sz w:val="16"/>
        </w:rPr>
        <w:t xml:space="preserve">; </w:t>
      </w:r>
      <w:r>
        <w:rPr>
          <w:rFonts w:ascii="Times New Roman" w:hAnsi="Times New Roman"/>
          <w:b/>
          <w:i w:val="false"/>
          <w:color w:val="000000"/>
          <w:sz w:val="16"/>
        </w:rPr>
        <w:t>ARC 6558C</w:t>
      </w:r>
      <w:r>
        <w:rPr>
          <w:rFonts w:ascii="Times New Roman" w:hAnsi="Times New Roman"/>
          <w:b w:val="false"/>
          <w:i w:val="false"/>
          <w:color w:val="000000"/>
          <w:sz w:val="16"/>
        </w:rPr>
        <w:t>, IAB 10/5/22, effective 12/1/22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441—65.23</w:t>
      </w:r>
      <w:r>
        <w:rPr>
          <w:rFonts w:ascii="Times New Roman" w:hAnsi="Times New Roman"/>
          <w:b/>
          <w:i w:val="false"/>
          <w:color w:val="000000"/>
          <w:sz w:val="22"/>
        </w:rPr>
        <w:t xml:space="preserve">(234) </w:t>
      </w:r>
      <w:r>
        <w:rPr>
          <w:rFonts w:ascii="Times New Roman" w:hAnsi="Times New Roman"/>
          <w:b/>
          <w:i w:val="false"/>
          <w:color w:val="000000"/>
          <w:sz w:val="22"/>
        </w:rPr>
        <w:t xml:space="preserve">Prospective budgeting.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65.23(1)</w:t>
      </w:r>
      <w:r>
        <w:rPr>
          <w:rFonts w:ascii="Times New Roman" w:hAnsi="Times New Roman"/>
          <w:b w:val="false"/>
          <w:i w:val="false"/>
          <w:color w:val="000000"/>
          <w:sz w:val="22"/>
        </w:rPr>
        <w:t> </w:t>
      </w:r>
      <w:r>
        <w:rPr>
          <w:rFonts w:ascii="Times New Roman" w:hAnsi="Times New Roman"/>
          <w:b w:val="false"/>
          <w:i/>
          <w:color w:val="000000"/>
          <w:sz w:val="22"/>
        </w:rPr>
        <w:t xml:space="preserve">Weekly or biweekly income. </w:t>
      </w:r>
      <w:r>
        <w:rPr>
          <w:rFonts w:ascii="Times New Roman" w:hAnsi="Times New Roman"/>
          <w:b w:val="false"/>
          <w:i w:val="false"/>
          <w:color w:val="000000"/>
          <w:sz w:val="22"/>
        </w:rPr>
        <w:t>The department shall convert income and deductions that occur on a weekly or biweekly basis to monthly figures using family investment program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65.23(2)</w:t>
      </w:r>
      <w:r>
        <w:rPr>
          <w:rFonts w:ascii="Times New Roman" w:hAnsi="Times New Roman"/>
          <w:b w:val="false"/>
          <w:i w:val="false"/>
          <w:color w:val="000000"/>
          <w:sz w:val="22"/>
        </w:rPr>
        <w:t> </w:t>
      </w:r>
      <w:r>
        <w:rPr>
          <w:rFonts w:ascii="Times New Roman" w:hAnsi="Times New Roman"/>
          <w:b w:val="false"/>
          <w:i/>
          <w:color w:val="000000"/>
          <w:sz w:val="22"/>
        </w:rPr>
        <w:t xml:space="preserve">Income averaging. </w:t>
      </w:r>
      <w:r>
        <w:rPr>
          <w:rFonts w:ascii="Times New Roman" w:hAnsi="Times New Roman"/>
          <w:b w:val="false"/>
          <w:i w:val="false"/>
          <w:color w:val="000000"/>
          <w:sz w:val="22"/>
        </w:rPr>
        <w:t>The department shall average income by anticipating income fluctuations over the certification period. The number of months used to arrive at the average income should be the number of months that are representative of the anticipated income fluctuation.</w:t>
      </w:r>
    </w:p>
    <w:p>
      <w:pPr>
        <w:spacing w:before="0" w:after="0"/>
        <w:ind w:left="120"/>
        <w:jc w:val="both"/>
      </w:pPr>
      <w:r>
        <w:rPr>
          <w:rFonts w:ascii="Times New Roman" w:hAnsi="Times New Roman"/>
          <w:b/>
          <w:i w:val="false"/>
          <w:color w:val="000000"/>
          <w:sz w:val="22"/>
        </w:rPr>
        <w:t>441—65.24</w:t>
      </w:r>
      <w:r>
        <w:rPr>
          <w:rFonts w:ascii="Times New Roman" w:hAnsi="Times New Roman"/>
          <w:b/>
          <w:i w:val="false"/>
          <w:color w:val="000000"/>
          <w:sz w:val="22"/>
        </w:rPr>
        <w:t xml:space="preserve">(234) </w:t>
      </w:r>
      <w:r>
        <w:rPr>
          <w:rFonts w:ascii="Times New Roman" w:hAnsi="Times New Roman"/>
          <w:b/>
          <w:i w:val="false"/>
          <w:color w:val="000000"/>
          <w:sz w:val="22"/>
        </w:rPr>
        <w:t xml:space="preserve">Inclusion of foster children in household. </w:t>
      </w:r>
      <w:r>
        <w:rPr>
          <w:rFonts w:ascii="Times New Roman" w:hAnsi="Times New Roman"/>
          <w:b w:val="false"/>
          <w:i w:val="false"/>
          <w:color w:val="000000"/>
          <w:sz w:val="22"/>
        </w:rPr>
        <w:t>Foster children living with foster parents will not be considered to be members of the SNAP household unless the household elects to include the foster children in the household. Foster care payments received for foster children not included in the household will be excluded from the income of the household receiving the payment.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6558C</w:t>
      </w:r>
      <w:r>
        <w:rPr>
          <w:rFonts w:ascii="Times New Roman" w:hAnsi="Times New Roman"/>
          <w:b w:val="false"/>
          <w:i w:val="false"/>
          <w:color w:val="000000"/>
          <w:sz w:val="16"/>
        </w:rPr>
        <w:t>, IAB 10/5/22, effective 12/1/22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441—65.25</w:t>
      </w:r>
      <w:r>
        <w:rPr>
          <w:rFonts w:ascii="Times New Roman" w:hAnsi="Times New Roman"/>
          <w:b/>
          <w:i w:val="false"/>
          <w:color w:val="000000"/>
          <w:sz w:val="22"/>
        </w:rPr>
        <w:t xml:space="preserve">(234) </w:t>
      </w:r>
      <w:r>
        <w:rPr>
          <w:rFonts w:ascii="Times New Roman" w:hAnsi="Times New Roman"/>
          <w:b/>
          <w:i w:val="false"/>
          <w:color w:val="000000"/>
          <w:sz w:val="22"/>
        </w:rPr>
        <w:t xml:space="preserve">Effective date of change. </w:t>
      </w:r>
      <w:r>
        <w:rPr>
          <w:rFonts w:ascii="Times New Roman" w:hAnsi="Times New Roman"/>
          <w:b w:val="false"/>
          <w:i w:val="false"/>
          <w:color w:val="000000"/>
          <w:sz w:val="22"/>
        </w:rPr>
        <w:t>A SNAP change caused by, or related to, a public assistance grant change will have the same effective date as the public assistance change.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6558C</w:t>
      </w:r>
      <w:r>
        <w:rPr>
          <w:rFonts w:ascii="Times New Roman" w:hAnsi="Times New Roman"/>
          <w:b w:val="false"/>
          <w:i w:val="false"/>
          <w:color w:val="000000"/>
          <w:sz w:val="16"/>
        </w:rPr>
        <w:t>, IAB 10/5/22, effective 12/1/22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441—65.26</w:t>
      </w:r>
      <w:r>
        <w:rPr>
          <w:rFonts w:ascii="Times New Roman" w:hAnsi="Times New Roman"/>
          <w:b/>
          <w:i w:val="false"/>
          <w:color w:val="000000"/>
          <w:sz w:val="22"/>
        </w:rPr>
        <w:t xml:space="preserve">(234) </w:t>
      </w:r>
      <w:r>
        <w:rPr>
          <w:rFonts w:ascii="Times New Roman" w:hAnsi="Times New Roman"/>
          <w:b/>
          <w:i w:val="false"/>
          <w:color w:val="000000"/>
          <w:sz w:val="22"/>
        </w:rPr>
        <w:t xml:space="preserve">Eligible students. </w:t>
      </w:r>
      <w:r>
        <w:rPr>
          <w:rFonts w:ascii="Times New Roman" w:hAnsi="Times New Roman"/>
          <w:b w:val="false"/>
          <w:i w:val="false"/>
          <w:color w:val="000000"/>
          <w:sz w:val="22"/>
        </w:rPr>
        <w:t>A student who is enrolled in an institution of higher education shall meet student eligibility criteria if the student: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Is employed for an average of 20 hours per week and is paid for this employment;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Is self-employed for an average of 20 hours per week and receives average weekly earnings at least equal to the federal minimum wage multiplied by 20 hours.</w:t>
      </w:r>
    </w:p>
    <w:p>
      <w:pPr>
        <w:spacing w:before="0" w:after="0"/>
        <w:ind w:left="120"/>
        <w:jc w:val="both"/>
      </w:pPr>
      <w:r>
        <w:rPr>
          <w:rFonts w:ascii="Times New Roman" w:hAnsi="Times New Roman"/>
          <w:b/>
          <w:i w:val="false"/>
          <w:color w:val="000000"/>
          <w:sz w:val="22"/>
        </w:rPr>
        <w:t>441—65.27</w:t>
      </w:r>
      <w:r>
        <w:rPr>
          <w:rFonts w:ascii="Times New Roman" w:hAnsi="Times New Roman"/>
          <w:b/>
          <w:i w:val="false"/>
          <w:color w:val="000000"/>
          <w:sz w:val="22"/>
        </w:rPr>
        <w:t xml:space="preserve">(234) </w:t>
      </w:r>
      <w:r>
        <w:rPr>
          <w:rFonts w:ascii="Times New Roman" w:hAnsi="Times New Roman"/>
          <w:b/>
          <w:i w:val="false"/>
          <w:color w:val="000000"/>
          <w:sz w:val="22"/>
        </w:rPr>
        <w:t xml:space="preserve">Voluntary quit or reduction in hours of work.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65.27(1)</w:t>
      </w:r>
      <w:r>
        <w:rPr>
          <w:rFonts w:ascii="Times New Roman" w:hAnsi="Times New Roman"/>
          <w:b w:val="false"/>
          <w:i w:val="false"/>
          <w:color w:val="000000"/>
          <w:sz w:val="22"/>
        </w:rPr>
        <w:t> </w:t>
      </w:r>
      <w:r>
        <w:rPr>
          <w:rFonts w:ascii="Times New Roman" w:hAnsi="Times New Roman"/>
          <w:b w:val="false"/>
          <w:i/>
          <w:color w:val="000000"/>
          <w:sz w:val="22"/>
        </w:rPr>
        <w:t xml:space="preserve">Applicant households. </w:t>
      </w:r>
      <w:r>
        <w:rPr>
          <w:rFonts w:ascii="Times New Roman" w:hAnsi="Times New Roman"/>
          <w:b w:val="false"/>
          <w:i w:val="false"/>
          <w:color w:val="000000"/>
          <w:sz w:val="22"/>
        </w:rPr>
        <w:t xml:space="preserve">A member of an applicant household who without good cause voluntarily quits a job or reduces hours of work to less than 30 hours weekly within 30 days before the date the household applies for benefits shall be disqualified from participating in SNAP according to the provisions of paragraphs </w:t>
      </w:r>
      <w:hyperlink r:id="rId11">
        <w:r>
          <w:rPr>
            <w:rStyle w:val="Hyperlink"/>
            <w:rFonts w:ascii="Times New Roman" w:hAnsi="Times New Roman"/>
            <w:b w:val="false"/>
            <w:i w:val="false"/>
            <w:color w:val="000000"/>
            <w:sz w:val="22"/>
          </w:rPr>
          <w:t>65.28(10)</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65.27(2)</w:t>
      </w:r>
      <w:r>
        <w:rPr>
          <w:rFonts w:ascii="Times New Roman" w:hAnsi="Times New Roman"/>
          <w:b w:val="false"/>
          <w:i w:val="false"/>
          <w:color w:val="000000"/>
          <w:sz w:val="22"/>
        </w:rPr>
        <w:t> </w:t>
      </w:r>
      <w:r>
        <w:rPr>
          <w:rFonts w:ascii="Times New Roman" w:hAnsi="Times New Roman"/>
          <w:b w:val="false"/>
          <w:i/>
          <w:color w:val="000000"/>
          <w:sz w:val="22"/>
        </w:rPr>
        <w:t xml:space="preserve">Participating individuals. </w:t>
      </w:r>
      <w:r>
        <w:rPr>
          <w:rFonts w:ascii="Times New Roman" w:hAnsi="Times New Roman"/>
          <w:b w:val="false"/>
          <w:i w:val="false"/>
          <w:color w:val="000000"/>
          <w:sz w:val="22"/>
        </w:rPr>
        <w:t xml:space="preserve">Participating individuals are subject to the same disqualification periods as provided under subrule </w:t>
      </w:r>
      <w:hyperlink r:id="rId13">
        <w:r>
          <w:rPr>
            <w:rStyle w:val="Hyperlink"/>
            <w:rFonts w:ascii="Times New Roman" w:hAnsi="Times New Roman"/>
            <w:b w:val="false"/>
            <w:i w:val="false"/>
            <w:color w:val="000000"/>
            <w:sz w:val="22"/>
          </w:rPr>
          <w:t>65.28(10)</w:t>
        </w:r>
      </w:hyperlink>
      <w:r>
        <w:rPr>
          <w:rFonts w:ascii="Times New Roman" w:hAnsi="Times New Roman"/>
          <w:b w:val="false"/>
          <w:i w:val="false"/>
          <w:color w:val="000000"/>
          <w:sz w:val="22"/>
        </w:rPr>
        <w:t xml:space="preserve"> when the participating individuals voluntarily quit employment without good cause or voluntarily reduce hours of work to less than 30 hours per week, beginning with the month following the adverse notice period.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6558C</w:t>
      </w:r>
      <w:r>
        <w:rPr>
          <w:rFonts w:ascii="Times New Roman" w:hAnsi="Times New Roman"/>
          <w:b w:val="false"/>
          <w:i w:val="false"/>
          <w:color w:val="000000"/>
          <w:sz w:val="16"/>
        </w:rPr>
        <w:t>, IAB 10/5/22, effective 12/1/22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441—65.28</w:t>
      </w:r>
      <w:r>
        <w:rPr>
          <w:rFonts w:ascii="Times New Roman" w:hAnsi="Times New Roman"/>
          <w:b/>
          <w:i w:val="false"/>
          <w:color w:val="000000"/>
          <w:sz w:val="22"/>
        </w:rPr>
        <w:t xml:space="preserve">(234) </w:t>
      </w:r>
      <w:r>
        <w:rPr>
          <w:rFonts w:ascii="Times New Roman" w:hAnsi="Times New Roman"/>
          <w:b/>
          <w:i w:val="false"/>
          <w:color w:val="000000"/>
          <w:sz w:val="22"/>
        </w:rPr>
        <w:t xml:space="preserve">Work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65.28(1)</w:t>
      </w:r>
      <w:r>
        <w:rPr>
          <w:rFonts w:ascii="Times New Roman" w:hAnsi="Times New Roman"/>
          <w:b w:val="false"/>
          <w:i w:val="false"/>
          <w:color w:val="000000"/>
          <w:sz w:val="22"/>
        </w:rPr>
        <w:t> </w:t>
      </w:r>
      <w:r>
        <w:rPr>
          <w:rFonts w:ascii="Times New Roman" w:hAnsi="Times New Roman"/>
          <w:b w:val="false"/>
          <w:i/>
          <w:color w:val="000000"/>
          <w:sz w:val="22"/>
        </w:rPr>
        <w:t xml:space="preserve">Persons required to register. </w:t>
      </w:r>
      <w:r>
        <w:rPr>
          <w:rFonts w:ascii="Times New Roman" w:hAnsi="Times New Roman"/>
          <w:b w:val="false"/>
          <w:i w:val="false"/>
          <w:color w:val="000000"/>
          <w:sz w:val="22"/>
        </w:rPr>
        <w:t xml:space="preserve">Each household member who is not exempt by subrule </w:t>
      </w:r>
      <w:hyperlink r:id="rId14">
        <w:r>
          <w:rPr>
            <w:rStyle w:val="Hyperlink"/>
            <w:rFonts w:ascii="Times New Roman" w:hAnsi="Times New Roman"/>
            <w:b w:val="false"/>
            <w:i w:val="false"/>
            <w:color w:val="000000"/>
            <w:sz w:val="22"/>
          </w:rPr>
          <w:t>65.28(2)</w:t>
        </w:r>
      </w:hyperlink>
      <w:r>
        <w:rPr>
          <w:rFonts w:ascii="Times New Roman" w:hAnsi="Times New Roman"/>
          <w:b w:val="false"/>
          <w:i w:val="false"/>
          <w:color w:val="000000"/>
          <w:sz w:val="22"/>
        </w:rPr>
        <w:t xml:space="preserve"> shall be registered for employment at the time of application, and once every 12 months after initial registration, as a condition of eligibility. Registration is accomplished when the applicant signs an application form that contains a statement that all members in the household who are required to register for work are willing to register for work. This signature registers all members of that SNAP household who are required to register.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65.28(2)</w:t>
      </w:r>
      <w:r>
        <w:rPr>
          <w:rFonts w:ascii="Times New Roman" w:hAnsi="Times New Roman"/>
          <w:b w:val="false"/>
          <w:i w:val="false"/>
          <w:color w:val="000000"/>
          <w:sz w:val="22"/>
        </w:rPr>
        <w:t> </w:t>
      </w:r>
      <w:r>
        <w:rPr>
          <w:rFonts w:ascii="Times New Roman" w:hAnsi="Times New Roman"/>
          <w:b w:val="false"/>
          <w:i/>
          <w:color w:val="000000"/>
          <w:sz w:val="22"/>
        </w:rPr>
        <w:t xml:space="preserve">Exemptions from work registration. </w:t>
      </w:r>
      <w:r>
        <w:rPr>
          <w:rFonts w:ascii="Times New Roman" w:hAnsi="Times New Roman"/>
          <w:b w:val="false"/>
          <w:i w:val="false"/>
          <w:color w:val="000000"/>
          <w:sz w:val="22"/>
        </w:rPr>
        <w:t>The following persons are exempt from the work registration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person younger than 16 years of age or a person 60 years of age or older. A person aged 16 or 17 who is not a head of a household or who is attending school, or is enrolled in an employment training program on at least a half-time basis is exempt.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person physically or mentally unfit for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household member subject to and complying with any work requirement under </w:t>
      </w:r>
      <w:r>
        <w:rPr>
          <w:rFonts w:ascii="Times New Roman" w:hAnsi="Times New Roman"/>
          <w:b w:val="false"/>
          <w:i w:val="false"/>
          <w:color w:val="000000"/>
          <w:sz w:val="22"/>
        </w:rPr>
        <w:t>Title IV of the Social Security Act</w:t>
      </w:r>
      <w:r>
        <w:rPr>
          <w:rFonts w:ascii="Times New Roman" w:hAnsi="Times New Roman"/>
          <w:b w:val="false"/>
          <w:i w:val="false"/>
          <w:color w:val="000000"/>
          <w:sz w:val="22"/>
        </w:rPr>
        <w:t xml:space="preserve"> including mandatory PROMISE JOBS referral.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parent or other household member who is responsible for the care of a dependent child under age six or an incapacitated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person receiving unemployment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regular participant in a drug addiction or alcohol treatment and rehabilitation program which is certified by the Iowa department of public health, division of substance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person who is employed or self-employed and working a minimum of 30 hours weekly or receiving weekly earnings at least equal to the federal minimum wage multiplied by 30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student enrolled at least half-time in any recognized school, recognized training program, or an institution of higher education (provided that students have met the requirements of federal regulation, Title 7, Part 273.5, as amended to December 31, 1986).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65.28(3)</w:t>
      </w:r>
      <w:r>
        <w:rPr>
          <w:rFonts w:ascii="Times New Roman" w:hAnsi="Times New Roman"/>
          <w:b w:val="false"/>
          <w:i w:val="false"/>
          <w:color w:val="000000"/>
          <w:sz w:val="22"/>
        </w:rPr>
        <w:t> </w:t>
      </w:r>
      <w:r>
        <w:rPr>
          <w:rFonts w:ascii="Times New Roman" w:hAnsi="Times New Roman"/>
          <w:b w:val="false"/>
          <w:i/>
          <w:color w:val="000000"/>
          <w:sz w:val="22"/>
        </w:rPr>
        <w:t xml:space="preserve">Losing exempt status. </w:t>
      </w:r>
      <w:r>
        <w:rPr>
          <w:rFonts w:ascii="Times New Roman" w:hAnsi="Times New Roman"/>
          <w:b w:val="false"/>
          <w:i w:val="false"/>
          <w:color w:val="000000"/>
          <w:sz w:val="22"/>
        </w:rPr>
        <w:t>Persons who lose exempt status due to any change in circumstances that is subject to the reporting requirements shall register for employment when the change is reported. Persons who lose exempt status due to a change in circumstances that is not subject to the reporting requirements for that household shall register for employment no later than at the household’s next recertification.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65.28(4)</w:t>
      </w:r>
      <w:r>
        <w:rPr>
          <w:rFonts w:ascii="Times New Roman" w:hAnsi="Times New Roman"/>
          <w:b w:val="false"/>
          <w:i w:val="false"/>
          <w:color w:val="000000"/>
          <w:sz w:val="22"/>
        </w:rPr>
        <w:t> </w:t>
      </w:r>
      <w:r>
        <w:rPr>
          <w:rFonts w:ascii="Times New Roman" w:hAnsi="Times New Roman"/>
          <w:b w:val="false"/>
          <w:i/>
          <w:color w:val="000000"/>
          <w:sz w:val="22"/>
        </w:rPr>
        <w:t xml:space="preserve">Registration process. </w:t>
      </w:r>
      <w:r>
        <w:rPr>
          <w:rFonts w:ascii="Times New Roman" w:hAnsi="Times New Roman"/>
          <w:b w:val="false"/>
          <w:i w:val="false"/>
          <w:color w:val="000000"/>
          <w:sz w:val="22"/>
        </w:rPr>
        <w:t>Upon reaching a determination that an applicant or a member of the applicant’s household is required to register, the pertinent work requirements, the rights and responsibilities of work-registered household members, and the consequences of failure to comply shall be explained to the applicant. A written statement of the above shall be provided to each registrant in the household. The written statement shall also be provided at recertification and when a previously exempt member or a new household member becomes subject to work registration.</w:t>
      </w:r>
    </w:p>
    <w:p>
      <w:pPr>
        <w:spacing w:before="0" w:after="0"/>
        <w:ind w:left="120"/>
        <w:jc w:val="both"/>
      </w:pPr>
      <w:r>
        <w:rPr>
          <w:rFonts w:ascii="Times New Roman" w:hAnsi="Times New Roman"/>
          <w:b w:val="false"/>
          <w:i w:val="false"/>
          <w:color w:val="000000"/>
          <w:sz w:val="22"/>
        </w:rPr>
        <w:t>Registration for all nonexempt household members required to work register is accomplished when the applicant or recipient signs an application, recertification, or reporting form containing an affirmative response to the question, “Do all members who are required to work register and participate in job search agree to do so?” or similarly worded statement.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65.28(5)</w:t>
      </w:r>
      <w:r>
        <w:rPr>
          <w:rFonts w:ascii="Times New Roman" w:hAnsi="Times New Roman"/>
          <w:b w:val="false"/>
          <w:i w:val="false"/>
          <w:color w:val="000000"/>
          <w:sz w:val="22"/>
        </w:rPr>
        <w:t> </w:t>
      </w:r>
      <w:r>
        <w:rPr>
          <w:rFonts w:ascii="Times New Roman" w:hAnsi="Times New Roman"/>
          <w:b w:val="false"/>
          <w:i/>
          <w:color w:val="000000"/>
          <w:sz w:val="22"/>
        </w:rPr>
        <w:t xml:space="preserve">Deregistration. </w:t>
      </w:r>
      <w:r>
        <w:rPr>
          <w:rFonts w:ascii="Times New Roman" w:hAnsi="Times New Roman"/>
          <w:b w:val="false"/>
          <w:i w:val="false"/>
          <w:color w:val="000000"/>
          <w:sz w:val="22"/>
        </w:rPr>
        <w:t>Work registrants who obtain employment or otherwise become exempt from the work requirement subsequent to registration or who are no longer certified for participation are no longer considered registered.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65.28(6)</w:t>
      </w:r>
      <w:r>
        <w:rPr>
          <w:rFonts w:ascii="Times New Roman" w:hAnsi="Times New Roman"/>
          <w:b w:val="false"/>
          <w:i w:val="false"/>
          <w:color w:val="000000"/>
          <w:sz w:val="22"/>
        </w:rPr>
        <w:t> </w:t>
      </w:r>
      <w:r>
        <w:rPr>
          <w:rFonts w:ascii="Times New Roman" w:hAnsi="Times New Roman"/>
          <w:b w:val="false"/>
          <w:i/>
          <w:color w:val="000000"/>
          <w:sz w:val="22"/>
        </w:rPr>
        <w:t xml:space="preserve">Work registrant requirements. </w:t>
      </w:r>
      <w:r>
        <w:rPr>
          <w:rFonts w:ascii="Times New Roman" w:hAnsi="Times New Roman"/>
          <w:b w:val="false"/>
          <w:i w:val="false"/>
          <w:color w:val="000000"/>
          <w:sz w:val="22"/>
        </w:rPr>
        <w:t>Work registrants shall respond to a request from the department or its designee for supplemental information regarding employment status or availability for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65.28(7)</w:t>
      </w:r>
      <w:r>
        <w:rPr>
          <w:rFonts w:ascii="Times New Roman" w:hAnsi="Times New Roman"/>
          <w:b w:val="false"/>
          <w:i w:val="false"/>
          <w:color w:val="000000"/>
          <w:sz w:val="22"/>
        </w:rPr>
        <w:t> </w:t>
      </w:r>
      <w:r>
        <w:rPr>
          <w:rFonts w:ascii="Times New Roman" w:hAnsi="Times New Roman"/>
          <w:b w:val="false"/>
          <w:i/>
          <w:color w:val="000000"/>
          <w:sz w:val="22"/>
        </w:rPr>
        <w:t xml:space="preserve">Employment and training (E&amp;T) program. </w:t>
      </w:r>
      <w:r>
        <w:rPr>
          <w:rFonts w:ascii="Times New Roman" w:hAnsi="Times New Roman"/>
          <w:b w:val="false"/>
          <w:i w:val="false"/>
          <w:color w:val="000000"/>
          <w:sz w:val="22"/>
        </w:rPr>
        <w:t xml:space="preserve">The department shall design and operate an employment and training program with the purpose of providing SNAP participants opportunities to gain skills, training, work, or experience that will increase their ability to obtain regular employment and meet state or local workforce needs in accordance with the Food and Nutrition Act of 2008, </w:t>
      </w:r>
      <w:r>
        <w:rPr>
          <w:rFonts w:ascii="Times New Roman" w:hAnsi="Times New Roman"/>
          <w:b w:val="false"/>
          <w:i w:val="false"/>
          <w:color w:val="000000"/>
          <w:sz w:val="22"/>
        </w:rPr>
        <w:t>7 U.S.C. 2011 et seq.</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employment and training program serves individuals who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SNAP recipients or SNAP applicants.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Not receiving FIP assistance or other cash assistance under Title IV such as Tribal Temporary Assistance for Needy Families (TANF) or Refugee Cash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Physically and mentally able to work or will be able to work within the next one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or its designee shall serve as the provider of employment and training services for SNAP recipients who wish to volunteer, except for those who are also recipients of FIP benefits. Federal law prohibits FIP recipients from participating in any SNAP employment and training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program offers a range of services from basic skills to advanced occupational training in order to accommodate persons with various levels of need and abilities. The department or its designee may require a potential E&amp;T participant to engage in aptitude or vocational testing activities when deemed necessary to determine if a component is appropriate for improving employability.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E&amp;T program shall be designed in consultation with the state workforce development board, or with private employers or employer organizations if the department determines the latter approach is more effective and efficient.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E&amp;T program shall be designed to include case management services and at least one or more, or a combination of, employment and training components.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E&amp;T plan shall be submitted to the Food and Nutrition Service (FNS) of the U.S. Department of Agriculture annually in accordance with 7 CFR 273.7(c)(6) as amended to May 2, 2022, and shall be amended as necessary within the required time frame prior to implementation.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65.28(8)</w:t>
      </w:r>
      <w:r>
        <w:rPr>
          <w:rFonts w:ascii="Times New Roman" w:hAnsi="Times New Roman"/>
          <w:b w:val="false"/>
          <w:i w:val="false"/>
          <w:color w:val="000000"/>
          <w:sz w:val="22"/>
        </w:rPr>
        <w:t> </w:t>
      </w:r>
      <w:r>
        <w:rPr>
          <w:rFonts w:ascii="Times New Roman" w:hAnsi="Times New Roman"/>
          <w:b w:val="false"/>
          <w:i/>
          <w:color w:val="000000"/>
          <w:sz w:val="22"/>
        </w:rPr>
        <w:t xml:space="preserve">Employment and training components. </w:t>
      </w:r>
      <w:r>
        <w:rPr>
          <w:rFonts w:ascii="Times New Roman" w:hAnsi="Times New Roman"/>
          <w:b w:val="false"/>
          <w:i w:val="false"/>
          <w:color w:val="000000"/>
          <w:sz w:val="22"/>
        </w:rPr>
        <w:t>All E&amp;T participants shall be provided case management services and at least one employment and training component in accordance with 7 CFR 237.7(e) as amended to May 2, 2022. Employment and training components shall be provided as approved in the most recent FNS-approved E&amp;T state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65.28(9)</w:t>
      </w:r>
      <w:r>
        <w:rPr>
          <w:rFonts w:ascii="Times New Roman" w:hAnsi="Times New Roman"/>
          <w:b w:val="false"/>
          <w:i w:val="false"/>
          <w:color w:val="000000"/>
          <w:sz w:val="22"/>
        </w:rPr>
        <w:t> </w:t>
      </w:r>
      <w:r>
        <w:rPr>
          <w:rFonts w:ascii="Times New Roman" w:hAnsi="Times New Roman"/>
          <w:b w:val="false"/>
          <w:i/>
          <w:color w:val="000000"/>
          <w:sz w:val="22"/>
        </w:rPr>
        <w:t xml:space="preserve">Supportive services. </w:t>
      </w:r>
      <w:r>
        <w:rPr>
          <w:rFonts w:ascii="Times New Roman" w:hAnsi="Times New Roman"/>
          <w:b w:val="false"/>
          <w:i w:val="false"/>
          <w:color w:val="000000"/>
          <w:sz w:val="22"/>
        </w:rPr>
        <w:t>The department shall provide participant reimbursements for expenses that are reasonable and necessary and directly related to participation in the E&amp;T program. Supportive services shall be provided to the extent allowable under federal regulations at 7 CFR 237.7(d)(4) as amended to May 2, 2022, and as approved in the most recent FNS-approved E&amp;T state plan and to the extent there is sufficient funding to cover the costs.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65.28(10)</w:t>
      </w:r>
      <w:r>
        <w:rPr>
          <w:rFonts w:ascii="Times New Roman" w:hAnsi="Times New Roman"/>
          <w:b w:val="false"/>
          <w:i w:val="false"/>
          <w:color w:val="000000"/>
          <w:sz w:val="22"/>
        </w:rPr>
        <w:t> </w:t>
      </w:r>
      <w:r>
        <w:rPr>
          <w:rFonts w:ascii="Times New Roman" w:hAnsi="Times New Roman"/>
          <w:b w:val="false"/>
          <w:i/>
          <w:color w:val="000000"/>
          <w:sz w:val="22"/>
        </w:rPr>
        <w:t xml:space="preserve">Failure to comply. </w:t>
      </w:r>
      <w:r>
        <w:rPr>
          <w:rFonts w:ascii="Times New Roman" w:hAnsi="Times New Roman"/>
          <w:b w:val="false"/>
          <w:i w:val="false"/>
          <w:color w:val="000000"/>
          <w:sz w:val="22"/>
        </w:rPr>
        <w:t xml:space="preserve">This subrule applies only to persons who are mandatory work registrants as required by subrule </w:t>
      </w:r>
      <w:hyperlink r:id="rId15">
        <w:r>
          <w:rPr>
            <w:rStyle w:val="Hyperlink"/>
            <w:rFonts w:ascii="Times New Roman" w:hAnsi="Times New Roman"/>
            <w:b w:val="false"/>
            <w:i w:val="false"/>
            <w:color w:val="000000"/>
            <w:sz w:val="22"/>
          </w:rPr>
          <w:t>65.28(1)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 person has refused or failed without good cause to comply with the work registration requirements in this rule, that person shall be ineligible to participate in SNAP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First violation: The later of (1) the date the individual complies with the requirement; or (2) two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Second violation: The later of (1) the date the individual complies with the requirement; or (2) three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Third and subsequent violations: The later of (1) the date the individual complies with the requirement; or (2) six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disqualification period shall begin with the first month following the expiration of the adverse notice period, unless a fair hearing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65.28(11)</w:t>
      </w:r>
      <w:r>
        <w:rPr>
          <w:rFonts w:ascii="Times New Roman" w:hAnsi="Times New Roman"/>
          <w:b w:val="false"/>
          <w:i w:val="false"/>
          <w:color w:val="000000"/>
          <w:sz w:val="22"/>
        </w:rPr>
        <w:t> </w:t>
      </w:r>
      <w:r>
        <w:rPr>
          <w:rFonts w:ascii="Times New Roman" w:hAnsi="Times New Roman"/>
          <w:b w:val="false"/>
          <w:i/>
          <w:color w:val="000000"/>
          <w:sz w:val="22"/>
        </w:rPr>
        <w:t xml:space="preserve">Noncompliance with comparable requirements. </w:t>
      </w:r>
      <w:r>
        <w:rPr>
          <w:rFonts w:ascii="Times New Roman" w:hAnsi="Times New Roman"/>
          <w:b w:val="false"/>
          <w:i w:val="false"/>
          <w:color w:val="000000"/>
          <w:sz w:val="22"/>
        </w:rPr>
        <w:t xml:space="preserve">The department shall treat a mandatory work registrant’s failure to comply with an unemployment compensation requirement that is comparable to a SNAP work registration requirement as a failure to comply with the corresponding SNAP requirement. Disqualification procedures in subrule </w:t>
      </w:r>
      <w:hyperlink r:id="rId16">
        <w:r>
          <w:rPr>
            <w:rStyle w:val="Hyperlink"/>
            <w:rFonts w:ascii="Times New Roman" w:hAnsi="Times New Roman"/>
            <w:b w:val="false"/>
            <w:i w:val="false"/>
            <w:color w:val="000000"/>
            <w:sz w:val="22"/>
          </w:rPr>
          <w:t>65.28(10)</w:t>
        </w:r>
      </w:hyperlink>
      <w:r>
        <w:rPr>
          <w:rFonts w:ascii="Times New Roman" w:hAnsi="Times New Roman"/>
          <w:b w:val="false"/>
          <w:i w:val="false"/>
          <w:color w:val="000000"/>
          <w:sz w:val="22"/>
        </w:rPr>
        <w:t xml:space="preserve"> shall be followed.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65.28(12)</w:t>
      </w:r>
      <w:r>
        <w:rPr>
          <w:rFonts w:ascii="Times New Roman" w:hAnsi="Times New Roman"/>
          <w:b w:val="false"/>
          <w:i w:val="false"/>
          <w:color w:val="000000"/>
          <w:sz w:val="22"/>
        </w:rPr>
        <w:t> </w:t>
      </w:r>
      <w:r>
        <w:rPr>
          <w:rFonts w:ascii="Times New Roman" w:hAnsi="Times New Roman"/>
          <w:b w:val="false"/>
          <w:i/>
          <w:color w:val="000000"/>
          <w:sz w:val="22"/>
        </w:rPr>
        <w:t xml:space="preserve">Ending disqualification. </w:t>
      </w:r>
      <w:r>
        <w:rPr>
          <w:rFonts w:ascii="Times New Roman" w:hAnsi="Times New Roman"/>
          <w:b w:val="false"/>
          <w:i w:val="false"/>
          <w:color w:val="000000"/>
          <w:sz w:val="22"/>
        </w:rPr>
        <w:t xml:space="preserve">Following the end of the disqualification periods for noncompliance and as provided in rules </w:t>
      </w:r>
      <w:hyperlink r:id="rId17">
        <w:r>
          <w:rPr>
            <w:rStyle w:val="Hyperlink"/>
            <w:rFonts w:ascii="Times New Roman" w:hAnsi="Times New Roman"/>
            <w:b w:val="false"/>
            <w:i w:val="false"/>
            <w:color w:val="000000"/>
            <w:sz w:val="22"/>
          </w:rPr>
          <w:t>441—65.27</w:t>
        </w:r>
      </w:hyperlink>
      <w:r>
        <w:rPr>
          <w:rFonts w:ascii="Times New Roman" w:hAnsi="Times New Roman"/>
          <w:b w:val="false"/>
          <w:i w:val="false"/>
          <w:color w:val="000000"/>
          <w:sz w:val="22"/>
        </w:rPr>
        <w:t xml:space="preserve">(234) and </w:t>
      </w:r>
      <w:hyperlink r:id="rId18">
        <w:r>
          <w:rPr>
            <w:rStyle w:val="Hyperlink"/>
            <w:rFonts w:ascii="Times New Roman" w:hAnsi="Times New Roman"/>
            <w:b w:val="false"/>
            <w:i w:val="false"/>
            <w:color w:val="000000"/>
            <w:sz w:val="22"/>
          </w:rPr>
          <w:t>441—65.28</w:t>
        </w:r>
      </w:hyperlink>
      <w:r>
        <w:rPr>
          <w:rFonts w:ascii="Times New Roman" w:hAnsi="Times New Roman"/>
          <w:b w:val="false"/>
          <w:i w:val="false"/>
          <w:color w:val="000000"/>
          <w:sz w:val="22"/>
        </w:rPr>
        <w:t>(234), participation may resume.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disqualified under subrule </w:t>
      </w:r>
      <w:hyperlink r:id="rId19">
        <w:r>
          <w:rPr>
            <w:rStyle w:val="Hyperlink"/>
            <w:rFonts w:ascii="Times New Roman" w:hAnsi="Times New Roman"/>
            <w:b w:val="false"/>
            <w:i w:val="false"/>
            <w:color w:val="000000"/>
            <w:sz w:val="22"/>
          </w:rPr>
          <w:t>65.27(1)</w:t>
        </w:r>
      </w:hyperlink>
      <w:r>
        <w:rPr>
          <w:rFonts w:ascii="Times New Roman" w:hAnsi="Times New Roman"/>
          <w:b w:val="false"/>
          <w:i w:val="false"/>
          <w:color w:val="000000"/>
          <w:sz w:val="22"/>
        </w:rPr>
        <w:t xml:space="preserve"> may be approved for benefits after serving the minimum disqualification period and complying with the work requirement,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applicant voluntarily quit a job, the applicant must obtain a job comparable to the one that the applicant quit.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applicant voluntarily reduced hours of employment to less than 30 hours per week, the applicant must start working 30 or more hours per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disqualified individual who is a member of a currently participating eligible household shall be added to the household after the minimum disqualification period has been served and the person has complied with the failed requirement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member failed or refused to register for work with the department, the member complies by registering.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member voluntarily quit a job, the member must obtain a job comparable to the one quit.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member voluntarily reduced hours of employment to less than 30 hours per week, the member must start working 30 or more hours per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individual may reestablish eligibility during a disqualification period by becoming exempt from the work requirement as provided in subrule </w:t>
      </w:r>
      <w:hyperlink r:id="rId20">
        <w:r>
          <w:rPr>
            <w:rStyle w:val="Hyperlink"/>
            <w:rFonts w:ascii="Times New Roman" w:hAnsi="Times New Roman"/>
            <w:b w:val="false"/>
            <w:i w:val="false"/>
            <w:color w:val="000000"/>
            <w:sz w:val="22"/>
          </w:rPr>
          <w:t>65.28(2)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65.28(13)</w:t>
      </w:r>
      <w:r>
        <w:rPr>
          <w:rFonts w:ascii="Times New Roman" w:hAnsi="Times New Roman"/>
          <w:b w:val="false"/>
          <w:i w:val="false"/>
          <w:color w:val="000000"/>
          <w:sz w:val="22"/>
        </w:rPr>
        <w:t> </w:t>
      </w:r>
      <w:r>
        <w:rPr>
          <w:rFonts w:ascii="Times New Roman" w:hAnsi="Times New Roman"/>
          <w:b w:val="false"/>
          <w:i/>
          <w:color w:val="000000"/>
          <w:sz w:val="22"/>
        </w:rPr>
        <w:t xml:space="preserve">Suitable employment. </w:t>
      </w:r>
      <w:r>
        <w:rPr>
          <w:rFonts w:ascii="Times New Roman" w:hAnsi="Times New Roman"/>
          <w:b w:val="false"/>
          <w:i w:val="false"/>
          <w:color w:val="000000"/>
          <w:sz w:val="22"/>
        </w:rPr>
        <w:t>Employment shall be considered unsuitable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wage offered is less than the highest of the applicable federal minimum wage, the applicable state minimum wage, or 80 percent of the federal minimum wage if neither the federal nor state minimum wage is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employment offered is on a piece-rate basis and the average hourly yield the employee can reasonably be expected to earn is less than the applicable hourly wages specified in paragraph </w:t>
      </w:r>
      <w:r>
        <w:rPr>
          <w:rFonts w:ascii="Times New Roman" w:hAnsi="Times New Roman"/>
          <w:b w:val="false"/>
          <w:i/>
          <w:color w:val="000000"/>
          <w:sz w:val="22"/>
        </w:rPr>
        <w:t>“a”</w:t>
      </w:r>
      <w:r>
        <w:rPr>
          <w:rFonts w:ascii="Times New Roman" w:hAnsi="Times New Roman"/>
          <w:b w:val="false"/>
          <w:i w:val="false"/>
          <w:color w:val="000000"/>
          <w:sz w:val="22"/>
        </w:rPr>
        <w:t xml:space="preserve">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household member, as a condition of employment or continuing employment, is required to join, resign from, or refrain from joining a legitimate labor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work offered is at a site subject to a strike or lockout at the time of the offer unless the strike has been enjoined under </w:t>
      </w:r>
      <w:r>
        <w:rPr>
          <w:rFonts w:ascii="Times New Roman" w:hAnsi="Times New Roman"/>
          <w:b w:val="false"/>
          <w:i w:val="false"/>
          <w:color w:val="000000"/>
          <w:sz w:val="22"/>
        </w:rPr>
        <w:t>Section 208 of the Labor-Management Relations Act</w:t>
      </w:r>
      <w:r>
        <w:rPr>
          <w:rFonts w:ascii="Times New Roman" w:hAnsi="Times New Roman"/>
          <w:b w:val="false"/>
          <w:i w:val="false"/>
          <w:color w:val="000000"/>
          <w:sz w:val="22"/>
        </w:rPr>
        <w:t xml:space="preserve"> (</w:t>
      </w:r>
      <w:r>
        <w:rPr>
          <w:rFonts w:ascii="Times New Roman" w:hAnsi="Times New Roman"/>
          <w:b w:val="false"/>
          <w:i w:val="false"/>
          <w:color w:val="000000"/>
          <w:sz w:val="22"/>
        </w:rPr>
        <w:t>29 U.S.C. 78A</w:t>
      </w:r>
      <w:r>
        <w:rPr>
          <w:rFonts w:ascii="Times New Roman" w:hAnsi="Times New Roman"/>
          <w:b w:val="false"/>
          <w:i w:val="false"/>
          <w:color w:val="000000"/>
          <w:sz w:val="22"/>
        </w:rPr>
        <w:t xml:space="preserve">) (commonly known as the Taft-Hartley Act), or unless an injunction has been issued under </w:t>
      </w:r>
      <w:r>
        <w:rPr>
          <w:rFonts w:ascii="Times New Roman" w:hAnsi="Times New Roman"/>
          <w:b w:val="false"/>
          <w:i w:val="false"/>
          <w:color w:val="000000"/>
          <w:sz w:val="22"/>
        </w:rPr>
        <w:t>Section 10 of the Railway Labor Act</w:t>
      </w:r>
      <w:r>
        <w:rPr>
          <w:rFonts w:ascii="Times New Roman" w:hAnsi="Times New Roman"/>
          <w:b w:val="false"/>
          <w:i w:val="false"/>
          <w:color w:val="000000"/>
          <w:sz w:val="22"/>
        </w:rPr>
        <w:t xml:space="preserve"> (</w:t>
      </w:r>
      <w:r>
        <w:rPr>
          <w:rFonts w:ascii="Times New Roman" w:hAnsi="Times New Roman"/>
          <w:b w:val="false"/>
          <w:i w:val="false"/>
          <w:color w:val="000000"/>
          <w:sz w:val="22"/>
        </w:rPr>
        <w:t>45 U.S.C. 160</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household member involved can demonstrate or the department otherwise becomes aware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degree of risk to health and safety is unreasonable.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member is physically or mentally unfit to perform the employment, as documented by medical evidence or by reliable information from other 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employment offered within the first 30 days of registration is not in the member’s major field of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distance from the member’s home to the place of employment is unreasonable considering the expected wage and the time and cost of commuting. Employment shall not be considered suitable if daily commuting time exceeds two hours per day, not including the transporting of a child to and from a child care facility. Employment shall also not be considered suitable if the distance to the place of employment prohibits walking and neither public nor private transportation is available to transport the member to the job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working hours or nature of the employment interferes with the member’s religious observances, convictions, or beliefs.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65.28(14)</w:t>
      </w:r>
      <w:r>
        <w:rPr>
          <w:rFonts w:ascii="Times New Roman" w:hAnsi="Times New Roman"/>
          <w:b w:val="false"/>
          <w:i w:val="false"/>
          <w:color w:val="000000"/>
          <w:sz w:val="22"/>
        </w:rPr>
        <w:t> </w:t>
      </w:r>
      <w:r>
        <w:rPr>
          <w:rFonts w:ascii="Times New Roman" w:hAnsi="Times New Roman"/>
          <w:b w:val="false"/>
          <w:i/>
          <w:color w:val="000000"/>
          <w:sz w:val="22"/>
        </w:rPr>
        <w:t xml:space="preserve">Applicants for supplemental security income (SSI) and SNAP. </w:t>
      </w:r>
      <w:r>
        <w:rPr>
          <w:rFonts w:ascii="Times New Roman" w:hAnsi="Times New Roman"/>
          <w:b w:val="false"/>
          <w:i w:val="false"/>
          <w:color w:val="000000"/>
          <w:sz w:val="22"/>
        </w:rPr>
        <w:t>Household members who are jointly applying for SSI and for SNAP shall have the requirements for work registration waived until: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They are determined eligible for SSI and thereby become exempt from work registration,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They are determined ineligible for SSI whereupon a determination of work registration status will be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65.28(15)</w:t>
      </w:r>
      <w:r>
        <w:rPr>
          <w:rFonts w:ascii="Times New Roman" w:hAnsi="Times New Roman"/>
          <w:b w:val="false"/>
          <w:i w:val="false"/>
          <w:color w:val="000000"/>
          <w:sz w:val="22"/>
        </w:rPr>
        <w:t> </w:t>
      </w:r>
      <w:r>
        <w:rPr>
          <w:rFonts w:ascii="Times New Roman" w:hAnsi="Times New Roman"/>
          <w:b w:val="false"/>
          <w:i/>
          <w:color w:val="000000"/>
          <w:sz w:val="22"/>
        </w:rPr>
        <w:t xml:space="preserve">Determining good cause. </w:t>
      </w:r>
      <w:r>
        <w:rPr>
          <w:rFonts w:ascii="Times New Roman" w:hAnsi="Times New Roman"/>
          <w:b w:val="false"/>
          <w:i w:val="false"/>
          <w:color w:val="000000"/>
          <w:sz w:val="22"/>
        </w:rPr>
        <w:t xml:space="preserve">The department or its designee shall determine whether good cause exists for failure to comply with the work registration, employment and training, and voluntary quit requirements in </w:t>
      </w:r>
      <w:hyperlink r:id="rId21">
        <w:r>
          <w:rPr>
            <w:rStyle w:val="Hyperlink"/>
            <w:rFonts w:ascii="Times New Roman" w:hAnsi="Times New Roman"/>
            <w:b w:val="false"/>
            <w:i w:val="false"/>
            <w:color w:val="000000"/>
            <w:sz w:val="22"/>
          </w:rPr>
          <w:t>441—Chapter 65</w:t>
        </w:r>
      </w:hyperlink>
      <w:r>
        <w:rPr>
          <w:rFonts w:ascii="Times New Roman" w:hAnsi="Times New Roman"/>
          <w:b w:val="false"/>
          <w:i w:val="false"/>
          <w:color w:val="000000"/>
          <w:sz w:val="22"/>
        </w:rPr>
        <w:t>. In determining whether good cause exists, the facts and circumstances shall be considered, including information submitted by the household member involved and the employer.</w:t>
      </w:r>
    </w:p>
    <w:p>
      <w:pPr>
        <w:spacing w:before="0" w:after="0"/>
        <w:ind w:left="120"/>
        <w:jc w:val="both"/>
      </w:pPr>
      <w:r>
        <w:rPr>
          <w:rFonts w:ascii="Times New Roman" w:hAnsi="Times New Roman"/>
          <w:b w:val="false"/>
          <w:i w:val="false"/>
          <w:color w:val="000000"/>
          <w:sz w:val="22"/>
        </w:rPr>
        <w:t>Good cause shall include circumstances beyond the member’s control, such as, but not limited to, illness of the registrant or of another household member requiring the presence of the registrant, a household emergency, the unavailability of transportation, or the lack of adequate child care for children who have reached age 6 but are under age 12.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65.28(16)</w:t>
      </w:r>
      <w:r>
        <w:rPr>
          <w:rFonts w:ascii="Times New Roman" w:hAnsi="Times New Roman"/>
          <w:b w:val="false"/>
          <w:i w:val="false"/>
          <w:color w:val="000000"/>
          <w:sz w:val="22"/>
        </w:rPr>
        <w:t> </w:t>
      </w:r>
      <w:r>
        <w:rPr>
          <w:rFonts w:ascii="Times New Roman" w:hAnsi="Times New Roman"/>
          <w:b w:val="false"/>
          <w:i/>
          <w:color w:val="000000"/>
          <w:sz w:val="22"/>
        </w:rPr>
        <w:t xml:space="preserve">Measuring the three-year period for able-bodied nonexempt adults without dependents. </w:t>
      </w:r>
      <w:r>
        <w:rPr>
          <w:rFonts w:ascii="Times New Roman" w:hAnsi="Times New Roman"/>
          <w:b w:val="false"/>
          <w:i w:val="false"/>
          <w:color w:val="000000"/>
          <w:sz w:val="22"/>
        </w:rPr>
        <w:t xml:space="preserve">The three-year period as provided for in federal regulations at </w:t>
      </w:r>
      <w:r>
        <w:rPr>
          <w:rFonts w:ascii="Times New Roman" w:hAnsi="Times New Roman"/>
          <w:b w:val="false"/>
          <w:i w:val="false"/>
          <w:color w:val="000000"/>
          <w:sz w:val="22"/>
        </w:rPr>
        <w:t>7 CFR 273.24</w:t>
      </w:r>
      <w:r>
        <w:rPr>
          <w:rFonts w:ascii="Times New Roman" w:hAnsi="Times New Roman"/>
          <w:b w:val="false"/>
          <w:i w:val="false"/>
          <w:color w:val="000000"/>
          <w:sz w:val="22"/>
        </w:rPr>
        <w:t xml:space="preserve"> as amended to May 2, 2022, starts on December 1, 2002, and ends November 30, 2005. Subsequent three-year periods start with the month of December following the end of the previous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65.28(17)</w:t>
      </w:r>
      <w:r>
        <w:rPr>
          <w:rFonts w:ascii="Times New Roman" w:hAnsi="Times New Roman"/>
          <w:b w:val="false"/>
          <w:i w:val="false"/>
          <w:color w:val="000000"/>
          <w:sz w:val="22"/>
        </w:rPr>
        <w:t> </w:t>
      </w:r>
      <w:r>
        <w:rPr>
          <w:rFonts w:ascii="Times New Roman" w:hAnsi="Times New Roman"/>
          <w:b w:val="false"/>
          <w:i/>
          <w:color w:val="000000"/>
          <w:sz w:val="22"/>
        </w:rPr>
        <w:t xml:space="preserve">Mini-simplified SNAP.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The department operates a mini-simplified SNAP for households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Also receive benefits under FIP;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Include a parent who is exempt from SNAP requirements for work registration due to caring for a child under the age of six.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Effect. </w:t>
      </w:r>
      <w:r>
        <w:rPr>
          <w:rFonts w:ascii="Times New Roman" w:hAnsi="Times New Roman"/>
          <w:b w:val="false"/>
          <w:i w:val="false"/>
          <w:color w:val="000000"/>
          <w:sz w:val="22"/>
        </w:rPr>
        <w:t>The mini-simplified SNAP allows replacement of certain SNAP work rules with work rules of the TANF program. The value of the household’s monthly SNAP benefits shall be combined with the household’s monthly FIP benefit amount to determine the maximum number of hours the department can require a household member under FIP to participate in an unpaid work activity that is subject to the federal Fair Labor Standards Act. Maximum required hours of participation for a month are determined by dividing the total amount of benefits by the state or federal minimum wage, whichever wage is higher.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8500B</w:t>
      </w:r>
      <w:r>
        <w:rPr>
          <w:rFonts w:ascii="Times New Roman" w:hAnsi="Times New Roman"/>
          <w:b w:val="false"/>
          <w:i w:val="false"/>
          <w:color w:val="000000"/>
          <w:sz w:val="16"/>
        </w:rPr>
        <w:t>, IAB 2/10/10, effective 3/1/10</w:t>
      </w:r>
      <w:r>
        <w:rPr>
          <w:rFonts w:ascii="Times New Roman" w:hAnsi="Times New Roman"/>
          <w:b w:val="false"/>
          <w:i w:val="false"/>
          <w:color w:val="000000"/>
          <w:sz w:val="16"/>
        </w:rPr>
        <w:t xml:space="preserve">; </w:t>
      </w:r>
      <w:r>
        <w:rPr>
          <w:rFonts w:ascii="Times New Roman" w:hAnsi="Times New Roman"/>
          <w:b/>
          <w:i w:val="false"/>
          <w:color w:val="000000"/>
          <w:sz w:val="16"/>
        </w:rPr>
        <w:t>ARC 8712B</w:t>
      </w:r>
      <w:r>
        <w:rPr>
          <w:rFonts w:ascii="Times New Roman" w:hAnsi="Times New Roman"/>
          <w:b w:val="false"/>
          <w:i w:val="false"/>
          <w:color w:val="000000"/>
          <w:sz w:val="16"/>
        </w:rPr>
        <w:t>, IAB 5/5/10, effective 4/15/10</w:t>
      </w:r>
      <w:r>
        <w:rPr>
          <w:rFonts w:ascii="Times New Roman" w:hAnsi="Times New Roman"/>
          <w:b w:val="false"/>
          <w:i w:val="false"/>
          <w:color w:val="000000"/>
          <w:sz w:val="16"/>
        </w:rPr>
        <w:t xml:space="preserve">; </w:t>
      </w:r>
      <w:r>
        <w:rPr>
          <w:rFonts w:ascii="Times New Roman" w:hAnsi="Times New Roman"/>
          <w:b/>
          <w:i w:val="false"/>
          <w:color w:val="000000"/>
          <w:sz w:val="16"/>
        </w:rPr>
        <w:t>ARC 6558C</w:t>
      </w:r>
      <w:r>
        <w:rPr>
          <w:rFonts w:ascii="Times New Roman" w:hAnsi="Times New Roman"/>
          <w:b w:val="false"/>
          <w:i w:val="false"/>
          <w:color w:val="000000"/>
          <w:sz w:val="16"/>
        </w:rPr>
        <w:t>, IAB 10/5/22, effective 12/1/22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441—65.29</w:t>
      </w:r>
      <w:r>
        <w:rPr>
          <w:rFonts w:ascii="Times New Roman" w:hAnsi="Times New Roman"/>
          <w:b/>
          <w:i w:val="false"/>
          <w:color w:val="000000"/>
          <w:sz w:val="22"/>
        </w:rPr>
        <w:t xml:space="preserve">(234) </w:t>
      </w:r>
      <w:r>
        <w:rPr>
          <w:rFonts w:ascii="Times New Roman" w:hAnsi="Times New Roman"/>
          <w:b/>
          <w:i w:val="false"/>
          <w:color w:val="000000"/>
          <w:sz w:val="22"/>
        </w:rPr>
        <w:t xml:space="preserve">Income.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65.29(1)</w:t>
      </w:r>
      <w:r>
        <w:rPr>
          <w:rFonts w:ascii="Times New Roman" w:hAnsi="Times New Roman"/>
          <w:b w:val="false"/>
          <w:i w:val="false"/>
          <w:color w:val="000000"/>
          <w:sz w:val="22"/>
        </w:rPr>
        <w:t> </w:t>
      </w:r>
      <w:r>
        <w:rPr>
          <w:rFonts w:ascii="Times New Roman" w:hAnsi="Times New Roman"/>
          <w:b w:val="false"/>
          <w:i/>
          <w:color w:val="000000"/>
          <w:sz w:val="22"/>
        </w:rPr>
        <w:t xml:space="preserve">Self-employment income. </w:t>
      </w:r>
      <w:r>
        <w:rPr>
          <w:rFonts w:ascii="Times New Roman" w:hAnsi="Times New Roman"/>
          <w:b w:val="false"/>
          <w:i w:val="false"/>
          <w:color w:val="000000"/>
          <w:sz w:val="22"/>
        </w:rPr>
        <w:t>“Self-employment income” means the net profit from self-employment.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net profit. </w:t>
      </w:r>
      <w:r>
        <w:rPr>
          <w:rFonts w:ascii="Times New Roman" w:hAnsi="Times New Roman"/>
          <w:b w:val="false"/>
          <w:i w:val="false"/>
          <w:color w:val="000000"/>
          <w:sz w:val="22"/>
        </w:rPr>
        <w:t>“Net profit from self-employment” means gross self-employment income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standard amount of 40 percent, as allowed by the state’s family investment (TANF) program,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At the household’s request, actual allowable expenses as specified in federal regulations at </w:t>
      </w:r>
      <w:r>
        <w:rPr>
          <w:rFonts w:ascii="Times New Roman" w:hAnsi="Times New Roman"/>
          <w:b w:val="false"/>
          <w:i w:val="false"/>
          <w:color w:val="000000"/>
          <w:sz w:val="22"/>
        </w:rPr>
        <w:t>7 CFR 273.11</w:t>
      </w:r>
      <w:r>
        <w:rPr>
          <w:rFonts w:ascii="Times New Roman" w:hAnsi="Times New Roman"/>
          <w:b w:val="false"/>
          <w:i w:val="false"/>
          <w:color w:val="000000"/>
          <w:sz w:val="22"/>
        </w:rPr>
        <w:t xml:space="preserve"> as amended to May 2, 2022.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Uneven proration of self-employment income. </w:t>
      </w:r>
      <w:r>
        <w:rPr>
          <w:rFonts w:ascii="Times New Roman" w:hAnsi="Times New Roman"/>
          <w:b w:val="false"/>
          <w:i w:val="false"/>
          <w:color w:val="000000"/>
          <w:sz w:val="22"/>
        </w:rPr>
        <w:t>Once a household with self-employment income is determined eligible, the household has the following options for computation of the benefit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Using the same monthly self-employment income amount which was used to determine eligibility,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Unevenly prorating the household’s annual self-employment income over the period for which the household’s self-employment income was averaged to more closely approximate the time when the income is actually received. If this option is chosen, the self-employment income assigned in any month together with other income and deductions at the time of certification cannot result in the household’s exceeding the maximum monthly net income eligibility standards for the household’s size.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65.29(2)</w:t>
      </w:r>
      <w:r>
        <w:rPr>
          <w:rFonts w:ascii="Times New Roman" w:hAnsi="Times New Roman"/>
          <w:b w:val="false"/>
          <w:i w:val="false"/>
          <w:color w:val="000000"/>
          <w:sz w:val="22"/>
        </w:rPr>
        <w:t> </w:t>
      </w:r>
      <w:r>
        <w:rPr>
          <w:rFonts w:ascii="Times New Roman" w:hAnsi="Times New Roman"/>
          <w:b w:val="false"/>
          <w:i/>
          <w:color w:val="000000"/>
          <w:sz w:val="22"/>
        </w:rPr>
        <w:t xml:space="preserve">Unemployment insurance benefits. </w:t>
      </w:r>
      <w:r>
        <w:rPr>
          <w:rFonts w:ascii="Times New Roman" w:hAnsi="Times New Roman"/>
          <w:b w:val="false"/>
          <w:i w:val="false"/>
          <w:color w:val="000000"/>
          <w:sz w:val="22"/>
        </w:rPr>
        <w:t>The department shall verify unemployment insurance benefits by using information supplied by the department of workforce development.</w:t>
      </w:r>
    </w:p>
    <w:p>
      <w:pPr>
        <w:spacing w:before="0" w:after="0"/>
        <w:ind w:left="120"/>
        <w:jc w:val="both"/>
      </w:pPr>
      <w:r>
        <w:rPr>
          <w:rFonts w:ascii="Times New Roman" w:hAnsi="Times New Roman"/>
          <w:b w:val="false"/>
          <w:i w:val="false"/>
          <w:color w:val="000000"/>
          <w:sz w:val="22"/>
        </w:rPr>
        <w:t xml:space="preserve">When the client notifies the agency that the amount of unemployment insurance benefits used is incorrect, the client shall be allowed to verify the discrepancy. A benefit adjustment shall be made when indicated.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65.29(3)</w:t>
      </w:r>
      <w:r>
        <w:rPr>
          <w:rFonts w:ascii="Times New Roman" w:hAnsi="Times New Roman"/>
          <w:b w:val="false"/>
          <w:i w:val="false"/>
          <w:color w:val="000000"/>
          <w:sz w:val="22"/>
        </w:rPr>
        <w:t> </w:t>
      </w:r>
      <w:r>
        <w:rPr>
          <w:rFonts w:ascii="Times New Roman" w:hAnsi="Times New Roman"/>
          <w:b w:val="false"/>
          <w:i/>
          <w:color w:val="000000"/>
          <w:sz w:val="22"/>
        </w:rPr>
        <w:t xml:space="preserve">Interest income. </w:t>
      </w:r>
      <w:r>
        <w:rPr>
          <w:rFonts w:ascii="Times New Roman" w:hAnsi="Times New Roman"/>
          <w:b w:val="false"/>
          <w:i w:val="false"/>
          <w:color w:val="000000"/>
          <w:sz w:val="22"/>
        </w:rPr>
        <w:t>Prorate interest income by dividing the amount anticipated during the certification period by the number of months in the certification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65.29(4)</w:t>
      </w:r>
      <w:r>
        <w:rPr>
          <w:rFonts w:ascii="Times New Roman" w:hAnsi="Times New Roman"/>
          <w:b w:val="false"/>
          <w:i w:val="false"/>
          <w:color w:val="000000"/>
          <w:sz w:val="22"/>
        </w:rPr>
        <w:t> </w:t>
      </w:r>
      <w:r>
        <w:rPr>
          <w:rFonts w:ascii="Times New Roman" w:hAnsi="Times New Roman"/>
          <w:b w:val="false"/>
          <w:i/>
          <w:color w:val="000000"/>
          <w:sz w:val="22"/>
        </w:rPr>
        <w:t xml:space="preserve">Social security plans for achieving self-support (PASS). </w:t>
      </w:r>
      <w:r>
        <w:rPr>
          <w:rFonts w:ascii="Times New Roman" w:hAnsi="Times New Roman"/>
          <w:b w:val="false"/>
          <w:i w:val="false"/>
          <w:color w:val="000000"/>
          <w:sz w:val="22"/>
        </w:rPr>
        <w:t xml:space="preserve">Notwithstanding anything to the contrary in these rules or regulations, exclude income amounts necessary for fulfillment of a plan for achieving self-support (PASS) under </w:t>
      </w:r>
      <w:r>
        <w:rPr>
          <w:rFonts w:ascii="Times New Roman" w:hAnsi="Times New Roman"/>
          <w:b w:val="false"/>
          <w:i w:val="false"/>
          <w:color w:val="000000"/>
          <w:sz w:val="22"/>
        </w:rPr>
        <w:t>Title XVI of the Social Security Act</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65.29(5)</w:t>
      </w:r>
      <w:r>
        <w:rPr>
          <w:rFonts w:ascii="Times New Roman" w:hAnsi="Times New Roman"/>
          <w:b w:val="false"/>
          <w:i w:val="false"/>
          <w:color w:val="000000"/>
          <w:sz w:val="22"/>
        </w:rPr>
        <w:t> </w:t>
      </w:r>
      <w:r>
        <w:rPr>
          <w:rFonts w:ascii="Times New Roman" w:hAnsi="Times New Roman"/>
          <w:b w:val="false"/>
          <w:i/>
          <w:color w:val="000000"/>
          <w:sz w:val="22"/>
        </w:rPr>
        <w:t xml:space="preserve">Student income. </w:t>
      </w:r>
      <w:r>
        <w:rPr>
          <w:rFonts w:ascii="Times New Roman" w:hAnsi="Times New Roman"/>
          <w:b w:val="false"/>
          <w:i w:val="false"/>
          <w:color w:val="000000"/>
          <w:sz w:val="22"/>
        </w:rPr>
        <w:t xml:space="preserve">In determining eligibility, the department shall exclude educational income, including any educational loans on which payment is deferred, grants, scholarships, fellowships, veterans’ educational benefits, and the like excluded under </w:t>
      </w:r>
      <w:r>
        <w:rPr>
          <w:rFonts w:ascii="Times New Roman" w:hAnsi="Times New Roman"/>
          <w:b w:val="false"/>
          <w:i w:val="false"/>
          <w:color w:val="000000"/>
          <w:sz w:val="22"/>
        </w:rPr>
        <w:t>Title XIX of the Social Security Act</w:t>
      </w:r>
      <w:r>
        <w:rPr>
          <w:rFonts w:ascii="Times New Roman" w:hAnsi="Times New Roman"/>
          <w:b w:val="false"/>
          <w:i w:val="false"/>
          <w:color w:val="000000"/>
          <w:sz w:val="22"/>
        </w:rPr>
        <w:t xml:space="preserve"> (</w:t>
      </w:r>
      <w:r>
        <w:rPr>
          <w:rFonts w:ascii="Times New Roman" w:hAnsi="Times New Roman"/>
          <w:b w:val="false"/>
          <w:i w:val="false"/>
          <w:color w:val="000000"/>
          <w:sz w:val="22"/>
        </w:rPr>
        <w:t>42 U.S.C. 1396 et seq.</w:t>
      </w:r>
      <w:r>
        <w:rPr>
          <w:rFonts w:ascii="Times New Roman" w:hAnsi="Times New Roman"/>
          <w:b w:val="false"/>
          <w:i w:val="false"/>
          <w:color w:val="000000"/>
          <w:sz w:val="22"/>
        </w:rPr>
        <w:t>) for the state’s modified adjusted gross income (MAGI)-related medical assistance program, subject to paragraph 65.29(5)</w:t>
      </w:r>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Notwithstanding anything to the contrary in these rules or regulations, the department shall exclude educational income based on amounts earmarked by the institution, school, program, or other grantor as made available for the specific costs of tuition, mandatory fees, books, supplies, transportation and miscellaneous personal expenses (other than living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institution, school, program, or other grantor does not earmark amounts made available for the allowable costs involved, students shall receive an exclusion from educational income for educational assistance verified by the student as used for the allowable costs involved. Students can also verify the allowable costs involved when amounts earmarked are less than amounts that would be excluded by a strict earmarking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the purpose of this rule, mandatory fees include the rental or purchase of equipment, materials and supplies related to the course of study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Certain types of student income must be treated as follows, regardless of how they are considered for MAGI-related medical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Wages may not be excluded.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Federally funded work study is excluded.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State-funded work study is excluded up to the amount earmarked for educational expenses.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65.29(6)</w:t>
      </w:r>
      <w:r>
        <w:rPr>
          <w:rFonts w:ascii="Times New Roman" w:hAnsi="Times New Roman"/>
          <w:b w:val="false"/>
          <w:i w:val="false"/>
          <w:color w:val="000000"/>
          <w:sz w:val="22"/>
        </w:rPr>
        <w:t> </w:t>
      </w:r>
      <w:r>
        <w:rPr>
          <w:rFonts w:ascii="Times New Roman" w:hAnsi="Times New Roman"/>
          <w:b w:val="false"/>
          <w:i/>
          <w:color w:val="000000"/>
          <w:sz w:val="22"/>
        </w:rPr>
        <w:t xml:space="preserve">Welfare reform and regular household honorarium income. </w:t>
      </w:r>
      <w:r>
        <w:rPr>
          <w:rFonts w:ascii="Times New Roman" w:hAnsi="Times New Roman"/>
          <w:b w:val="false"/>
          <w:i w:val="false"/>
          <w:color w:val="000000"/>
          <w:sz w:val="22"/>
        </w:rPr>
        <w:t>All moneys paid to a SNAP household in connection with the welfare reform demonstration longitudinal study or focus groups shall be exempted.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65.29(7)</w:t>
      </w:r>
      <w:r>
        <w:rPr>
          <w:rFonts w:ascii="Times New Roman" w:hAnsi="Times New Roman"/>
          <w:b w:val="false"/>
          <w:i w:val="false"/>
          <w:color w:val="000000"/>
          <w:sz w:val="22"/>
        </w:rPr>
        <w:t> </w:t>
      </w:r>
      <w:r>
        <w:rPr>
          <w:rFonts w:ascii="Times New Roman" w:hAnsi="Times New Roman"/>
          <w:b w:val="false"/>
          <w:i/>
          <w:color w:val="000000"/>
          <w:sz w:val="22"/>
        </w:rPr>
        <w:t xml:space="preserve">Income of ineligible aliens. </w:t>
      </w:r>
      <w:r>
        <w:rPr>
          <w:rFonts w:ascii="Times New Roman" w:hAnsi="Times New Roman"/>
          <w:b w:val="false"/>
          <w:i w:val="false"/>
          <w:color w:val="000000"/>
          <w:sz w:val="22"/>
        </w:rPr>
        <w:t>The department shall use all but a pro rata share of ineligible aliens’ income and deductible expenses to determine eligibility and benefits of any remaining household members.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65.29(8)</w:t>
      </w:r>
      <w:r>
        <w:rPr>
          <w:rFonts w:ascii="Times New Roman" w:hAnsi="Times New Roman"/>
          <w:b w:val="false"/>
          <w:i w:val="false"/>
          <w:color w:val="000000"/>
          <w:sz w:val="22"/>
        </w:rPr>
        <w:t> </w:t>
      </w:r>
      <w:r>
        <w:rPr>
          <w:rFonts w:ascii="Times New Roman" w:hAnsi="Times New Roman"/>
          <w:b w:val="false"/>
          <w:i/>
          <w:color w:val="000000"/>
          <w:sz w:val="22"/>
        </w:rPr>
        <w:t xml:space="preserve">Unearned income. </w:t>
      </w:r>
      <w:r>
        <w:rPr>
          <w:rFonts w:ascii="Times New Roman" w:hAnsi="Times New Roman"/>
          <w:b w:val="false"/>
          <w:i w:val="false"/>
          <w:color w:val="000000"/>
          <w:sz w:val="22"/>
        </w:rPr>
        <w:t>Unearned income is any income in cash that is not gained by labor or service. When taxes are withheld from nongovernment sources of unearned income, the amount considered will be the net income after the withholding of taxes (Federal Insurance Contribution Act, state and federal income taxes). Net unearned income shall be determined by deducting reasonable income-producing costs from the gross unearned income. Money left after this deduction shall be considered gross income available to the household.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8500B</w:t>
      </w:r>
      <w:r>
        <w:rPr>
          <w:rFonts w:ascii="Times New Roman" w:hAnsi="Times New Roman"/>
          <w:b w:val="false"/>
          <w:i w:val="false"/>
          <w:color w:val="000000"/>
          <w:sz w:val="16"/>
        </w:rPr>
        <w:t>, IAB 2/10/10, effective 3/1/10</w:t>
      </w:r>
      <w:r>
        <w:rPr>
          <w:rFonts w:ascii="Times New Roman" w:hAnsi="Times New Roman"/>
          <w:b w:val="false"/>
          <w:i w:val="false"/>
          <w:color w:val="000000"/>
          <w:sz w:val="16"/>
        </w:rPr>
        <w:t xml:space="preserve">; </w:t>
      </w:r>
      <w:r>
        <w:rPr>
          <w:rFonts w:ascii="Times New Roman" w:hAnsi="Times New Roman"/>
          <w:b/>
          <w:i w:val="false"/>
          <w:color w:val="000000"/>
          <w:sz w:val="16"/>
        </w:rPr>
        <w:t>ARC 0148C</w:t>
      </w:r>
      <w:r>
        <w:rPr>
          <w:rFonts w:ascii="Times New Roman" w:hAnsi="Times New Roman"/>
          <w:b w:val="false"/>
          <w:i w:val="false"/>
          <w:color w:val="000000"/>
          <w:sz w:val="16"/>
        </w:rPr>
        <w:t>, IAB 6/13/12, effective 8/1/12</w:t>
      </w:r>
      <w:r>
        <w:rPr>
          <w:rFonts w:ascii="Times New Roman" w:hAnsi="Times New Roman"/>
          <w:b w:val="false"/>
          <w:i w:val="false"/>
          <w:color w:val="000000"/>
          <w:sz w:val="16"/>
        </w:rPr>
        <w:t xml:space="preserve">; </w:t>
      </w:r>
      <w:r>
        <w:rPr>
          <w:rFonts w:ascii="Times New Roman" w:hAnsi="Times New Roman"/>
          <w:b/>
          <w:i w:val="false"/>
          <w:color w:val="000000"/>
          <w:sz w:val="16"/>
        </w:rPr>
        <w:t>ARC 6558C</w:t>
      </w:r>
      <w:r>
        <w:rPr>
          <w:rFonts w:ascii="Times New Roman" w:hAnsi="Times New Roman"/>
          <w:b w:val="false"/>
          <w:i w:val="false"/>
          <w:color w:val="000000"/>
          <w:sz w:val="16"/>
        </w:rPr>
        <w:t>, IAB 10/5/22, effective 12/1/22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441—65.30</w:t>
      </w:r>
      <w:r>
        <w:rPr>
          <w:rFonts w:ascii="Times New Roman" w:hAnsi="Times New Roman"/>
          <w:b/>
          <w:i w:val="false"/>
          <w:color w:val="000000"/>
          <w:sz w:val="22"/>
        </w:rPr>
        <w:t xml:space="preserve">(234) </w:t>
      </w:r>
      <w:r>
        <w:rPr>
          <w:rFonts w:ascii="Times New Roman" w:hAnsi="Times New Roman"/>
          <w:b/>
          <w:i w:val="false"/>
          <w:color w:val="000000"/>
          <w:sz w:val="22"/>
        </w:rPr>
        <w:t xml:space="preserve">Resources.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65.30(1)</w:t>
      </w:r>
      <w:r>
        <w:rPr>
          <w:rFonts w:ascii="Times New Roman" w:hAnsi="Times New Roman"/>
          <w:b w:val="false"/>
          <w:i w:val="false"/>
          <w:color w:val="000000"/>
          <w:sz w:val="22"/>
        </w:rPr>
        <w:t> </w:t>
      </w:r>
      <w:r>
        <w:rPr>
          <w:rFonts w:ascii="Times New Roman" w:hAnsi="Times New Roman"/>
          <w:b w:val="false"/>
          <w:i/>
          <w:color w:val="000000"/>
          <w:sz w:val="22"/>
        </w:rPr>
        <w:t xml:space="preserve">Jointly held resources. </w:t>
      </w:r>
      <w:r>
        <w:rPr>
          <w:rFonts w:ascii="Times New Roman" w:hAnsi="Times New Roman"/>
          <w:b w:val="false"/>
          <w:i w:val="false"/>
          <w:color w:val="000000"/>
          <w:sz w:val="22"/>
        </w:rPr>
        <w:t>When property is jointly held it shall be assumed that each person owns an equal share unless the intent of the persons holding the property can be otherwise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65.30(2)</w:t>
      </w:r>
      <w:r>
        <w:rPr>
          <w:rFonts w:ascii="Times New Roman" w:hAnsi="Times New Roman"/>
          <w:b w:val="false"/>
          <w:i w:val="false"/>
          <w:color w:val="000000"/>
          <w:sz w:val="22"/>
        </w:rPr>
        <w:t> </w:t>
      </w:r>
      <w:r>
        <w:rPr>
          <w:rFonts w:ascii="Times New Roman" w:hAnsi="Times New Roman"/>
          <w:b w:val="false"/>
          <w:i/>
          <w:color w:val="000000"/>
          <w:sz w:val="22"/>
        </w:rPr>
        <w:t xml:space="preserve">Resource limit. </w:t>
      </w:r>
      <w:r>
        <w:rPr>
          <w:rFonts w:ascii="Times New Roman" w:hAnsi="Times New Roman"/>
          <w:b w:val="false"/>
          <w:i w:val="false"/>
          <w:color w:val="000000"/>
          <w:sz w:val="22"/>
        </w:rPr>
        <w:t>The resource limits follow federal regulations at 7 CFR 273.8(b) as amended to May 2, 2022, and are adjusted for inflation annually as directed by the Food and Nutrition Service of the U.S. Department of Agriculture.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65.30(3)</w:t>
      </w:r>
      <w:r>
        <w:rPr>
          <w:rFonts w:ascii="Times New Roman" w:hAnsi="Times New Roman"/>
          <w:b w:val="false"/>
          <w:i w:val="false"/>
          <w:color w:val="000000"/>
          <w:sz w:val="22"/>
        </w:rPr>
        <w:t> </w:t>
      </w:r>
      <w:r>
        <w:rPr>
          <w:rFonts w:ascii="Times New Roman" w:hAnsi="Times New Roman"/>
          <w:b w:val="false"/>
          <w:i/>
          <w:color w:val="000000"/>
          <w:sz w:val="22"/>
        </w:rPr>
        <w:t xml:space="preserve">Resources of SSI and FIP household members. </w:t>
      </w:r>
      <w:r>
        <w:rPr>
          <w:rFonts w:ascii="Times New Roman" w:hAnsi="Times New Roman"/>
          <w:b w:val="false"/>
          <w:i w:val="false"/>
          <w:color w:val="000000"/>
          <w:sz w:val="22"/>
        </w:rPr>
        <w:t>Notwithstanding anything to the contrary in these rules or in federal regulations, all resources of SSI or FIP recipients are excluded. For SNAP purposes, those members’ resources, if identified, cannot be included when a household’s total resources are calculated.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65.30(4)</w:t>
      </w:r>
      <w:r>
        <w:rPr>
          <w:rFonts w:ascii="Times New Roman" w:hAnsi="Times New Roman"/>
          <w:b w:val="false"/>
          <w:i w:val="false"/>
          <w:color w:val="000000"/>
          <w:sz w:val="22"/>
        </w:rPr>
        <w:t> </w:t>
      </w:r>
      <w:r>
        <w:rPr>
          <w:rFonts w:ascii="Times New Roman" w:hAnsi="Times New Roman"/>
          <w:b w:val="false"/>
          <w:i/>
          <w:color w:val="000000"/>
          <w:sz w:val="22"/>
        </w:rPr>
        <w:t xml:space="preserve">Earned income tax credits. </w:t>
      </w:r>
      <w:r>
        <w:rPr>
          <w:rFonts w:ascii="Times New Roman" w:hAnsi="Times New Roman"/>
          <w:b w:val="false"/>
          <w:i w:val="false"/>
          <w:color w:val="000000"/>
          <w:sz w:val="22"/>
        </w:rPr>
        <w:t>Notwithstanding anything to the contrary in these rules or in federal regulations, earned income tax credits (EITC) shall be excluded from consideration as a resource for 12 months from the date of receipt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person receiving the EITC was participating in SNAP at the time the credits were received;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person participated in the program continuously during the 12-month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65.30(5)</w:t>
      </w:r>
      <w:r>
        <w:rPr>
          <w:rFonts w:ascii="Times New Roman" w:hAnsi="Times New Roman"/>
          <w:b w:val="false"/>
          <w:i w:val="false"/>
          <w:color w:val="000000"/>
          <w:sz w:val="22"/>
        </w:rPr>
        <w:t> </w:t>
      </w:r>
      <w:r>
        <w:rPr>
          <w:rFonts w:ascii="Times New Roman" w:hAnsi="Times New Roman"/>
          <w:b w:val="false"/>
          <w:i/>
          <w:color w:val="000000"/>
          <w:sz w:val="22"/>
        </w:rPr>
        <w:t xml:space="preserve">Student income. </w:t>
      </w:r>
      <w:r>
        <w:rPr>
          <w:rFonts w:ascii="Times New Roman" w:hAnsi="Times New Roman"/>
          <w:b w:val="false"/>
          <w:i w:val="false"/>
          <w:color w:val="000000"/>
          <w:sz w:val="22"/>
        </w:rPr>
        <w:t xml:space="preserve">Exclude from resources any income excluded by subrule </w:t>
      </w:r>
      <w:hyperlink r:id="rId22">
        <w:r>
          <w:rPr>
            <w:rStyle w:val="Hyperlink"/>
            <w:rFonts w:ascii="Times New Roman" w:hAnsi="Times New Roman"/>
            <w:b w:val="false"/>
            <w:i w:val="false"/>
            <w:color w:val="000000"/>
            <w:sz w:val="22"/>
          </w:rPr>
          <w:t>65.29(5)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65.30(6)</w:t>
      </w:r>
      <w:r>
        <w:rPr>
          <w:rFonts w:ascii="Times New Roman" w:hAnsi="Times New Roman"/>
          <w:b w:val="false"/>
          <w:i w:val="false"/>
          <w:color w:val="000000"/>
          <w:sz w:val="22"/>
        </w:rPr>
        <w:t> </w:t>
      </w:r>
      <w:r>
        <w:rPr>
          <w:rFonts w:ascii="Times New Roman" w:hAnsi="Times New Roman"/>
          <w:b w:val="false"/>
          <w:i/>
          <w:color w:val="000000"/>
          <w:sz w:val="22"/>
        </w:rPr>
        <w:t xml:space="preserve">Motor vehicles. </w:t>
      </w:r>
      <w:r>
        <w:rPr>
          <w:rFonts w:ascii="Times New Roman" w:hAnsi="Times New Roman"/>
          <w:b w:val="false"/>
          <w:i w:val="false"/>
          <w:color w:val="000000"/>
          <w:sz w:val="22"/>
        </w:rPr>
        <w:t xml:space="preserve">One motor vehicle per household shall be excluded without regard to its value. The value of remaining motor vehicles shall be determined using federal regulations at </w:t>
      </w:r>
      <w:r>
        <w:rPr>
          <w:rFonts w:ascii="Times New Roman" w:hAnsi="Times New Roman"/>
          <w:b w:val="false"/>
          <w:i w:val="false"/>
          <w:color w:val="000000"/>
          <w:sz w:val="22"/>
        </w:rPr>
        <w:t>7 CFR 273.8</w:t>
      </w:r>
      <w:r>
        <w:rPr>
          <w:rFonts w:ascii="Times New Roman" w:hAnsi="Times New Roman"/>
          <w:b w:val="false"/>
          <w:i w:val="false"/>
          <w:color w:val="000000"/>
          <w:sz w:val="22"/>
        </w:rPr>
        <w:t xml:space="preserve"> as amended to May 2, 2022.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65.30(7)</w:t>
      </w:r>
      <w:r>
        <w:rPr>
          <w:rFonts w:ascii="Times New Roman" w:hAnsi="Times New Roman"/>
          <w:b w:val="false"/>
          <w:i w:val="false"/>
          <w:color w:val="000000"/>
          <w:sz w:val="22"/>
        </w:rPr>
        <w:t> </w:t>
      </w:r>
      <w:r>
        <w:rPr>
          <w:rFonts w:ascii="Times New Roman" w:hAnsi="Times New Roman"/>
          <w:b w:val="false"/>
          <w:i/>
          <w:color w:val="000000"/>
          <w:sz w:val="22"/>
        </w:rPr>
        <w:t xml:space="preserve">Retirement accounts. </w:t>
      </w:r>
      <w:r>
        <w:rPr>
          <w:rFonts w:ascii="Times New Roman" w:hAnsi="Times New Roman"/>
          <w:b w:val="false"/>
          <w:i w:val="false"/>
          <w:color w:val="000000"/>
          <w:sz w:val="22"/>
        </w:rPr>
        <w:t>Exclude from resources the value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funds in a plan, contract, or account described in Sections 401(a), 403(a), 403(b), 408, 408A, 457(b), and 501(c)(18) of the Internal Revenue Code of 1986.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funds in a Federal Thrift Savings Plan account as provided in Section 8439 of Title 5, United States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retirement program or account included in any successor or similar provision that may be enacted and determined to be exempt from tax under the Internal Revenue Code of 1986.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other retirement plans, contracts, or accounts determined to be exempt by the Secretary of the U.S. Department of Agriculture.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65.30(8)</w:t>
      </w:r>
      <w:r>
        <w:rPr>
          <w:rFonts w:ascii="Times New Roman" w:hAnsi="Times New Roman"/>
          <w:b w:val="false"/>
          <w:i w:val="false"/>
          <w:color w:val="000000"/>
          <w:sz w:val="22"/>
        </w:rPr>
        <w:t> </w:t>
      </w:r>
      <w:r>
        <w:rPr>
          <w:rFonts w:ascii="Times New Roman" w:hAnsi="Times New Roman"/>
          <w:b w:val="false"/>
          <w:i/>
          <w:color w:val="000000"/>
          <w:sz w:val="22"/>
        </w:rPr>
        <w:t xml:space="preserve">Education accounts. </w:t>
      </w:r>
      <w:r>
        <w:rPr>
          <w:rFonts w:ascii="Times New Roman" w:hAnsi="Times New Roman"/>
          <w:b w:val="false"/>
          <w:i w:val="false"/>
          <w:color w:val="000000"/>
          <w:sz w:val="22"/>
        </w:rPr>
        <w:t>Exclude from resources the value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funds in a qualified tuition program described in Section 529 of the Internal Revenue Code of 1986 or in a Coverdell Education Savings Account under Section 530 of the Internal Revenue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other education plans, contracts or accounts determined to be exempt by the Secretary of the U.S. Department of Agriculture.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6558C</w:t>
      </w:r>
      <w:r>
        <w:rPr>
          <w:rFonts w:ascii="Times New Roman" w:hAnsi="Times New Roman"/>
          <w:b w:val="false"/>
          <w:i w:val="false"/>
          <w:color w:val="000000"/>
          <w:sz w:val="16"/>
        </w:rPr>
        <w:t>, IAB 10/5/22, effective 12/1/22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441—65.31</w:t>
      </w:r>
      <w:r>
        <w:rPr>
          <w:rFonts w:ascii="Times New Roman" w:hAnsi="Times New Roman"/>
          <w:b/>
          <w:i w:val="false"/>
          <w:color w:val="000000"/>
          <w:sz w:val="22"/>
        </w:rPr>
        <w:t xml:space="preserve">(234) </w:t>
      </w:r>
      <w:r>
        <w:rPr>
          <w:rFonts w:ascii="Times New Roman" w:hAnsi="Times New Roman"/>
          <w:b/>
          <w:i w:val="false"/>
          <w:color w:val="000000"/>
          <w:sz w:val="22"/>
        </w:rPr>
        <w:t xml:space="preserve">Homeless meal providers. </w:t>
      </w:r>
      <w:r>
        <w:rPr>
          <w:rFonts w:ascii="Times New Roman" w:hAnsi="Times New Roman"/>
          <w:b w:val="false"/>
          <w:i w:val="false"/>
          <w:color w:val="000000"/>
          <w:sz w:val="22"/>
        </w:rPr>
        <w:t>When a local office of the department is notified that an establishment or shelter has applied to be able to accept SNAP benefits for homeless persons, staff shall obtain a written statement from the establishment or shelter. The statement must contain information on how often meals are served by the establishment or shelter, the approximate number of meals served per month, and a statement that the establishment or shelter does serve meals to homeless persons. This information must be dated and signed by a person in charge of the administration of the establishment or shelter and give the person’s title or function with the establishment.</w:t>
      </w:r>
    </w:p>
    <w:p>
      <w:pPr>
        <w:spacing w:before="0" w:after="0"/>
        <w:ind w:left="120"/>
        <w:jc w:val="both"/>
      </w:pPr>
      <w:r>
        <w:rPr>
          <w:rFonts w:ascii="Times New Roman" w:hAnsi="Times New Roman"/>
          <w:b w:val="false"/>
          <w:i w:val="false"/>
          <w:color w:val="000000"/>
          <w:sz w:val="22"/>
        </w:rPr>
        <w:t>The establishment or shelter shall cooperate with agency staff in the determination of whether or not meals are served to the homeless.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6558C</w:t>
      </w:r>
      <w:r>
        <w:rPr>
          <w:rFonts w:ascii="Times New Roman" w:hAnsi="Times New Roman"/>
          <w:b w:val="false"/>
          <w:i w:val="false"/>
          <w:color w:val="000000"/>
          <w:sz w:val="16"/>
        </w:rPr>
        <w:t>, IAB 10/5/22, effective 12/1/22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441—65.32</w:t>
      </w:r>
      <w:r>
        <w:rPr>
          <w:rFonts w:ascii="Times New Roman" w:hAnsi="Times New Roman"/>
          <w:b/>
          <w:i w:val="false"/>
          <w:color w:val="000000"/>
          <w:sz w:val="22"/>
        </w:rPr>
        <w:t xml:space="preserve">(234) </w:t>
      </w:r>
      <w:r>
        <w:rPr>
          <w:rFonts w:ascii="Times New Roman" w:hAnsi="Times New Roman"/>
          <w:b/>
          <w:i w:val="false"/>
          <w:color w:val="000000"/>
          <w:sz w:val="22"/>
        </w:rPr>
        <w:t xml:space="preserve">Basis for allotment. </w:t>
      </w:r>
      <w:r>
        <w:rPr>
          <w:rFonts w:ascii="Times New Roman" w:hAnsi="Times New Roman"/>
          <w:b w:val="false"/>
          <w:i w:val="false"/>
          <w:color w:val="000000"/>
          <w:sz w:val="22"/>
        </w:rPr>
        <w:t>The minimum benefit amount for all eligible one-member and two-member households shall be 8 percent of the maximum monthly allotment for a household size of one member.</w:t>
      </w:r>
    </w:p>
    <w:p>
      <w:pPr>
        <w:spacing w:before="0" w:after="0"/>
        <w:ind w:left="120"/>
        <w:jc w:val="both"/>
      </w:pPr>
      <w:r>
        <w:rPr>
          <w:rFonts w:ascii="Times New Roman" w:hAnsi="Times New Roman"/>
          <w:b/>
          <w:i w:val="false"/>
          <w:color w:val="000000"/>
          <w:sz w:val="22"/>
        </w:rPr>
        <w:t>441—65.33</w:t>
      </w:r>
      <w:r>
        <w:rPr>
          <w:rFonts w:ascii="Times New Roman" w:hAnsi="Times New Roman"/>
          <w:b/>
          <w:i w:val="false"/>
          <w:color w:val="000000"/>
          <w:sz w:val="22"/>
        </w:rPr>
        <w:t xml:space="preserve">(234) </w:t>
      </w:r>
      <w:r>
        <w:rPr>
          <w:rFonts w:ascii="Times New Roman" w:hAnsi="Times New Roman"/>
          <w:b/>
          <w:i w:val="false"/>
          <w:color w:val="000000"/>
          <w:sz w:val="22"/>
        </w:rPr>
        <w:t xml:space="preserve">Dependent care deduction. </w:t>
      </w:r>
      <w:r>
        <w:rPr>
          <w:rFonts w:ascii="Times New Roman" w:hAnsi="Times New Roman"/>
          <w:b w:val="false"/>
          <w:i w:val="false"/>
          <w:color w:val="000000"/>
          <w:sz w:val="22"/>
        </w:rPr>
        <w:t>Households shall be allowed a deduction for the amount of monthly dependent care expenses.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8556B</w:t>
      </w:r>
      <w:r>
        <w:rPr>
          <w:rFonts w:ascii="Times New Roman" w:hAnsi="Times New Roman"/>
          <w:b w:val="false"/>
          <w:i w:val="false"/>
          <w:color w:val="000000"/>
          <w:sz w:val="16"/>
        </w:rPr>
        <w:t>, IAB 3/10/10, effective 2/10/10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441—65.34</w:t>
      </w:r>
      <w:r>
        <w:rPr>
          <w:rFonts w:ascii="Times New Roman" w:hAnsi="Times New Roman"/>
          <w:b/>
          <w:i w:val="false"/>
          <w:color w:val="000000"/>
          <w:sz w:val="22"/>
        </w:rPr>
        <w:t xml:space="preserve">(234) </w:t>
      </w:r>
      <w:r>
        <w:rPr>
          <w:rFonts w:ascii="Times New Roman" w:hAnsi="Times New Roman"/>
          <w:b/>
          <w:i w:val="false"/>
          <w:color w:val="000000"/>
          <w:sz w:val="22"/>
        </w:rPr>
        <w:t xml:space="preserve">Exclusion of advance earned income tax credit payments from income.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10/30/91</w:t>
      </w:r>
      <w:r>
        <w:rPr>
          <w:rFonts w:ascii="Times New Roman" w:hAnsi="Times New Roman"/>
          <w:b w:val="false"/>
          <w:i w:val="false"/>
          <w:color w:val="000000"/>
          <w:sz w:val="22"/>
        </w:rPr>
        <w:t>, effective 1/1/92.</w:t>
      </w:r>
    </w:p>
    <w:p>
      <w:pPr>
        <w:spacing w:before="210" w:after="0"/>
        <w:ind w:left="120"/>
        <w:jc w:val="both"/>
      </w:pPr>
      <w:r>
        <w:rPr>
          <w:rFonts w:ascii="Times New Roman" w:hAnsi="Times New Roman"/>
          <w:b/>
          <w:i w:val="false"/>
          <w:color w:val="000000"/>
          <w:sz w:val="22"/>
        </w:rPr>
        <w:t>441—65.35</w:t>
      </w:r>
      <w:r>
        <w:rPr>
          <w:rFonts w:ascii="Times New Roman" w:hAnsi="Times New Roman"/>
          <w:b/>
          <w:i w:val="false"/>
          <w:color w:val="000000"/>
          <w:sz w:val="22"/>
        </w:rPr>
        <w:t xml:space="preserve">(234) </w:t>
      </w:r>
      <w:r>
        <w:rPr>
          <w:rFonts w:ascii="Times New Roman" w:hAnsi="Times New Roman"/>
          <w:b/>
          <w:i w:val="false"/>
          <w:color w:val="000000"/>
          <w:sz w:val="22"/>
        </w:rPr>
        <w:t xml:space="preserve">Migrant and seasonal farm worker households.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10/30/91</w:t>
      </w:r>
      <w:r>
        <w:rPr>
          <w:rFonts w:ascii="Times New Roman" w:hAnsi="Times New Roman"/>
          <w:b w:val="false"/>
          <w:i w:val="false"/>
          <w:color w:val="000000"/>
          <w:sz w:val="22"/>
        </w:rPr>
        <w:t>, effective 1/1/92.</w:t>
      </w:r>
    </w:p>
    <w:p>
      <w:pPr>
        <w:spacing w:before="210" w:after="0"/>
        <w:ind w:left="120"/>
        <w:jc w:val="both"/>
      </w:pPr>
      <w:r>
        <w:rPr>
          <w:rFonts w:ascii="Times New Roman" w:hAnsi="Times New Roman"/>
          <w:b/>
          <w:i w:val="false"/>
          <w:color w:val="000000"/>
          <w:sz w:val="22"/>
        </w:rPr>
        <w:t>441—65.36</w:t>
      </w:r>
      <w:r>
        <w:rPr>
          <w:rFonts w:ascii="Times New Roman" w:hAnsi="Times New Roman"/>
          <w:b/>
          <w:i w:val="false"/>
          <w:color w:val="000000"/>
          <w:sz w:val="22"/>
        </w:rPr>
        <w:t xml:space="preserve">(234) </w:t>
      </w:r>
      <w:r>
        <w:rPr>
          <w:rFonts w:ascii="Times New Roman" w:hAnsi="Times New Roman"/>
          <w:b/>
          <w:i w:val="false"/>
          <w:color w:val="000000"/>
          <w:sz w:val="22"/>
        </w:rPr>
        <w:t xml:space="preserve">Electronic benefit transfer (EBT) of food stamp benefits.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3/5/03</w:t>
      </w:r>
      <w:r>
        <w:rPr>
          <w:rFonts w:ascii="Times New Roman" w:hAnsi="Times New Roman"/>
          <w:b w:val="false"/>
          <w:i w:val="false"/>
          <w:color w:val="000000"/>
          <w:sz w:val="22"/>
        </w:rPr>
        <w:t>, effective 5/1/03.</w:t>
      </w:r>
    </w:p>
    <w:p>
      <w:pPr>
        <w:spacing w:before="0" w:after="0"/>
        <w:ind w:left="120"/>
        <w:jc w:val="both"/>
      </w:pPr>
      <w:r>
        <w:rPr>
          <w:rFonts w:ascii="Times New Roman" w:hAnsi="Times New Roman"/>
          <w:b/>
          <w:i w:val="false"/>
          <w:color w:val="000000"/>
          <w:sz w:val="22"/>
        </w:rPr>
        <w:t>441—65.37</w:t>
      </w:r>
      <w:r>
        <w:rPr>
          <w:rFonts w:ascii="Times New Roman" w:hAnsi="Times New Roman"/>
          <w:b/>
          <w:i w:val="false"/>
          <w:color w:val="000000"/>
          <w:sz w:val="22"/>
        </w:rPr>
        <w:t xml:space="preserve">(234) </w:t>
      </w:r>
      <w:r>
        <w:rPr>
          <w:rFonts w:ascii="Times New Roman" w:hAnsi="Times New Roman"/>
          <w:b/>
          <w:i w:val="false"/>
          <w:color w:val="000000"/>
          <w:sz w:val="22"/>
        </w:rPr>
        <w:t xml:space="preserve">Eligibility of noncitizens. </w:t>
      </w:r>
      <w:r>
        <w:rPr>
          <w:rFonts w:ascii="Times New Roman" w:hAnsi="Times New Roman"/>
          <w:b w:val="false"/>
          <w:i w:val="false"/>
          <w:color w:val="000000"/>
          <w:sz w:val="22"/>
        </w:rPr>
        <w:t>The following groups of aliens who are lawfully residing in the United States and are otherwise eligible are eligible for SNAP benefits: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65.37(1)</w:t>
      </w:r>
      <w:r>
        <w:rPr>
          <w:rFonts w:ascii="Times New Roman" w:hAnsi="Times New Roman"/>
          <w:b w:val="false"/>
          <w:i w:val="false"/>
          <w:color w:val="000000"/>
          <w:sz w:val="22"/>
        </w:rPr>
        <w:t> </w:t>
      </w:r>
      <w:r>
        <w:rPr>
          <w:rFonts w:ascii="Times New Roman" w:hAnsi="Times New Roman"/>
          <w:b w:val="false"/>
          <w:i w:val="false"/>
          <w:color w:val="000000"/>
          <w:sz w:val="22"/>
        </w:rPr>
        <w:t xml:space="preserve">Aliens who are receiving benefits or assistance for blindness or disability as specified in </w:t>
      </w:r>
      <w:r>
        <w:rPr>
          <w:rFonts w:ascii="Times New Roman" w:hAnsi="Times New Roman"/>
          <w:b w:val="false"/>
          <w:i w:val="false"/>
          <w:color w:val="000000"/>
          <w:sz w:val="22"/>
        </w:rPr>
        <w:t>7 CFR 271.2</w:t>
      </w:r>
      <w:r>
        <w:rPr>
          <w:rFonts w:ascii="Times New Roman" w:hAnsi="Times New Roman"/>
          <w:b w:val="false"/>
          <w:i w:val="false"/>
          <w:color w:val="000000"/>
          <w:sz w:val="22"/>
        </w:rPr>
        <w:t xml:space="preserve"> as amended to May 2, 2022, regardless of their immigration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65.37(2)</w:t>
      </w:r>
      <w:r>
        <w:rPr>
          <w:rFonts w:ascii="Times New Roman" w:hAnsi="Times New Roman"/>
          <w:b w:val="false"/>
          <w:i w:val="false"/>
          <w:color w:val="000000"/>
          <w:sz w:val="22"/>
        </w:rPr>
        <w:t> </w:t>
      </w:r>
      <w:r>
        <w:rPr>
          <w:rFonts w:ascii="Times New Roman" w:hAnsi="Times New Roman"/>
          <w:b w:val="false"/>
          <w:i w:val="false"/>
          <w:color w:val="000000"/>
          <w:sz w:val="22"/>
        </w:rPr>
        <w:t>Aliens who have been residing in the United States for at least five years as legal permanent residents.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65.37(3)</w:t>
      </w:r>
      <w:r>
        <w:rPr>
          <w:rFonts w:ascii="Times New Roman" w:hAnsi="Times New Roman"/>
          <w:b w:val="false"/>
          <w:i w:val="false"/>
          <w:color w:val="000000"/>
          <w:sz w:val="22"/>
        </w:rPr>
        <w:t> </w:t>
      </w:r>
      <w:r>
        <w:rPr>
          <w:rFonts w:ascii="Times New Roman" w:hAnsi="Times New Roman"/>
          <w:b w:val="false"/>
          <w:i w:val="false"/>
          <w:color w:val="000000"/>
          <w:sz w:val="22"/>
        </w:rPr>
        <w:t>Aliens who hold one of the following statuses: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refugee admitted under </w:t>
      </w:r>
      <w:r>
        <w:rPr>
          <w:rFonts w:ascii="Times New Roman" w:hAnsi="Times New Roman"/>
          <w:b w:val="false"/>
          <w:i w:val="false"/>
          <w:color w:val="000000"/>
          <w:sz w:val="22"/>
        </w:rPr>
        <w:t>Section 207 of the Immigration and Nationality Act</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Cuban or Haitian entrant admitted under </w:t>
      </w:r>
      <w:r>
        <w:rPr>
          <w:rFonts w:ascii="Times New Roman" w:hAnsi="Times New Roman"/>
          <w:b w:val="false"/>
          <w:i w:val="false"/>
          <w:color w:val="000000"/>
          <w:sz w:val="22"/>
        </w:rPr>
        <w:t>Section 501(e) of the Refugee Education Assistance Act of 1980</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Amerasian immigrant admitted under </w:t>
      </w:r>
      <w:r>
        <w:rPr>
          <w:rFonts w:ascii="Times New Roman" w:hAnsi="Times New Roman"/>
          <w:b w:val="false"/>
          <w:i w:val="false"/>
          <w:color w:val="000000"/>
          <w:sz w:val="22"/>
        </w:rPr>
        <w:t>Section 584 of the Foreign Operations, Export Financing and Related Program Appropriations Act</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An asylee admitted under </w:t>
      </w:r>
      <w:r>
        <w:rPr>
          <w:rFonts w:ascii="Times New Roman" w:hAnsi="Times New Roman"/>
          <w:b w:val="false"/>
          <w:i w:val="false"/>
          <w:color w:val="000000"/>
          <w:sz w:val="22"/>
        </w:rPr>
        <w:t>Section 208 of the Immigration and Nationality Act</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An alien whose deportation or removal has been withheld under </w:t>
      </w:r>
      <w:r>
        <w:rPr>
          <w:rFonts w:ascii="Times New Roman" w:hAnsi="Times New Roman"/>
          <w:b w:val="false"/>
          <w:i w:val="false"/>
          <w:color w:val="000000"/>
          <w:sz w:val="22"/>
        </w:rPr>
        <w:t>Section 243(h) or 2411(b)(3) of the Immigration and Nationality Act</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65.37(4)</w:t>
      </w:r>
      <w:r>
        <w:rPr>
          <w:rFonts w:ascii="Times New Roman" w:hAnsi="Times New Roman"/>
          <w:b w:val="false"/>
          <w:i w:val="false"/>
          <w:color w:val="000000"/>
          <w:sz w:val="22"/>
        </w:rPr>
        <w:t> </w:t>
      </w:r>
      <w:r>
        <w:rPr>
          <w:rFonts w:ascii="Times New Roman" w:hAnsi="Times New Roman"/>
          <w:b w:val="false"/>
          <w:i w:val="false"/>
          <w:color w:val="000000"/>
          <w:sz w:val="22"/>
        </w:rPr>
        <w:t>Aliens aged 18 or under, regardless of their immigration date. The department shall exclude the income and resources of a sponsor when determining SNAP eligibility and benefits for an alien aged 18 or under.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6558C</w:t>
      </w:r>
      <w:r>
        <w:rPr>
          <w:rFonts w:ascii="Times New Roman" w:hAnsi="Times New Roman"/>
          <w:b w:val="false"/>
          <w:i w:val="false"/>
          <w:color w:val="000000"/>
          <w:sz w:val="16"/>
        </w:rPr>
        <w:t>, IAB 10/5/22, effective 12/1/22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441—65.38</w:t>
      </w:r>
      <w:r>
        <w:rPr>
          <w:rFonts w:ascii="Times New Roman" w:hAnsi="Times New Roman"/>
          <w:b/>
          <w:i w:val="false"/>
          <w:color w:val="000000"/>
          <w:sz w:val="22"/>
        </w:rPr>
        <w:t xml:space="preserve">(234) </w:t>
      </w:r>
      <w:r>
        <w:rPr>
          <w:rFonts w:ascii="Times New Roman" w:hAnsi="Times New Roman"/>
          <w:b/>
          <w:i w:val="false"/>
          <w:color w:val="000000"/>
          <w:sz w:val="22"/>
        </w:rPr>
        <w:t xml:space="preserve">Income deductions. </w:t>
      </w:r>
      <w:r>
        <w:rPr>
          <w:rFonts w:ascii="Times New Roman" w:hAnsi="Times New Roman"/>
          <w:b w:val="false"/>
          <w:i w:val="false"/>
          <w:color w:val="000000"/>
          <w:sz w:val="22"/>
        </w:rPr>
        <w:t>Notwithstanding anything to the contrary in these rules or regulations, student households cannot receive an income deduction for dependent care expenses that were excluded from educational income.</w:t>
      </w:r>
    </w:p>
    <w:p>
      <w:pPr>
        <w:spacing w:before="0" w:after="0"/>
        <w:ind w:left="120"/>
        <w:jc w:val="both"/>
      </w:pPr>
      <w:r>
        <w:rPr>
          <w:rFonts w:ascii="Times New Roman" w:hAnsi="Times New Roman"/>
          <w:b/>
          <w:i w:val="false"/>
          <w:color w:val="000000"/>
          <w:sz w:val="22"/>
        </w:rPr>
        <w:t>441—65.39</w:t>
      </w:r>
      <w:r>
        <w:rPr>
          <w:rFonts w:ascii="Times New Roman" w:hAnsi="Times New Roman"/>
          <w:b/>
          <w:i w:val="false"/>
          <w:color w:val="000000"/>
          <w:sz w:val="22"/>
        </w:rPr>
        <w:t xml:space="preserve">(234) </w:t>
      </w:r>
      <w:r>
        <w:rPr>
          <w:rFonts w:ascii="Times New Roman" w:hAnsi="Times New Roman"/>
          <w:b/>
          <w:i w:val="false"/>
          <w:color w:val="000000"/>
          <w:sz w:val="22"/>
        </w:rPr>
        <w:t xml:space="preserve">Categorical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65.39(1)</w:t>
      </w:r>
      <w:r>
        <w:rPr>
          <w:rFonts w:ascii="Times New Roman" w:hAnsi="Times New Roman"/>
          <w:b w:val="false"/>
          <w:i w:val="false"/>
          <w:color w:val="000000"/>
          <w:sz w:val="22"/>
        </w:rPr>
        <w:t> </w:t>
      </w:r>
      <w:r>
        <w:rPr>
          <w:rFonts w:ascii="Times New Roman" w:hAnsi="Times New Roman"/>
          <w:b w:val="false"/>
          <w:i w:val="false"/>
          <w:color w:val="000000"/>
          <w:sz w:val="22"/>
        </w:rPr>
        <w:t>Notwithstanding anything to the contrary in these rules or in federal regulations, a household in which all members are recipients of a state or local general assistance (GA) program is subject to categorical eligibility provisions of SNAP provided that the state or local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income limits at least as stringent as the SNAP gross income test;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Gives assistance other than one-time emergency payments that cannot be given for more than one continuous month.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65.39(2)</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anything to the contrary in these rules or in federal regulations, a household is subject to categorical eligibility provisions of SNAP for any month in which the household is determined eligible for the Iowa promoting healthy marriage program pursuant to rule </w:t>
      </w:r>
      <w:hyperlink r:id="rId23">
        <w:r>
          <w:rPr>
            <w:rStyle w:val="Hyperlink"/>
            <w:rFonts w:ascii="Times New Roman" w:hAnsi="Times New Roman"/>
            <w:b w:val="false"/>
            <w:i w:val="false"/>
            <w:color w:val="000000"/>
            <w:sz w:val="22"/>
          </w:rPr>
          <w:t>441—47.2</w:t>
        </w:r>
      </w:hyperlink>
      <w:r>
        <w:rPr>
          <w:rFonts w:ascii="Times New Roman" w:hAnsi="Times New Roman"/>
          <w:b w:val="false"/>
          <w:i w:val="false"/>
          <w:color w:val="000000"/>
          <w:sz w:val="22"/>
        </w:rPr>
        <w:t>(234).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9173B</w:t>
      </w:r>
      <w:r>
        <w:rPr>
          <w:rFonts w:ascii="Times New Roman" w:hAnsi="Times New Roman"/>
          <w:b w:val="false"/>
          <w:i w:val="false"/>
          <w:color w:val="000000"/>
          <w:sz w:val="16"/>
        </w:rPr>
        <w:t>, IAB 11/3/10, effective 1/1/11</w:t>
      </w:r>
      <w:r>
        <w:rPr>
          <w:rFonts w:ascii="Times New Roman" w:hAnsi="Times New Roman"/>
          <w:b w:val="false"/>
          <w:i w:val="false"/>
          <w:color w:val="000000"/>
          <w:sz w:val="16"/>
        </w:rPr>
        <w:t xml:space="preserve">; </w:t>
      </w:r>
      <w:r>
        <w:rPr>
          <w:rFonts w:ascii="Times New Roman" w:hAnsi="Times New Roman"/>
          <w:b/>
          <w:i w:val="false"/>
          <w:color w:val="000000"/>
          <w:sz w:val="16"/>
        </w:rPr>
        <w:t>ARC 6558C</w:t>
      </w:r>
      <w:r>
        <w:rPr>
          <w:rFonts w:ascii="Times New Roman" w:hAnsi="Times New Roman"/>
          <w:b w:val="false"/>
          <w:i w:val="false"/>
          <w:color w:val="000000"/>
          <w:sz w:val="16"/>
        </w:rPr>
        <w:t>, IAB 10/5/22, effective 12/1/22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441—65.40</w:t>
      </w:r>
      <w:r>
        <w:rPr>
          <w:rFonts w:ascii="Times New Roman" w:hAnsi="Times New Roman"/>
          <w:b/>
          <w:i w:val="false"/>
          <w:color w:val="000000"/>
          <w:sz w:val="22"/>
        </w:rPr>
        <w:t xml:space="preserve">(234) </w:t>
      </w:r>
      <w:r>
        <w:rPr>
          <w:rFonts w:ascii="Times New Roman" w:hAnsi="Times New Roman"/>
          <w:b/>
          <w:i w:val="false"/>
          <w:color w:val="000000"/>
          <w:sz w:val="22"/>
        </w:rPr>
        <w:t xml:space="preserve">Head of the household.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8/11/99</w:t>
      </w:r>
      <w:r>
        <w:rPr>
          <w:rFonts w:ascii="Times New Roman" w:hAnsi="Times New Roman"/>
          <w:b w:val="false"/>
          <w:i w:val="false"/>
          <w:color w:val="000000"/>
          <w:sz w:val="22"/>
        </w:rPr>
        <w:t>, effective 11/1/99.</w:t>
      </w:r>
    </w:p>
    <w:p>
      <w:pPr>
        <w:spacing w:before="210" w:after="0"/>
        <w:ind w:left="120"/>
        <w:jc w:val="both"/>
      </w:pPr>
      <w:r>
        <w:rPr>
          <w:rFonts w:ascii="Times New Roman" w:hAnsi="Times New Roman"/>
          <w:b/>
          <w:i w:val="false"/>
          <w:color w:val="000000"/>
          <w:sz w:val="22"/>
        </w:rPr>
        <w:t>441—65.41</w:t>
      </w:r>
      <w:r>
        <w:rPr>
          <w:rFonts w:ascii="Times New Roman" w:hAnsi="Times New Roman"/>
          <w:b/>
          <w:i w:val="false"/>
          <w:color w:val="000000"/>
          <w:sz w:val="22"/>
        </w:rPr>
        <w:t xml:space="preserve">(234) </w:t>
      </w:r>
      <w:r>
        <w:rPr>
          <w:rFonts w:ascii="Times New Roman" w:hAnsi="Times New Roman"/>
          <w:b/>
          <w:i w:val="false"/>
          <w:color w:val="000000"/>
          <w:sz w:val="22"/>
        </w:rPr>
        <w:t xml:space="preserve">Actions on changes increasing benefits. </w:t>
      </w:r>
      <w:r>
        <w:rPr>
          <w:rFonts w:ascii="Times New Roman" w:hAnsi="Times New Roman"/>
          <w:b w:val="false"/>
          <w:i w:val="false"/>
          <w:color w:val="000000"/>
          <w:sz w:val="22"/>
        </w:rPr>
        <w:t>Action on changes resulting in an increase in benefits will take place after the verification is received.</w:t>
      </w:r>
    </w:p>
    <w:p>
      <w:pPr>
        <w:spacing w:before="210" w:after="0"/>
        <w:ind w:left="120"/>
        <w:jc w:val="both"/>
      </w:pPr>
      <w:r>
        <w:rPr>
          <w:rFonts w:ascii="Times New Roman" w:hAnsi="Times New Roman"/>
          <w:b/>
          <w:i w:val="false"/>
          <w:color w:val="000000"/>
          <w:sz w:val="22"/>
        </w:rPr>
        <w:t>441—65.42</w:t>
      </w:r>
      <w:r>
        <w:rPr>
          <w:rFonts w:ascii="Times New Roman" w:hAnsi="Times New Roman"/>
          <w:b/>
          <w:i w:val="false"/>
          <w:color w:val="000000"/>
          <w:sz w:val="22"/>
        </w:rPr>
        <w:t xml:space="preserve">(234) </w:t>
      </w:r>
      <w:r>
        <w:rPr>
          <w:rFonts w:ascii="Times New Roman" w:hAnsi="Times New Roman"/>
          <w:b/>
          <w:i w:val="false"/>
          <w:color w:val="000000"/>
          <w:sz w:val="22"/>
        </w:rPr>
        <w:t xml:space="preserve">Work transition period.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3/6/02</w:t>
      </w:r>
      <w:r>
        <w:rPr>
          <w:rFonts w:ascii="Times New Roman" w:hAnsi="Times New Roman"/>
          <w:b w:val="false"/>
          <w:i w:val="false"/>
          <w:color w:val="000000"/>
          <w:sz w:val="22"/>
        </w:rPr>
        <w:t>, effective 5/1/02.</w:t>
      </w:r>
    </w:p>
    <w:p>
      <w:pPr>
        <w:spacing w:before="210" w:after="0"/>
        <w:ind w:left="120"/>
        <w:jc w:val="both"/>
      </w:pPr>
      <w:r>
        <w:rPr>
          <w:rFonts w:ascii="Times New Roman" w:hAnsi="Times New Roman"/>
          <w:b/>
          <w:i w:val="false"/>
          <w:color w:val="000000"/>
          <w:sz w:val="22"/>
        </w:rPr>
        <w:t>441—65.43</w:t>
      </w:r>
      <w:r>
        <w:rPr>
          <w:rFonts w:ascii="Times New Roman" w:hAnsi="Times New Roman"/>
          <w:b/>
          <w:i w:val="false"/>
          <w:color w:val="000000"/>
          <w:sz w:val="22"/>
        </w:rPr>
        <w:t xml:space="preserve">(234) </w:t>
      </w:r>
      <w:r>
        <w:rPr>
          <w:rFonts w:ascii="Times New Roman" w:hAnsi="Times New Roman"/>
          <w:b/>
          <w:i w:val="false"/>
          <w:color w:val="000000"/>
          <w:sz w:val="22"/>
        </w:rPr>
        <w:t xml:space="preserve">Household composition.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5/2/01</w:t>
      </w:r>
      <w:r>
        <w:rPr>
          <w:rFonts w:ascii="Times New Roman" w:hAnsi="Times New Roman"/>
          <w:b w:val="false"/>
          <w:i w:val="false"/>
          <w:color w:val="000000"/>
          <w:sz w:val="22"/>
        </w:rPr>
        <w:t>, effective 6/1/01.</w:t>
      </w:r>
    </w:p>
    <w:p>
      <w:pPr>
        <w:spacing w:before="0" w:after="0"/>
        <w:ind w:left="120"/>
        <w:jc w:val="both"/>
      </w:pPr>
      <w:r>
        <w:rPr>
          <w:rFonts w:ascii="Times New Roman" w:hAnsi="Times New Roman"/>
          <w:b/>
          <w:i w:val="false"/>
          <w:color w:val="000000"/>
          <w:sz w:val="22"/>
        </w:rPr>
        <w:t>441—65.44</w:t>
      </w:r>
      <w:r>
        <w:rPr>
          <w:rFonts w:ascii="Times New Roman" w:hAnsi="Times New Roman"/>
          <w:b/>
          <w:i w:val="false"/>
          <w:color w:val="000000"/>
          <w:sz w:val="22"/>
        </w:rPr>
        <w:t xml:space="preserve">(234) </w:t>
      </w:r>
      <w:r>
        <w:rPr>
          <w:rFonts w:ascii="Times New Roman" w:hAnsi="Times New Roman"/>
          <w:b/>
          <w:i w:val="false"/>
          <w:color w:val="000000"/>
          <w:sz w:val="22"/>
        </w:rPr>
        <w:t xml:space="preserve">Reinstatement.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65.44(1)</w:t>
      </w:r>
      <w:r>
        <w:rPr>
          <w:rFonts w:ascii="Times New Roman" w:hAnsi="Times New Roman"/>
          <w:b w:val="false"/>
          <w:i w:val="false"/>
          <w:color w:val="000000"/>
          <w:sz w:val="22"/>
        </w:rPr>
        <w:t> </w:t>
      </w:r>
      <w:r>
        <w:rPr>
          <w:rFonts w:ascii="Times New Roman" w:hAnsi="Times New Roman"/>
          <w:b w:val="false"/>
          <w:i w:val="false"/>
          <w:color w:val="000000"/>
          <w:sz w:val="22"/>
        </w:rPr>
        <w:t>The department shall reinstate assistance without a new application when the element that caused termination of a case no longer exists and eligibility can be reestablished prior to the effective date of cancellation.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65.44(2)</w:t>
      </w:r>
      <w:r>
        <w:rPr>
          <w:rFonts w:ascii="Times New Roman" w:hAnsi="Times New Roman"/>
          <w:b w:val="false"/>
          <w:i w:val="false"/>
          <w:color w:val="000000"/>
          <w:sz w:val="22"/>
        </w:rPr>
        <w:t> </w:t>
      </w:r>
      <w:r>
        <w:rPr>
          <w:rFonts w:ascii="Times New Roman" w:hAnsi="Times New Roman"/>
          <w:b w:val="false"/>
          <w:i w:val="false"/>
          <w:color w:val="000000"/>
          <w:sz w:val="22"/>
        </w:rPr>
        <w:t>When assistance has been canceled for failure to provide requested information, assistance shall be reinstated without a new application if all information necessary to establish eligibility, including verification of any changes, is provided within 14 days of the effective date of cancellation and eligibility can be reestablished. If the fourteenth calendar day falls on a weekend or state holiday, the client shall have until the next business day to provide the information. The effective date of assistance shall be the date all information required to establish eligibility is provided.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8500B</w:t>
      </w:r>
      <w:r>
        <w:rPr>
          <w:rFonts w:ascii="Times New Roman" w:hAnsi="Times New Roman"/>
          <w:b w:val="false"/>
          <w:i w:val="false"/>
          <w:color w:val="000000"/>
          <w:sz w:val="16"/>
        </w:rPr>
        <w:t>, IAB 2/10/10, effective 3/1/10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441—65.45</w:t>
      </w:r>
      <w:r>
        <w:rPr>
          <w:rFonts w:ascii="Times New Roman" w:hAnsi="Times New Roman"/>
          <w:b/>
          <w:i w:val="false"/>
          <w:color w:val="000000"/>
          <w:sz w:val="22"/>
        </w:rPr>
        <w:t xml:space="preserve">(234) </w:t>
      </w:r>
      <w:r>
        <w:rPr>
          <w:rFonts w:ascii="Times New Roman" w:hAnsi="Times New Roman"/>
          <w:b/>
          <w:i w:val="false"/>
          <w:color w:val="000000"/>
          <w:sz w:val="22"/>
        </w:rPr>
        <w:t xml:space="preserve">Conversion to the X-PERT system.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3/6/02</w:t>
      </w:r>
      <w:r>
        <w:rPr>
          <w:rFonts w:ascii="Times New Roman" w:hAnsi="Times New Roman"/>
          <w:b w:val="false"/>
          <w:i w:val="false"/>
          <w:color w:val="000000"/>
          <w:sz w:val="22"/>
        </w:rPr>
        <w:t>, effective 5/1/02.</w:t>
      </w:r>
    </w:p>
    <w:p>
      <w:pPr>
        <w:spacing w:before="0" w:after="0"/>
        <w:ind w:left="120"/>
        <w:jc w:val="both"/>
      </w:pPr>
      <w:r>
        <w:rPr>
          <w:rFonts w:ascii="Times New Roman" w:hAnsi="Times New Roman"/>
          <w:b/>
          <w:i w:val="false"/>
          <w:color w:val="000000"/>
          <w:sz w:val="22"/>
        </w:rPr>
        <w:t>441—65.46</w:t>
      </w:r>
      <w:r>
        <w:rPr>
          <w:rFonts w:ascii="Times New Roman" w:hAnsi="Times New Roman"/>
          <w:b/>
          <w:i w:val="false"/>
          <w:color w:val="000000"/>
          <w:sz w:val="22"/>
        </w:rPr>
        <w:t xml:space="preserve">(234) </w:t>
      </w:r>
      <w:r>
        <w:rPr>
          <w:rFonts w:ascii="Times New Roman" w:hAnsi="Times New Roman"/>
          <w:b/>
          <w:i w:val="false"/>
          <w:color w:val="000000"/>
          <w:sz w:val="22"/>
        </w:rPr>
        <w:t xml:space="preserve">Disqualifications. </w:t>
      </w:r>
      <w:r>
        <w:rPr>
          <w:rFonts w:ascii="Times New Roman" w:hAnsi="Times New Roman"/>
          <w:b w:val="false"/>
          <w:i w:val="false"/>
          <w:color w:val="000000"/>
          <w:sz w:val="22"/>
        </w:rPr>
        <w:t>Notwithstanding anything to the contrary in these rules, SNAP violation disqualifications for persons who are not participating in SNAP shall be imposed in the same manner as program violation disqualifications are imposed for persons who are participating in SNAP.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65.46(1)</w:t>
      </w:r>
      <w:r>
        <w:rPr>
          <w:rFonts w:ascii="Times New Roman" w:hAnsi="Times New Roman"/>
          <w:b w:val="false"/>
          <w:i w:val="false"/>
          <w:color w:val="000000"/>
          <w:sz w:val="22"/>
        </w:rPr>
        <w:t> </w:t>
      </w:r>
      <w:r>
        <w:rPr>
          <w:rFonts w:ascii="Times New Roman" w:hAnsi="Times New Roman"/>
          <w:b w:val="false"/>
          <w:i/>
          <w:color w:val="000000"/>
          <w:sz w:val="22"/>
        </w:rPr>
        <w:t xml:space="preserve">First and second violations. </w:t>
      </w:r>
      <w:r>
        <w:rPr>
          <w:rFonts w:ascii="Times New Roman" w:hAnsi="Times New Roman"/>
          <w:b w:val="false"/>
          <w:i w:val="false"/>
          <w:color w:val="000000"/>
          <w:sz w:val="22"/>
        </w:rPr>
        <w:t>Notwithstanding anything to the contrary in these rules or regulations, the disqualification penalty for a first intentional program violation shall be one year except for those first violations involving a controlled substance. The disqualification penalty for a second intentional violation and any first violation involving a controlled substance shall be two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65.46(2)</w:t>
      </w:r>
      <w:r>
        <w:rPr>
          <w:rFonts w:ascii="Times New Roman" w:hAnsi="Times New Roman"/>
          <w:b w:val="false"/>
          <w:i w:val="false"/>
          <w:color w:val="000000"/>
          <w:sz w:val="22"/>
        </w:rPr>
        <w:t> </w:t>
      </w:r>
      <w:r>
        <w:rPr>
          <w:rFonts w:ascii="Times New Roman" w:hAnsi="Times New Roman"/>
          <w:b w:val="false"/>
          <w:i/>
          <w:color w:val="000000"/>
          <w:sz w:val="22"/>
        </w:rPr>
        <w:t xml:space="preserve">Conviction on trafficking in SNAP benefits. </w:t>
      </w:r>
      <w:r>
        <w:rPr>
          <w:rFonts w:ascii="Times New Roman" w:hAnsi="Times New Roman"/>
          <w:b w:val="false"/>
          <w:i w:val="false"/>
          <w:color w:val="000000"/>
          <w:sz w:val="22"/>
        </w:rPr>
        <w:t>The penalty for any individual convicted of trafficking in SNAP benefits of $500 or more shall be permanent disqualification.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65.46(3)</w:t>
      </w:r>
      <w:r>
        <w:rPr>
          <w:rFonts w:ascii="Times New Roman" w:hAnsi="Times New Roman"/>
          <w:b w:val="false"/>
          <w:i w:val="false"/>
          <w:color w:val="000000"/>
          <w:sz w:val="22"/>
        </w:rPr>
        <w:t> </w:t>
      </w:r>
      <w:r>
        <w:rPr>
          <w:rFonts w:ascii="Times New Roman" w:hAnsi="Times New Roman"/>
          <w:b w:val="false"/>
          <w:i/>
          <w:color w:val="000000"/>
          <w:sz w:val="22"/>
        </w:rPr>
        <w:t xml:space="preserve">Receiving or attempting to receive multiple benefits. </w:t>
      </w:r>
      <w:r>
        <w:rPr>
          <w:rFonts w:ascii="Times New Roman" w:hAnsi="Times New Roman"/>
          <w:b w:val="false"/>
          <w:i w:val="false"/>
          <w:color w:val="000000"/>
          <w:sz w:val="22"/>
        </w:rPr>
        <w:t>An individual found to have made a fraudulent statement or representation with respect to identity or residency in order to receive multiple benefits shall be ineligible to participate in SNAP for a period of ten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65.46(4)</w:t>
      </w:r>
      <w:r>
        <w:rPr>
          <w:rFonts w:ascii="Times New Roman" w:hAnsi="Times New Roman"/>
          <w:b w:val="false"/>
          <w:i w:val="false"/>
          <w:color w:val="000000"/>
          <w:sz w:val="22"/>
        </w:rPr>
        <w:t> </w:t>
      </w:r>
      <w:r>
        <w:rPr>
          <w:rFonts w:ascii="Times New Roman" w:hAnsi="Times New Roman"/>
          <w:b w:val="false"/>
          <w:i/>
          <w:color w:val="000000"/>
          <w:sz w:val="22"/>
        </w:rPr>
        <w:t xml:space="preserve">Conviction of trading firearms, ammunition or explosives for benefits. </w:t>
      </w:r>
      <w:r>
        <w:rPr>
          <w:rFonts w:ascii="Times New Roman" w:hAnsi="Times New Roman"/>
          <w:b w:val="false"/>
          <w:i w:val="false"/>
          <w:color w:val="000000"/>
          <w:sz w:val="22"/>
        </w:rPr>
        <w:t>The penalty for any individual convicted of trading firearms, ammunition or explosives for SNAP benefits shall be permanent disqualification.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6558C</w:t>
      </w:r>
      <w:r>
        <w:rPr>
          <w:rFonts w:ascii="Times New Roman" w:hAnsi="Times New Roman"/>
          <w:b w:val="false"/>
          <w:i w:val="false"/>
          <w:color w:val="000000"/>
          <w:sz w:val="16"/>
        </w:rPr>
        <w:t>, IAB 10/5/22, effective 12/1/22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441—65.47</w:t>
      </w:r>
      <w:r>
        <w:rPr>
          <w:rFonts w:ascii="Times New Roman" w:hAnsi="Times New Roman"/>
          <w:b/>
          <w:i w:val="false"/>
          <w:color w:val="000000"/>
          <w:sz w:val="22"/>
        </w:rPr>
        <w:t xml:space="preserve">(234) </w:t>
      </w:r>
      <w:r>
        <w:rPr>
          <w:rFonts w:ascii="Times New Roman" w:hAnsi="Times New Roman"/>
          <w:b/>
          <w:i w:val="false"/>
          <w:color w:val="000000"/>
          <w:sz w:val="22"/>
        </w:rPr>
        <w:t xml:space="preserve">Eligibility of noncitizens.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5/2/01</w:t>
      </w:r>
      <w:r>
        <w:rPr>
          <w:rFonts w:ascii="Times New Roman" w:hAnsi="Times New Roman"/>
          <w:b w:val="false"/>
          <w:i w:val="false"/>
          <w:color w:val="000000"/>
          <w:sz w:val="22"/>
        </w:rPr>
        <w:t>, effective 6/1/01.</w:t>
      </w:r>
    </w:p>
    <w:p>
      <w:pPr>
        <w:spacing w:before="210" w:after="0"/>
        <w:ind w:left="120"/>
        <w:jc w:val="both"/>
      </w:pPr>
      <w:r>
        <w:rPr>
          <w:rFonts w:ascii="Times New Roman" w:hAnsi="Times New Roman"/>
          <w:b/>
          <w:i w:val="false"/>
          <w:color w:val="000000"/>
          <w:sz w:val="22"/>
        </w:rPr>
        <w:t>441—65.48</w:t>
      </w:r>
      <w:r>
        <w:rPr>
          <w:rFonts w:ascii="Times New Roman" w:hAnsi="Times New Roman"/>
          <w:b/>
          <w:i w:val="false"/>
          <w:color w:val="000000"/>
          <w:sz w:val="22"/>
        </w:rPr>
        <w:t xml:space="preserve">(234) </w:t>
      </w:r>
      <w:r>
        <w:rPr>
          <w:rFonts w:ascii="Times New Roman" w:hAnsi="Times New Roman"/>
          <w:b/>
          <w:i w:val="false"/>
          <w:color w:val="000000"/>
          <w:sz w:val="22"/>
        </w:rPr>
        <w:t xml:space="preserve">Sponsored aliens.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5/2/01</w:t>
      </w:r>
      <w:r>
        <w:rPr>
          <w:rFonts w:ascii="Times New Roman" w:hAnsi="Times New Roman"/>
          <w:b w:val="false"/>
          <w:i w:val="false"/>
          <w:color w:val="000000"/>
          <w:sz w:val="22"/>
        </w:rPr>
        <w:t>, effective 6/1/01.</w:t>
      </w:r>
    </w:p>
    <w:p>
      <w:pPr>
        <w:spacing w:before="210" w:after="0"/>
        <w:ind w:left="120"/>
        <w:jc w:val="both"/>
      </w:pPr>
      <w:r>
        <w:rPr>
          <w:rFonts w:ascii="Times New Roman" w:hAnsi="Times New Roman"/>
          <w:b/>
          <w:i w:val="false"/>
          <w:color w:val="000000"/>
          <w:sz w:val="22"/>
        </w:rPr>
        <w:t>441—65.49</w:t>
      </w:r>
      <w:r>
        <w:rPr>
          <w:rFonts w:ascii="Times New Roman" w:hAnsi="Times New Roman"/>
          <w:b/>
          <w:i w:val="false"/>
          <w:color w:val="000000"/>
          <w:sz w:val="22"/>
        </w:rPr>
        <w:t xml:space="preserve">(234) </w:t>
      </w:r>
      <w:r>
        <w:rPr>
          <w:rFonts w:ascii="Times New Roman" w:hAnsi="Times New Roman"/>
          <w:b/>
          <w:i w:val="false"/>
          <w:color w:val="000000"/>
          <w:sz w:val="22"/>
        </w:rPr>
        <w:t xml:space="preserve">Providing information to law enforcement officials.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10/3/01</w:t>
      </w:r>
      <w:r>
        <w:rPr>
          <w:rFonts w:ascii="Times New Roman" w:hAnsi="Times New Roman"/>
          <w:b w:val="false"/>
          <w:i w:val="false"/>
          <w:color w:val="000000"/>
          <w:sz w:val="22"/>
        </w:rPr>
        <w:t>, effective 10/1/01.</w:t>
      </w:r>
    </w:p>
    <w:p>
      <w:pPr>
        <w:spacing w:before="0" w:after="0"/>
        <w:ind w:left="120"/>
        <w:jc w:val="both"/>
      </w:pPr>
      <w:r>
        <w:rPr>
          <w:rFonts w:ascii="Times New Roman" w:hAnsi="Times New Roman"/>
          <w:b/>
          <w:i w:val="false"/>
          <w:color w:val="000000"/>
          <w:sz w:val="22"/>
        </w:rPr>
        <w:t>441—65.50</w:t>
      </w:r>
      <w:r>
        <w:rPr>
          <w:rFonts w:ascii="Times New Roman" w:hAnsi="Times New Roman"/>
          <w:b/>
          <w:i w:val="false"/>
          <w:color w:val="000000"/>
          <w:sz w:val="22"/>
        </w:rPr>
        <w:t xml:space="preserve">(234) </w:t>
      </w:r>
      <w:r>
        <w:rPr>
          <w:rFonts w:ascii="Times New Roman" w:hAnsi="Times New Roman"/>
          <w:b/>
          <w:i w:val="false"/>
          <w:color w:val="000000"/>
          <w:sz w:val="22"/>
        </w:rPr>
        <w:t xml:space="preserve">No increase in benefits. </w:t>
      </w:r>
      <w:r>
        <w:rPr>
          <w:rFonts w:ascii="Times New Roman" w:hAnsi="Times New Roman"/>
          <w:b w:val="false"/>
          <w:i w:val="false"/>
          <w:color w:val="000000"/>
          <w:sz w:val="22"/>
        </w:rPr>
        <w:t xml:space="preserve">When a household’s means-tested federal, state, or local public assistance cash benefits are reduced because of a failure to perform an action required by the public assistance program, the department shall reduce the household’s SNAP benefit allotment by 10 percent as provided for in federal regulations at </w:t>
      </w:r>
      <w:r>
        <w:rPr>
          <w:rFonts w:ascii="Times New Roman" w:hAnsi="Times New Roman"/>
          <w:b w:val="false"/>
          <w:i w:val="false"/>
          <w:color w:val="000000"/>
          <w:sz w:val="22"/>
        </w:rPr>
        <w:t>7 CFR 273.11(j)</w:t>
      </w:r>
      <w:r>
        <w:rPr>
          <w:rFonts w:ascii="Times New Roman" w:hAnsi="Times New Roman"/>
          <w:b w:val="false"/>
          <w:i w:val="false"/>
          <w:color w:val="000000"/>
          <w:sz w:val="22"/>
        </w:rPr>
        <w:t>, (k), and (l) as amended to May 2, 2022, for the duration of the other program’s penalty.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6558C</w:t>
      </w:r>
      <w:r>
        <w:rPr>
          <w:rFonts w:ascii="Times New Roman" w:hAnsi="Times New Roman"/>
          <w:b w:val="false"/>
          <w:i w:val="false"/>
          <w:color w:val="000000"/>
          <w:sz w:val="16"/>
        </w:rPr>
        <w:t>, IAB 10/5/22, effective 12/1/22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441—65.51</w:t>
      </w:r>
      <w:r>
        <w:rPr>
          <w:rFonts w:ascii="Times New Roman" w:hAnsi="Times New Roman"/>
          <w:b/>
          <w:i w:val="false"/>
          <w:color w:val="000000"/>
          <w:sz w:val="22"/>
        </w:rPr>
        <w:t xml:space="preserve">(234) </w:t>
      </w:r>
      <w:r>
        <w:rPr>
          <w:rFonts w:ascii="Times New Roman" w:hAnsi="Times New Roman"/>
          <w:b/>
          <w:i w:val="false"/>
          <w:color w:val="000000"/>
          <w:sz w:val="22"/>
        </w:rPr>
        <w:t xml:space="preserve">State income and eligibility verification system. </w:t>
      </w:r>
      <w:r>
        <w:rPr>
          <w:rFonts w:ascii="Times New Roman" w:hAnsi="Times New Roman"/>
          <w:b w:val="false"/>
          <w:i w:val="false"/>
          <w:color w:val="000000"/>
          <w:sz w:val="22"/>
        </w:rPr>
        <w:t xml:space="preserve">The department shall maintain and use an income and eligibility verification system (IEVS) as specified in </w:t>
      </w:r>
      <w:r>
        <w:rPr>
          <w:rFonts w:ascii="Times New Roman" w:hAnsi="Times New Roman"/>
          <w:b w:val="false"/>
          <w:i w:val="false"/>
          <w:color w:val="000000"/>
          <w:sz w:val="22"/>
        </w:rPr>
        <w:t>7 CFR 272.8</w:t>
      </w:r>
      <w:r>
        <w:rPr>
          <w:rFonts w:ascii="Times New Roman" w:hAnsi="Times New Roman"/>
          <w:b w:val="false"/>
          <w:i w:val="false"/>
          <w:color w:val="000000"/>
          <w:sz w:val="22"/>
        </w:rPr>
        <w:t xml:space="preserve"> as amended to May 2, 2022.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6558C</w:t>
      </w:r>
      <w:r>
        <w:rPr>
          <w:rFonts w:ascii="Times New Roman" w:hAnsi="Times New Roman"/>
          <w:b w:val="false"/>
          <w:i w:val="false"/>
          <w:color w:val="000000"/>
          <w:sz w:val="16"/>
        </w:rPr>
        <w:t>, IAB 10/5/22, effective 12/1/22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441—65.52</w:t>
      </w:r>
      <w:r>
        <w:rPr>
          <w:rFonts w:ascii="Times New Roman" w:hAnsi="Times New Roman"/>
          <w:b/>
          <w:i w:val="false"/>
          <w:color w:val="000000"/>
          <w:sz w:val="22"/>
        </w:rPr>
        <w:t xml:space="preserve">(234) </w:t>
      </w:r>
      <w:r>
        <w:rPr>
          <w:rFonts w:ascii="Times New Roman" w:hAnsi="Times New Roman"/>
          <w:b/>
          <w:i w:val="false"/>
          <w:color w:val="000000"/>
          <w:sz w:val="22"/>
        </w:rPr>
        <w:t xml:space="preserve">Systematic alien verification for entitlements (SAVE) program. </w:t>
      </w:r>
      <w:r>
        <w:rPr>
          <w:rFonts w:ascii="Times New Roman" w:hAnsi="Times New Roman"/>
          <w:b w:val="false"/>
          <w:i w:val="false"/>
          <w:color w:val="000000"/>
          <w:sz w:val="22"/>
        </w:rPr>
        <w:t xml:space="preserve">The department shall participate in the SAVE program established by the U.S. Citizenship and Immigration Services (USCIS) as specified in </w:t>
      </w:r>
      <w:r>
        <w:rPr>
          <w:rFonts w:ascii="Times New Roman" w:hAnsi="Times New Roman"/>
          <w:b w:val="false"/>
          <w:i w:val="false"/>
          <w:color w:val="000000"/>
          <w:sz w:val="22"/>
        </w:rPr>
        <w:t>7 CFR 272.11</w:t>
      </w:r>
      <w:r>
        <w:rPr>
          <w:rFonts w:ascii="Times New Roman" w:hAnsi="Times New Roman"/>
          <w:b w:val="false"/>
          <w:i w:val="false"/>
          <w:color w:val="000000"/>
          <w:sz w:val="22"/>
        </w:rPr>
        <w:t xml:space="preserve"> as amended to May 2, 2022, in order to verify the validity of documents provided by aliens applying for SNAP benefits with the central data files maintained by USCIS.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6558C</w:t>
      </w:r>
      <w:r>
        <w:rPr>
          <w:rFonts w:ascii="Times New Roman" w:hAnsi="Times New Roman"/>
          <w:b w:val="false"/>
          <w:i w:val="false"/>
          <w:color w:val="000000"/>
          <w:sz w:val="16"/>
        </w:rPr>
        <w:t>, IAB 10/5/22, effective 12/1/22</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24">
        <w:r>
          <w:rPr>
            <w:rStyle w:val="Hyperlink"/>
            <w:rFonts w:ascii="Times New Roman" w:hAnsi="Times New Roman"/>
            <w:b w:val="false"/>
            <w:i w:val="false"/>
            <w:color w:val="000000"/>
            <w:sz w:val="22"/>
          </w:rPr>
          <w:t>234.12</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441—65.53</w:t>
      </w:r>
      <w:r>
        <w:rPr>
          <w:rFonts w:ascii="Times New Roman" w:hAnsi="Times New Roman"/>
          <w:b w:val="false"/>
          <w:i w:val="false"/>
          <w:color w:val="000000"/>
          <w:sz w:val="22"/>
        </w:rPr>
        <w:t xml:space="preserve"> to </w:t>
      </w:r>
      <w:r>
        <w:rPr>
          <w:rFonts w:ascii="Times New Roman" w:hAnsi="Times New Roman"/>
          <w:b/>
          <w:i w:val="false"/>
          <w:color w:val="000000"/>
          <w:sz w:val="22"/>
        </w:rPr>
        <w:t>65.100</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II</w:t>
      </w:r>
    </w:p>
    <w:p>
      <w:pPr>
        <w:spacing w:before="0" w:after="0"/>
        <w:ind w:left="120"/>
        <w:jc w:val="center"/>
      </w:pPr>
      <w:r>
        <w:rPr>
          <w:rFonts w:ascii="Times New Roman" w:hAnsi="Times New Roman"/>
          <w:b w:val="false"/>
          <w:i w:val="false"/>
          <w:color w:val="000000"/>
          <w:sz w:val="14"/>
        </w:rPr>
        <w:t xml:space="preserve">[Prior to 10/13/93, </w:t>
      </w:r>
      <w:hyperlink r:id="rId25">
        <w:r>
          <w:rPr>
            <w:rStyle w:val="Hyperlink"/>
            <w:rFonts w:ascii="Times New Roman" w:hAnsi="Times New Roman"/>
            <w:b w:val="false"/>
            <w:i w:val="false"/>
            <w:color w:val="000000"/>
            <w:sz w:val="14"/>
          </w:rPr>
          <w:t>441—65.1</w:t>
        </w:r>
      </w:hyperlink>
      <w:r>
        <w:rPr>
          <w:rFonts w:ascii="Times New Roman" w:hAnsi="Times New Roman"/>
          <w:b w:val="false"/>
          <w:i w:val="false"/>
          <w:color w:val="000000"/>
          <w:sz w:val="14"/>
        </w:rPr>
        <w:t xml:space="preserve">(234) to </w:t>
      </w:r>
      <w:hyperlink r:id="rId26">
        <w:r>
          <w:rPr>
            <w:rStyle w:val="Hyperlink"/>
            <w:rFonts w:ascii="Times New Roman" w:hAnsi="Times New Roman"/>
            <w:b w:val="false"/>
            <w:i w:val="false"/>
            <w:color w:val="000000"/>
            <w:sz w:val="14"/>
          </w:rPr>
          <w:t>65.41</w:t>
        </w:r>
      </w:hyperlink>
      <w:r>
        <w:rPr>
          <w:rFonts w:ascii="Times New Roman" w:hAnsi="Times New Roman"/>
          <w:b w:val="false"/>
          <w:i w:val="false"/>
          <w:color w:val="000000"/>
          <w:sz w:val="14"/>
        </w:rPr>
        <w:t>(234)]</w:t>
      </w:r>
    </w:p>
    <w:p>
      <w:pPr>
        <w:spacing w:before="0" w:after="0"/>
        <w:ind w:left="120"/>
        <w:jc w:val="center"/>
      </w:pPr>
      <w:r>
        <w:rPr>
          <w:rFonts w:ascii="Times New Roman" w:hAnsi="Times New Roman"/>
          <w:b w:val="false"/>
          <w:i w:val="false"/>
          <w:color w:val="000000"/>
          <w:sz w:val="14"/>
        </w:rPr>
        <w:t>[Rescinded 5/7/97, effective 7/1/97]</w:t>
      </w:r>
    </w:p>
    <w:p>
      <w:pPr>
        <w:spacing w:before="0" w:after="0"/>
        <w:ind w:left="120"/>
        <w:jc w:val="center"/>
      </w:pPr>
      <w:r>
        <w:rPr>
          <w:rFonts w:ascii="Times New Roman" w:hAnsi="Times New Roman"/>
          <w:b w:val="false"/>
          <w:i w:val="false"/>
          <w:color w:val="000000"/>
          <w:sz w:val="21"/>
        </w:rPr>
        <w:t>[Filed 2/25/72; amended 4/7/72]</w:t>
      </w:r>
    </w:p>
    <w:p>
      <w:pPr>
        <w:spacing w:before="0" w:after="0"/>
        <w:ind w:left="120"/>
        <w:jc w:val="center"/>
      </w:pPr>
      <w:r>
        <w:rPr>
          <w:rFonts w:ascii="Times New Roman" w:hAnsi="Times New Roman"/>
          <w:b w:val="false"/>
          <w:i w:val="false"/>
          <w:color w:val="000000"/>
          <w:sz w:val="21"/>
        </w:rPr>
        <w:t>[Filed 2/19/76, Notice 1/12/76—published 3/8/76, effective 4/12/76]</w:t>
      </w:r>
    </w:p>
    <w:p>
      <w:pPr>
        <w:spacing w:before="0" w:after="0"/>
        <w:ind w:left="120"/>
        <w:jc w:val="center"/>
      </w:pPr>
      <w:r>
        <w:rPr>
          <w:rFonts w:ascii="Times New Roman" w:hAnsi="Times New Roman"/>
          <w:b w:val="false"/>
          <w:i w:val="false"/>
          <w:color w:val="000000"/>
          <w:sz w:val="21"/>
        </w:rPr>
        <w:t>[Filed 6/10/77, Notice 5/4/77—published 6/29/77, effective 8/3/77]</w:t>
      </w:r>
    </w:p>
    <w:p>
      <w:pPr>
        <w:spacing w:before="0" w:after="0"/>
        <w:ind w:left="120"/>
        <w:jc w:val="center"/>
      </w:pPr>
      <w:r>
        <w:rPr>
          <w:rFonts w:ascii="Times New Roman" w:hAnsi="Times New Roman"/>
          <w:b w:val="false"/>
          <w:i w:val="false"/>
          <w:color w:val="000000"/>
          <w:sz w:val="21"/>
        </w:rPr>
        <w:t>[Filed emergency 3/6/79—published 4/4/79, effective 3/6/79]</w:t>
      </w:r>
    </w:p>
    <w:p>
      <w:pPr>
        <w:spacing w:before="0" w:after="0"/>
        <w:ind w:left="120"/>
        <w:jc w:val="center"/>
      </w:pPr>
      <w:r>
        <w:rPr>
          <w:rFonts w:ascii="Times New Roman" w:hAnsi="Times New Roman"/>
          <w:b w:val="false"/>
          <w:i w:val="false"/>
          <w:color w:val="000000"/>
          <w:sz w:val="21"/>
        </w:rPr>
        <w:t>[Filed 8/2/79, Notice 4/4/79—published 8/22/79, effective 9/26/79]</w:t>
      </w:r>
    </w:p>
    <w:p>
      <w:pPr>
        <w:spacing w:before="0" w:after="0"/>
        <w:ind w:left="120"/>
        <w:jc w:val="center"/>
      </w:pPr>
      <w:r>
        <w:rPr>
          <w:rFonts w:ascii="Times New Roman" w:hAnsi="Times New Roman"/>
          <w:b w:val="false"/>
          <w:i w:val="false"/>
          <w:color w:val="000000"/>
          <w:sz w:val="21"/>
        </w:rPr>
        <w:t>[Filed emergency 8/2/79—published 8/22/79, effective 8/2/79]</w:t>
      </w:r>
    </w:p>
    <w:p>
      <w:pPr>
        <w:spacing w:before="0" w:after="0"/>
        <w:ind w:left="120"/>
        <w:jc w:val="center"/>
      </w:pPr>
      <w:r>
        <w:rPr>
          <w:rFonts w:ascii="Times New Roman" w:hAnsi="Times New Roman"/>
          <w:b w:val="false"/>
          <w:i w:val="false"/>
          <w:color w:val="000000"/>
          <w:sz w:val="21"/>
        </w:rPr>
        <w:t>[Filed emergency 12/7/79—published 12/26/79, effective 1/1/80]</w:t>
      </w:r>
    </w:p>
    <w:p>
      <w:pPr>
        <w:spacing w:before="0" w:after="0"/>
        <w:ind w:left="120"/>
        <w:jc w:val="center"/>
      </w:pPr>
      <w:r>
        <w:rPr>
          <w:rFonts w:ascii="Times New Roman" w:hAnsi="Times New Roman"/>
          <w:b w:val="false"/>
          <w:i w:val="false"/>
          <w:color w:val="000000"/>
          <w:sz w:val="21"/>
        </w:rPr>
        <w:t>[Filed emergency 1/23/80—published 2/20/80, effective 1/23/80]</w:t>
      </w:r>
    </w:p>
    <w:p>
      <w:pPr>
        <w:spacing w:before="0" w:after="0"/>
        <w:ind w:left="120"/>
        <w:jc w:val="center"/>
      </w:pPr>
      <w:r>
        <w:rPr>
          <w:rFonts w:ascii="Times New Roman" w:hAnsi="Times New Roman"/>
          <w:b w:val="false"/>
          <w:i w:val="false"/>
          <w:color w:val="000000"/>
          <w:sz w:val="21"/>
        </w:rPr>
        <w:t>[Filed 5/5/80, Notice 3/5/80—published 5/28/80, effective 7/2/80]</w:t>
      </w:r>
    </w:p>
    <w:p>
      <w:pPr>
        <w:spacing w:before="0" w:after="0"/>
        <w:ind w:left="120"/>
        <w:jc w:val="center"/>
      </w:pPr>
      <w:r>
        <w:rPr>
          <w:rFonts w:ascii="Times New Roman" w:hAnsi="Times New Roman"/>
          <w:b w:val="false"/>
          <w:i w:val="false"/>
          <w:color w:val="000000"/>
          <w:sz w:val="21"/>
        </w:rPr>
        <w:t>[Filed emergency 6/4/80—published 6/25/80, effective 6/4/80]</w:t>
      </w:r>
    </w:p>
    <w:p>
      <w:pPr>
        <w:spacing w:before="0" w:after="0"/>
        <w:ind w:left="120"/>
        <w:jc w:val="center"/>
      </w:pPr>
      <w:r>
        <w:rPr>
          <w:rFonts w:ascii="Times New Roman" w:hAnsi="Times New Roman"/>
          <w:b w:val="false"/>
          <w:i w:val="false"/>
          <w:color w:val="000000"/>
          <w:sz w:val="21"/>
        </w:rPr>
        <w:t>[Filed emergency 6/30/80—published 7/23/80, effective 6/30/80]</w:t>
      </w:r>
    </w:p>
    <w:p>
      <w:pPr>
        <w:spacing w:before="0" w:after="0"/>
        <w:ind w:left="120"/>
        <w:jc w:val="center"/>
      </w:pPr>
      <w:r>
        <w:rPr>
          <w:rFonts w:ascii="Times New Roman" w:hAnsi="Times New Roman"/>
          <w:b w:val="false"/>
          <w:i w:val="false"/>
          <w:color w:val="000000"/>
          <w:sz w:val="21"/>
        </w:rPr>
        <w:t>[Filed emergency 8/29/80—published 9/17/80, effective 8/29/80]</w:t>
      </w:r>
    </w:p>
    <w:p>
      <w:pPr>
        <w:spacing w:before="0" w:after="0"/>
        <w:ind w:left="120"/>
        <w:jc w:val="center"/>
      </w:pPr>
      <w:r>
        <w:rPr>
          <w:rFonts w:ascii="Times New Roman" w:hAnsi="Times New Roman"/>
          <w:b w:val="false"/>
          <w:i w:val="false"/>
          <w:color w:val="000000"/>
          <w:sz w:val="21"/>
        </w:rPr>
        <w:t>[Filed emergency 12/19/80—published 1/7/81, effective 1/1/81]</w:t>
      </w:r>
    </w:p>
    <w:p>
      <w:pPr>
        <w:spacing w:before="0" w:after="0"/>
        <w:ind w:left="120"/>
        <w:jc w:val="center"/>
      </w:pPr>
      <w:r>
        <w:rPr>
          <w:rFonts w:ascii="Times New Roman" w:hAnsi="Times New Roman"/>
          <w:b w:val="false"/>
          <w:i w:val="false"/>
          <w:color w:val="000000"/>
          <w:sz w:val="21"/>
        </w:rPr>
        <w:t>[Filed emergency 2/27/81—published 3/18/81, effective 2/27/81]</w:t>
      </w:r>
    </w:p>
    <w:p>
      <w:pPr>
        <w:spacing w:before="0" w:after="0"/>
        <w:ind w:left="120"/>
        <w:jc w:val="center"/>
      </w:pPr>
      <w:r>
        <w:rPr>
          <w:rFonts w:ascii="Times New Roman" w:hAnsi="Times New Roman"/>
          <w:b w:val="false"/>
          <w:i w:val="false"/>
          <w:color w:val="000000"/>
          <w:sz w:val="21"/>
        </w:rPr>
        <w:t>[Filed 3/24/81, Notice 2/4/81—published 4/15/81, effective 6/1/81]</w:t>
      </w:r>
    </w:p>
    <w:p>
      <w:pPr>
        <w:spacing w:before="0" w:after="0"/>
        <w:ind w:left="120"/>
        <w:jc w:val="center"/>
      </w:pPr>
      <w:r>
        <w:rPr>
          <w:rFonts w:ascii="Times New Roman" w:hAnsi="Times New Roman"/>
          <w:b w:val="false"/>
          <w:i w:val="false"/>
          <w:color w:val="000000"/>
          <w:sz w:val="21"/>
        </w:rPr>
        <w:t>[Filed emergency after Notice 6/1/81, Notice 4/1/81—published 6/24/81, effective 6/1/81]</w:t>
      </w:r>
    </w:p>
    <w:p>
      <w:pPr>
        <w:spacing w:before="0" w:after="0"/>
        <w:ind w:left="120"/>
        <w:jc w:val="center"/>
      </w:pPr>
      <w:r>
        <w:rPr>
          <w:rFonts w:ascii="Times New Roman" w:hAnsi="Times New Roman"/>
          <w:b w:val="false"/>
          <w:i w:val="false"/>
          <w:color w:val="000000"/>
          <w:sz w:val="21"/>
        </w:rPr>
        <w:t>[Filed emergency after Notice 6/2/81, Notice 4/1/81—published 6/24/81, effective 7/1/81]</w:t>
      </w:r>
    </w:p>
    <w:p>
      <w:pPr>
        <w:spacing w:before="0" w:after="0"/>
        <w:ind w:left="120"/>
        <w:jc w:val="center"/>
      </w:pPr>
      <w:r>
        <w:rPr>
          <w:rFonts w:ascii="Times New Roman" w:hAnsi="Times New Roman"/>
          <w:b w:val="false"/>
          <w:i w:val="false"/>
          <w:color w:val="000000"/>
          <w:sz w:val="21"/>
        </w:rPr>
        <w:t>[Filed 6/2/81, Notice 3/4/81—published 6/24/81, effective 8/1/81]</w:t>
      </w:r>
    </w:p>
    <w:p>
      <w:pPr>
        <w:spacing w:before="0" w:after="0"/>
        <w:ind w:left="120"/>
        <w:jc w:val="center"/>
      </w:pPr>
      <w:r>
        <w:rPr>
          <w:rFonts w:ascii="Times New Roman" w:hAnsi="Times New Roman"/>
          <w:b w:val="false"/>
          <w:i w:val="false"/>
          <w:color w:val="000000"/>
          <w:sz w:val="21"/>
        </w:rPr>
        <w:t>[Filed emergency 6/30/81—published 7/22/81, effective 7/1/81]</w:t>
      </w:r>
    </w:p>
    <w:p>
      <w:pPr>
        <w:spacing w:before="0" w:after="0"/>
        <w:ind w:left="120"/>
        <w:jc w:val="center"/>
      </w:pPr>
      <w:r>
        <w:rPr>
          <w:rFonts w:ascii="Times New Roman" w:hAnsi="Times New Roman"/>
          <w:b w:val="false"/>
          <w:i w:val="false"/>
          <w:color w:val="000000"/>
          <w:sz w:val="21"/>
        </w:rPr>
        <w:t>[Filed emergency 9/25/81—published 10/14/81, effective 10/1/81]</w:t>
      </w:r>
    </w:p>
    <w:p>
      <w:pPr>
        <w:spacing w:before="0" w:after="0"/>
        <w:ind w:left="120"/>
        <w:jc w:val="center"/>
      </w:pPr>
      <w:r>
        <w:rPr>
          <w:rFonts w:ascii="Times New Roman" w:hAnsi="Times New Roman"/>
          <w:b w:val="false"/>
          <w:i w:val="false"/>
          <w:color w:val="000000"/>
          <w:sz w:val="21"/>
        </w:rPr>
        <w:t>[Filed 10/23/81, Notice 8/19/81—published 11/11/81, effective 1/1/82]</w:t>
      </w:r>
    </w:p>
    <w:p>
      <w:pPr>
        <w:spacing w:before="0" w:after="0"/>
        <w:ind w:left="120"/>
        <w:jc w:val="center"/>
      </w:pPr>
      <w:r>
        <w:rPr>
          <w:rFonts w:ascii="Times New Roman" w:hAnsi="Times New Roman"/>
          <w:b w:val="false"/>
          <w:i w:val="false"/>
          <w:color w:val="000000"/>
          <w:sz w:val="21"/>
        </w:rPr>
        <w:t>[Filed 11/20/81, Notice 10/14/81—published 12/9/81, effective 2/1/82]</w:t>
      </w:r>
    </w:p>
    <w:p>
      <w:pPr>
        <w:spacing w:before="0" w:after="0"/>
        <w:ind w:left="120"/>
        <w:jc w:val="center"/>
      </w:pPr>
      <w:r>
        <w:rPr>
          <w:rFonts w:ascii="Times New Roman" w:hAnsi="Times New Roman"/>
          <w:b w:val="false"/>
          <w:i w:val="false"/>
          <w:color w:val="000000"/>
          <w:sz w:val="21"/>
        </w:rPr>
        <w:t>[Filed emergency 12/3/81—published 12/23/81, effective 1/1/82]</w:t>
      </w:r>
    </w:p>
    <w:p>
      <w:pPr>
        <w:spacing w:before="0" w:after="0"/>
        <w:ind w:left="120"/>
        <w:jc w:val="center"/>
      </w:pPr>
      <w:r>
        <w:rPr>
          <w:rFonts w:ascii="Times New Roman" w:hAnsi="Times New Roman"/>
          <w:b w:val="false"/>
          <w:i w:val="false"/>
          <w:color w:val="000000"/>
          <w:sz w:val="21"/>
        </w:rPr>
        <w:t>[Filed emergency 3/31/82—published 4/28/82, effective 4/1/82]</w:t>
      </w:r>
    </w:p>
    <w:p>
      <w:pPr>
        <w:spacing w:before="0" w:after="0"/>
        <w:ind w:left="120"/>
        <w:jc w:val="center"/>
      </w:pPr>
      <w:r>
        <w:rPr>
          <w:rFonts w:ascii="Times New Roman" w:hAnsi="Times New Roman"/>
          <w:b w:val="false"/>
          <w:i w:val="false"/>
          <w:color w:val="000000"/>
          <w:sz w:val="21"/>
        </w:rPr>
        <w:t>[Filed emergency 7/1/82—published 7/21/82, effective 7/1/82]</w:t>
      </w:r>
    </w:p>
    <w:p>
      <w:pPr>
        <w:spacing w:before="0" w:after="0"/>
        <w:ind w:left="120"/>
        <w:jc w:val="center"/>
      </w:pPr>
      <w:r>
        <w:rPr>
          <w:rFonts w:ascii="Times New Roman" w:hAnsi="Times New Roman"/>
          <w:b w:val="false"/>
          <w:i w:val="false"/>
          <w:color w:val="000000"/>
          <w:sz w:val="21"/>
        </w:rPr>
        <w:t>[Filed emergency 7/30/82—published 8/18/82, effective 7/30/82]</w:t>
      </w:r>
    </w:p>
    <w:p>
      <w:pPr>
        <w:spacing w:before="0" w:after="0"/>
        <w:ind w:left="120"/>
        <w:jc w:val="center"/>
      </w:pPr>
      <w:r>
        <w:rPr>
          <w:rFonts w:ascii="Times New Roman" w:hAnsi="Times New Roman"/>
          <w:b w:val="false"/>
          <w:i w:val="false"/>
          <w:color w:val="000000"/>
          <w:sz w:val="21"/>
        </w:rPr>
        <w:t>[Filed 8/20/82, Notice 6/23/82—published 9/15/82, effective 10/20/82]</w:t>
      </w:r>
    </w:p>
    <w:p>
      <w:pPr>
        <w:spacing w:before="0" w:after="0"/>
        <w:ind w:left="120"/>
        <w:jc w:val="center"/>
      </w:pPr>
      <w:r>
        <w:rPr>
          <w:rFonts w:ascii="Times New Roman" w:hAnsi="Times New Roman"/>
          <w:b w:val="false"/>
          <w:i w:val="false"/>
          <w:color w:val="000000"/>
          <w:sz w:val="21"/>
        </w:rPr>
        <w:t>[Filed emergency 9/23/82—published 10/13/82, effective 9/23/82]</w:t>
      </w:r>
    </w:p>
    <w:p>
      <w:pPr>
        <w:spacing w:before="0" w:after="0"/>
        <w:ind w:left="120"/>
        <w:jc w:val="center"/>
      </w:pPr>
      <w:r>
        <w:rPr>
          <w:rFonts w:ascii="Times New Roman" w:hAnsi="Times New Roman"/>
          <w:b w:val="false"/>
          <w:i w:val="false"/>
          <w:color w:val="000000"/>
          <w:sz w:val="21"/>
        </w:rPr>
        <w:t>[Filed emergency 12/17/82—published 1/5/83, effective 1/1/83]</w:t>
      </w:r>
    </w:p>
    <w:p>
      <w:pPr>
        <w:spacing w:before="0" w:after="0"/>
        <w:ind w:left="120"/>
        <w:jc w:val="center"/>
      </w:pPr>
      <w:r>
        <w:rPr>
          <w:rFonts w:ascii="Times New Roman" w:hAnsi="Times New Roman"/>
          <w:b w:val="false"/>
          <w:i w:val="false"/>
          <w:color w:val="000000"/>
          <w:sz w:val="21"/>
        </w:rPr>
        <w:t>[Filed emergency 1/14/83—published 2/2/83, effective 2/1/83]</w:t>
      </w:r>
    </w:p>
    <w:p>
      <w:pPr>
        <w:spacing w:before="0" w:after="0"/>
        <w:ind w:left="120"/>
        <w:jc w:val="center"/>
      </w:pPr>
      <w:r>
        <w:rPr>
          <w:rFonts w:ascii="Times New Roman" w:hAnsi="Times New Roman"/>
          <w:b w:val="false"/>
          <w:i w:val="false"/>
          <w:color w:val="000000"/>
          <w:sz w:val="21"/>
        </w:rPr>
        <w:t>[Filed emergency 3/31/83—published 4/27/83, effective 4/1/83]</w:t>
      </w:r>
    </w:p>
    <w:p>
      <w:pPr>
        <w:spacing w:before="0" w:after="0"/>
        <w:ind w:left="120"/>
        <w:jc w:val="center"/>
      </w:pPr>
      <w:r>
        <w:rPr>
          <w:rFonts w:ascii="Times New Roman" w:hAnsi="Times New Roman"/>
          <w:b w:val="false"/>
          <w:i w:val="false"/>
          <w:color w:val="000000"/>
          <w:sz w:val="21"/>
        </w:rPr>
        <w:t>[Filed without Notice 4/21/83—published 5/11/83, effective 7/1/83]</w:t>
      </w:r>
    </w:p>
    <w:p>
      <w:pPr>
        <w:spacing w:before="0" w:after="0"/>
        <w:ind w:left="120"/>
        <w:jc w:val="center"/>
      </w:pPr>
      <w:r>
        <w:rPr>
          <w:rFonts w:ascii="Times New Roman" w:hAnsi="Times New Roman"/>
          <w:b w:val="false"/>
          <w:i w:val="false"/>
          <w:color w:val="000000"/>
          <w:sz w:val="21"/>
        </w:rPr>
        <w:t>[Filed emergency 5/20/83—published 6/8/83, effective 6/1/83]</w:t>
      </w:r>
    </w:p>
    <w:p>
      <w:pPr>
        <w:spacing w:before="0" w:after="0"/>
        <w:ind w:left="120"/>
        <w:jc w:val="center"/>
      </w:pPr>
      <w:r>
        <w:rPr>
          <w:rFonts w:ascii="Times New Roman" w:hAnsi="Times New Roman"/>
          <w:b w:val="false"/>
          <w:i w:val="false"/>
          <w:color w:val="000000"/>
          <w:sz w:val="21"/>
        </w:rPr>
        <w:t>[Filed 7/29/83, Notice 4/27/83—published 8/17/83, effective 10/1/83]</w:t>
      </w:r>
    </w:p>
    <w:p>
      <w:pPr>
        <w:spacing w:before="0" w:after="0"/>
        <w:ind w:left="120"/>
        <w:jc w:val="center"/>
      </w:pPr>
      <w:r>
        <w:rPr>
          <w:rFonts w:ascii="Times New Roman" w:hAnsi="Times New Roman"/>
          <w:b w:val="false"/>
          <w:i w:val="false"/>
          <w:color w:val="000000"/>
          <w:sz w:val="21"/>
        </w:rPr>
        <w:t>[Filed 9/1/83, Notice 7/20/83—published 9/28/83, effective 11/2/83]</w:t>
      </w:r>
    </w:p>
    <w:p>
      <w:pPr>
        <w:spacing w:before="0" w:after="0"/>
        <w:ind w:left="120"/>
        <w:jc w:val="center"/>
      </w:pPr>
      <w:r>
        <w:rPr>
          <w:rFonts w:ascii="Times New Roman" w:hAnsi="Times New Roman"/>
          <w:b w:val="false"/>
          <w:i w:val="false"/>
          <w:color w:val="000000"/>
          <w:sz w:val="21"/>
        </w:rPr>
        <w:t>[Filed emergency 9/26/83—published 10/12/83, effective 10/1/83]</w:t>
      </w:r>
    </w:p>
    <w:p>
      <w:pPr>
        <w:spacing w:before="0" w:after="0"/>
        <w:ind w:left="120"/>
        <w:jc w:val="center"/>
      </w:pPr>
      <w:r>
        <w:rPr>
          <w:rFonts w:ascii="Times New Roman" w:hAnsi="Times New Roman"/>
          <w:b w:val="false"/>
          <w:i w:val="false"/>
          <w:color w:val="000000"/>
          <w:sz w:val="21"/>
        </w:rPr>
        <w:t>[Filed 12/16/83, Notice 11/9/83—published 1/4/84, effective 2/8/84]</w:t>
      </w:r>
    </w:p>
    <w:p>
      <w:pPr>
        <w:spacing w:before="0" w:after="0"/>
        <w:ind w:left="120"/>
        <w:jc w:val="center"/>
      </w:pPr>
      <w:r>
        <w:rPr>
          <w:rFonts w:ascii="Times New Roman" w:hAnsi="Times New Roman"/>
          <w:b w:val="false"/>
          <w:i w:val="false"/>
          <w:color w:val="000000"/>
          <w:sz w:val="21"/>
        </w:rPr>
        <w:t>[Filed 4/2/84, Notices 10/12/83, 12/7/83—published 4/25/84, effective 6/1/84]</w:t>
      </w:r>
    </w:p>
    <w:p>
      <w:pPr>
        <w:spacing w:before="0" w:after="0"/>
        <w:ind w:left="120"/>
        <w:jc w:val="center"/>
      </w:pPr>
      <w:r>
        <w:rPr>
          <w:rFonts w:ascii="Times New Roman" w:hAnsi="Times New Roman"/>
          <w:b w:val="false"/>
          <w:i w:val="false"/>
          <w:color w:val="000000"/>
          <w:sz w:val="21"/>
        </w:rPr>
        <w:t>[Filed 5/31/84, Notice 4/11/84—published 6/20/84, effective 8/1/84]</w:t>
      </w:r>
    </w:p>
    <w:p>
      <w:pPr>
        <w:spacing w:before="0" w:after="0"/>
        <w:ind w:left="120"/>
        <w:jc w:val="center"/>
      </w:pPr>
      <w:r>
        <w:rPr>
          <w:rFonts w:ascii="Times New Roman" w:hAnsi="Times New Roman"/>
          <w:b w:val="false"/>
          <w:i w:val="false"/>
          <w:color w:val="000000"/>
          <w:sz w:val="21"/>
        </w:rPr>
        <w:t>[Filed emergency 6/15/84—published 7/4/84, effective 7/1/84]</w:t>
      </w:r>
    </w:p>
    <w:p>
      <w:pPr>
        <w:spacing w:before="0" w:after="0"/>
        <w:ind w:left="120"/>
        <w:jc w:val="center"/>
      </w:pPr>
      <w:r>
        <w:rPr>
          <w:rFonts w:ascii="Times New Roman" w:hAnsi="Times New Roman"/>
          <w:b w:val="false"/>
          <w:i w:val="false"/>
          <w:color w:val="000000"/>
          <w:sz w:val="21"/>
        </w:rPr>
        <w:t>[Filed 8/31/84, Notice 7/4/84—published 9/26/84, effective 11/1/84]</w:t>
      </w:r>
    </w:p>
    <w:p>
      <w:pPr>
        <w:spacing w:before="0" w:after="0"/>
        <w:ind w:left="120"/>
        <w:jc w:val="center"/>
      </w:pPr>
      <w:r>
        <w:rPr>
          <w:rFonts w:ascii="Times New Roman" w:hAnsi="Times New Roman"/>
          <w:b w:val="false"/>
          <w:i w:val="false"/>
          <w:color w:val="000000"/>
          <w:sz w:val="21"/>
        </w:rPr>
        <w:t>[Filed emergency 11/1/84—published 11/21/84, effective 11/1/84]</w:t>
      </w:r>
    </w:p>
    <w:p>
      <w:pPr>
        <w:spacing w:before="0" w:after="0"/>
        <w:ind w:left="120"/>
        <w:jc w:val="center"/>
      </w:pPr>
      <w:r>
        <w:rPr>
          <w:rFonts w:ascii="Times New Roman" w:hAnsi="Times New Roman"/>
          <w:b w:val="false"/>
          <w:i w:val="false"/>
          <w:color w:val="000000"/>
          <w:sz w:val="21"/>
        </w:rPr>
        <w:t>[Filed emergency 12/11/84—published 1/2/85, effective 1/1/85]</w:t>
      </w:r>
    </w:p>
    <w:p>
      <w:pPr>
        <w:spacing w:before="0" w:after="0"/>
        <w:ind w:left="120"/>
        <w:jc w:val="center"/>
      </w:pPr>
      <w:r>
        <w:rPr>
          <w:rFonts w:ascii="Times New Roman" w:hAnsi="Times New Roman"/>
          <w:b w:val="false"/>
          <w:i w:val="false"/>
          <w:color w:val="000000"/>
          <w:sz w:val="21"/>
        </w:rPr>
        <w:t>[Filed 1/21/85, Notice 11/21/84—published 2/13/85, effective 4/1/85]</w:t>
      </w:r>
    </w:p>
    <w:p>
      <w:pPr>
        <w:spacing w:before="0" w:after="0"/>
        <w:ind w:left="120"/>
        <w:jc w:val="center"/>
      </w:pPr>
      <w:r>
        <w:rPr>
          <w:rFonts w:ascii="Times New Roman" w:hAnsi="Times New Roman"/>
          <w:b w:val="false"/>
          <w:i w:val="false"/>
          <w:color w:val="000000"/>
          <w:sz w:val="21"/>
        </w:rPr>
        <w:t>[Filed emergency 2/19/85—published 3/13/85, effective 3/1/85]</w:t>
      </w:r>
    </w:p>
    <w:p>
      <w:pPr>
        <w:spacing w:before="0" w:after="0"/>
        <w:ind w:left="120"/>
        <w:jc w:val="center"/>
      </w:pPr>
      <w:r>
        <w:rPr>
          <w:rFonts w:ascii="Times New Roman" w:hAnsi="Times New Roman"/>
          <w:b w:val="false"/>
          <w:i w:val="false"/>
          <w:color w:val="000000"/>
          <w:sz w:val="21"/>
        </w:rPr>
        <w:t>[Filed emergency 3/4/85—published 3/27/85, effective 4/1/85]</w:t>
      </w:r>
    </w:p>
    <w:p>
      <w:pPr>
        <w:spacing w:before="0" w:after="0"/>
        <w:ind w:left="120"/>
        <w:jc w:val="center"/>
      </w:pPr>
      <w:r>
        <w:rPr>
          <w:rFonts w:ascii="Times New Roman" w:hAnsi="Times New Roman"/>
          <w:b w:val="false"/>
          <w:i w:val="false"/>
          <w:color w:val="000000"/>
          <w:sz w:val="21"/>
        </w:rPr>
        <w:t>[Filed 3/4/85, Notice 12/19/84—published 3/27/85, effective 5/1/85]</w:t>
      </w:r>
    </w:p>
    <w:p>
      <w:pPr>
        <w:spacing w:before="0" w:after="0"/>
        <w:ind w:left="120"/>
        <w:jc w:val="center"/>
      </w:pPr>
      <w:r>
        <w:rPr>
          <w:rFonts w:ascii="Times New Roman" w:hAnsi="Times New Roman"/>
          <w:b w:val="false"/>
          <w:i w:val="false"/>
          <w:color w:val="000000"/>
          <w:sz w:val="21"/>
        </w:rPr>
        <w:t>[Filed 3/4/85, Notice 1/2/85—published 3/27/85, effective 5/1/85]</w:t>
      </w:r>
    </w:p>
    <w:p>
      <w:pPr>
        <w:spacing w:before="0" w:after="0"/>
        <w:ind w:left="120"/>
        <w:jc w:val="center"/>
      </w:pPr>
      <w:r>
        <w:rPr>
          <w:rFonts w:ascii="Times New Roman" w:hAnsi="Times New Roman"/>
          <w:b w:val="false"/>
          <w:i w:val="false"/>
          <w:color w:val="000000"/>
          <w:sz w:val="21"/>
        </w:rPr>
        <w:t>[Filed emergency 3/22/85—published 4/10/85, effective 4/1/85]</w:t>
      </w:r>
    </w:p>
    <w:p>
      <w:pPr>
        <w:spacing w:before="0" w:after="0"/>
        <w:ind w:left="120"/>
        <w:jc w:val="center"/>
      </w:pPr>
      <w:r>
        <w:rPr>
          <w:rFonts w:ascii="Times New Roman" w:hAnsi="Times New Roman"/>
          <w:b w:val="false"/>
          <w:i w:val="false"/>
          <w:color w:val="000000"/>
          <w:sz w:val="21"/>
        </w:rPr>
        <w:t>[Filed 3/22/85, Notice 2/13/85—published 4/10/85, effective 6/1/85]</w:t>
      </w:r>
    </w:p>
    <w:p>
      <w:pPr>
        <w:spacing w:before="0" w:after="0"/>
        <w:ind w:left="120"/>
        <w:jc w:val="center"/>
      </w:pPr>
      <w:r>
        <w:rPr>
          <w:rFonts w:ascii="Times New Roman" w:hAnsi="Times New Roman"/>
          <w:b w:val="false"/>
          <w:i w:val="false"/>
          <w:color w:val="000000"/>
          <w:sz w:val="21"/>
        </w:rPr>
        <w:t>[Filed 5/29/85, Notices 3/27/85—published 6/19/85, effective 8/1/85]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7/26/85—published 8/14/85, effective 8/1/85]</w:t>
      </w:r>
    </w:p>
    <w:p>
      <w:pPr>
        <w:spacing w:before="0" w:after="0"/>
        <w:ind w:left="120"/>
        <w:jc w:val="center"/>
      </w:pPr>
      <w:r>
        <w:rPr>
          <w:rFonts w:ascii="Times New Roman" w:hAnsi="Times New Roman"/>
          <w:b w:val="false"/>
          <w:i w:val="false"/>
          <w:color w:val="000000"/>
          <w:sz w:val="21"/>
        </w:rPr>
        <w:t>[Filed 7/26/85, Notice 6/5/85—published 8/14/85, effective 10/1/85]</w:t>
      </w:r>
    </w:p>
    <w:p>
      <w:pPr>
        <w:spacing w:before="0" w:after="0"/>
        <w:ind w:left="120"/>
        <w:jc w:val="center"/>
      </w:pPr>
      <w:r>
        <w:rPr>
          <w:rFonts w:ascii="Times New Roman" w:hAnsi="Times New Roman"/>
          <w:b w:val="false"/>
          <w:i w:val="false"/>
          <w:color w:val="000000"/>
          <w:sz w:val="21"/>
        </w:rPr>
        <w:t>[Filed 10/1/85, Notice 8/14/85—published 10/23/85, effective 12/1/85]</w:t>
      </w:r>
    </w:p>
    <w:p>
      <w:pPr>
        <w:spacing w:before="0" w:after="0"/>
        <w:ind w:left="120"/>
        <w:jc w:val="center"/>
      </w:pPr>
      <w:r>
        <w:rPr>
          <w:rFonts w:ascii="Times New Roman" w:hAnsi="Times New Roman"/>
          <w:b w:val="false"/>
          <w:i w:val="false"/>
          <w:color w:val="000000"/>
          <w:sz w:val="21"/>
        </w:rPr>
        <w:t>[Filed 1/22/86, Notice 12/4/85—published 2/12/86, effective 4/1/86]</w:t>
      </w:r>
    </w:p>
    <w:p>
      <w:pPr>
        <w:spacing w:before="0" w:after="0"/>
        <w:ind w:left="120"/>
        <w:jc w:val="center"/>
      </w:pPr>
      <w:r>
        <w:rPr>
          <w:rFonts w:ascii="Times New Roman" w:hAnsi="Times New Roman"/>
          <w:b w:val="false"/>
          <w:i w:val="false"/>
          <w:color w:val="000000"/>
          <w:sz w:val="21"/>
        </w:rPr>
        <w:t>[Filed emergency 3/21/86—published 4/9/86, effective 3/21/86]</w:t>
      </w:r>
    </w:p>
    <w:p>
      <w:pPr>
        <w:spacing w:before="0" w:after="0"/>
        <w:ind w:left="120"/>
        <w:jc w:val="center"/>
      </w:pPr>
      <w:r>
        <w:rPr>
          <w:rFonts w:ascii="Times New Roman" w:hAnsi="Times New Roman"/>
          <w:b w:val="false"/>
          <w:i w:val="false"/>
          <w:color w:val="000000"/>
          <w:sz w:val="21"/>
        </w:rPr>
        <w:t>[Filed emergency 4/29/86 after Notice 3/12/86—published 5/21/86, effective 5/1/86]</w:t>
      </w:r>
    </w:p>
    <w:p>
      <w:pPr>
        <w:spacing w:before="0" w:after="0"/>
        <w:ind w:left="120"/>
        <w:jc w:val="center"/>
      </w:pPr>
      <w:r>
        <w:rPr>
          <w:rFonts w:ascii="Times New Roman" w:hAnsi="Times New Roman"/>
          <w:b w:val="false"/>
          <w:i w:val="false"/>
          <w:color w:val="000000"/>
          <w:sz w:val="21"/>
        </w:rPr>
        <w:t>[Filed emergency 5/28/86 after Notice 4/9/86—published 6/18/86, effective 6/1/86]</w:t>
      </w:r>
    </w:p>
    <w:p>
      <w:pPr>
        <w:spacing w:before="0" w:after="0"/>
        <w:ind w:left="120"/>
        <w:jc w:val="center"/>
      </w:pPr>
      <w:r>
        <w:rPr>
          <w:rFonts w:ascii="Times New Roman" w:hAnsi="Times New Roman"/>
          <w:b w:val="false"/>
          <w:i w:val="false"/>
          <w:color w:val="000000"/>
          <w:sz w:val="21"/>
        </w:rPr>
        <w:t>[Filed emergency 6/20/86 after Notice 4/23/86—published 7/16/86, effective 7/1/86]</w:t>
      </w:r>
    </w:p>
    <w:p>
      <w:pPr>
        <w:spacing w:before="0" w:after="0"/>
        <w:ind w:left="120"/>
        <w:jc w:val="center"/>
      </w:pPr>
      <w:r>
        <w:rPr>
          <w:rFonts w:ascii="Times New Roman" w:hAnsi="Times New Roman"/>
          <w:b w:val="false"/>
          <w:i w:val="false"/>
          <w:color w:val="000000"/>
          <w:sz w:val="21"/>
        </w:rPr>
        <w:t>[Filed emergency 6/20/86—published 7/16/86, effective 7/1/86]</w:t>
      </w:r>
    </w:p>
    <w:p>
      <w:pPr>
        <w:spacing w:before="0" w:after="0"/>
        <w:ind w:left="120"/>
        <w:jc w:val="center"/>
      </w:pPr>
      <w:r>
        <w:rPr>
          <w:rFonts w:ascii="Times New Roman" w:hAnsi="Times New Roman"/>
          <w:b w:val="false"/>
          <w:i w:val="false"/>
          <w:color w:val="000000"/>
          <w:sz w:val="21"/>
        </w:rPr>
        <w:t>[Filed emergency 7/25/86—published 8/13/86, effective 8/1/86]</w:t>
      </w:r>
    </w:p>
    <w:p>
      <w:pPr>
        <w:spacing w:before="0" w:after="0"/>
        <w:ind w:left="120"/>
        <w:jc w:val="center"/>
      </w:pPr>
      <w:r>
        <w:rPr>
          <w:rFonts w:ascii="Times New Roman" w:hAnsi="Times New Roman"/>
          <w:b w:val="false"/>
          <w:i w:val="false"/>
          <w:color w:val="000000"/>
          <w:sz w:val="21"/>
        </w:rPr>
        <w:t>[Filed emergency 9/26/86 after Notice 4/9/86—published 10/22/86, effective 9/26/86]</w:t>
      </w:r>
    </w:p>
    <w:p>
      <w:pPr>
        <w:spacing w:before="0" w:after="0"/>
        <w:ind w:left="120"/>
        <w:jc w:val="center"/>
      </w:pPr>
      <w:r>
        <w:rPr>
          <w:rFonts w:ascii="Times New Roman" w:hAnsi="Times New Roman"/>
          <w:b w:val="false"/>
          <w:i w:val="false"/>
          <w:color w:val="000000"/>
          <w:sz w:val="21"/>
        </w:rPr>
        <w:t>[Filed emergency 9/26/86—published 10/22/86, effective 10/1/86]</w:t>
      </w:r>
    </w:p>
    <w:p>
      <w:pPr>
        <w:spacing w:before="0" w:after="0"/>
        <w:ind w:left="120"/>
        <w:jc w:val="center"/>
      </w:pPr>
      <w:r>
        <w:rPr>
          <w:rFonts w:ascii="Times New Roman" w:hAnsi="Times New Roman"/>
          <w:b w:val="false"/>
          <w:i w:val="false"/>
          <w:color w:val="000000"/>
          <w:sz w:val="21"/>
        </w:rPr>
        <w:t>[Filed 9/26/86, Notice 8/13/86—published 10/22/86, effective 12/1/86]</w:t>
      </w:r>
    </w:p>
    <w:p>
      <w:pPr>
        <w:spacing w:before="0" w:after="0"/>
        <w:ind w:left="120"/>
        <w:jc w:val="center"/>
      </w:pPr>
      <w:r>
        <w:rPr>
          <w:rFonts w:ascii="Times New Roman" w:hAnsi="Times New Roman"/>
          <w:b w:val="false"/>
          <w:i w:val="false"/>
          <w:color w:val="000000"/>
          <w:sz w:val="21"/>
        </w:rPr>
        <w:t>[Filed 11/14/86, Notice 10/8/86—published 12/3/86, effective 2/1/87]</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emergency 1/15/87—published 2/11/87, effective 2/1/87]</w:t>
      </w:r>
    </w:p>
    <w:p>
      <w:pPr>
        <w:spacing w:before="0" w:after="0"/>
        <w:ind w:left="120"/>
        <w:jc w:val="center"/>
      </w:pPr>
      <w:r>
        <w:rPr>
          <w:rFonts w:ascii="Times New Roman" w:hAnsi="Times New Roman"/>
          <w:b w:val="false"/>
          <w:i w:val="false"/>
          <w:color w:val="000000"/>
          <w:sz w:val="21"/>
        </w:rPr>
        <w:t>[Filed 1/15/87, Notice 12/3/86—published 2/11/87, effective 4/1/87]</w:t>
      </w:r>
    </w:p>
    <w:p>
      <w:pPr>
        <w:spacing w:before="0" w:after="0"/>
        <w:ind w:left="120"/>
        <w:jc w:val="center"/>
      </w:pPr>
      <w:r>
        <w:rPr>
          <w:rFonts w:ascii="Times New Roman" w:hAnsi="Times New Roman"/>
          <w:b w:val="false"/>
          <w:i w:val="false"/>
          <w:color w:val="000000"/>
          <w:sz w:val="21"/>
        </w:rPr>
        <w:t>[Filed emergency 2/25/87—published 3/25/87, effective 2/25/87]</w:t>
      </w:r>
    </w:p>
    <w:p>
      <w:pPr>
        <w:spacing w:before="0" w:after="0"/>
        <w:ind w:left="120"/>
        <w:jc w:val="center"/>
      </w:pPr>
      <w:r>
        <w:rPr>
          <w:rFonts w:ascii="Times New Roman" w:hAnsi="Times New Roman"/>
          <w:b w:val="false"/>
          <w:i w:val="false"/>
          <w:color w:val="000000"/>
          <w:sz w:val="21"/>
        </w:rPr>
        <w:t>[Filed emergency 3/26/87—published 4/22/87, effective 4/1/87]</w:t>
      </w:r>
    </w:p>
    <w:p>
      <w:pPr>
        <w:spacing w:before="0" w:after="0"/>
        <w:ind w:left="120"/>
        <w:jc w:val="center"/>
      </w:pPr>
      <w:r>
        <w:rPr>
          <w:rFonts w:ascii="Times New Roman" w:hAnsi="Times New Roman"/>
          <w:b w:val="false"/>
          <w:i w:val="false"/>
          <w:color w:val="000000"/>
          <w:sz w:val="21"/>
        </w:rPr>
        <w:t>[Filed emergency 4/23/87—published 5/20/87, effective 4/23/87]</w:t>
      </w:r>
    </w:p>
    <w:p>
      <w:pPr>
        <w:spacing w:before="0" w:after="0"/>
        <w:ind w:left="120"/>
        <w:jc w:val="center"/>
      </w:pPr>
      <w:r>
        <w:rPr>
          <w:rFonts w:ascii="Times New Roman" w:hAnsi="Times New Roman"/>
          <w:b w:val="false"/>
          <w:i w:val="false"/>
          <w:color w:val="000000"/>
          <w:sz w:val="21"/>
        </w:rPr>
        <w:t>[Filed 5/29/87, Notice 4/22/87—published 6/17/87, effective 8/1/87]</w:t>
      </w:r>
    </w:p>
    <w:p>
      <w:pPr>
        <w:spacing w:before="0" w:after="0"/>
        <w:ind w:left="120"/>
        <w:jc w:val="center"/>
      </w:pPr>
      <w:r>
        <w:rPr>
          <w:rFonts w:ascii="Times New Roman" w:hAnsi="Times New Roman"/>
          <w:b w:val="false"/>
          <w:i w:val="false"/>
          <w:color w:val="000000"/>
          <w:sz w:val="21"/>
        </w:rPr>
        <w:t>[Filed 7/24/87, Notice 5/20/87—published 8/12/87, effective 10/1/87]</w:t>
      </w:r>
    </w:p>
    <w:p>
      <w:pPr>
        <w:spacing w:before="0" w:after="0"/>
        <w:ind w:left="120"/>
        <w:jc w:val="center"/>
      </w:pPr>
      <w:r>
        <w:rPr>
          <w:rFonts w:ascii="Times New Roman" w:hAnsi="Times New Roman"/>
          <w:b w:val="false"/>
          <w:i w:val="false"/>
          <w:color w:val="000000"/>
          <w:sz w:val="21"/>
        </w:rPr>
        <w:t>[Filed without Notice 8/28/87—published 9/23/87, effective 11/1/87]</w:t>
      </w:r>
    </w:p>
    <w:p>
      <w:pPr>
        <w:spacing w:before="0" w:after="0"/>
        <w:ind w:left="120"/>
        <w:jc w:val="center"/>
      </w:pPr>
      <w:r>
        <w:rPr>
          <w:rFonts w:ascii="Times New Roman" w:hAnsi="Times New Roman"/>
          <w:b w:val="false"/>
          <w:i w:val="false"/>
          <w:color w:val="000000"/>
          <w:sz w:val="21"/>
        </w:rPr>
        <w:t>[Filed 9/24/87, Notice 8/12/87—published 10/21/87, effective 12/1/87]</w:t>
      </w:r>
    </w:p>
    <w:p>
      <w:pPr>
        <w:spacing w:before="0" w:after="0"/>
        <w:ind w:left="120"/>
        <w:jc w:val="center"/>
      </w:pPr>
      <w:r>
        <w:rPr>
          <w:rFonts w:ascii="Times New Roman" w:hAnsi="Times New Roman"/>
          <w:b w:val="false"/>
          <w:i w:val="false"/>
          <w:color w:val="000000"/>
          <w:sz w:val="21"/>
        </w:rPr>
        <w:t>[Filed 11/25/87, Notice 9/23/87—published 12/16/87, effective 2/1/88]</w:t>
      </w:r>
    </w:p>
    <w:p>
      <w:pPr>
        <w:spacing w:before="0" w:after="0"/>
        <w:ind w:left="120"/>
        <w:jc w:val="center"/>
      </w:pPr>
      <w:r>
        <w:rPr>
          <w:rFonts w:ascii="Times New Roman" w:hAnsi="Times New Roman"/>
          <w:b w:val="false"/>
          <w:i w:val="false"/>
          <w:color w:val="000000"/>
          <w:sz w:val="21"/>
        </w:rPr>
        <w:t>[Filed without Notice 11/25/87—published 12/16/87, effective 2/1/88]</w:t>
      </w:r>
    </w:p>
    <w:p>
      <w:pPr>
        <w:spacing w:before="0" w:after="0"/>
        <w:ind w:left="120"/>
        <w:jc w:val="center"/>
      </w:pPr>
      <w:r>
        <w:rPr>
          <w:rFonts w:ascii="Times New Roman" w:hAnsi="Times New Roman"/>
          <w:b w:val="false"/>
          <w:i w:val="false"/>
          <w:color w:val="000000"/>
          <w:sz w:val="21"/>
        </w:rPr>
        <w:t>[Filed 6/9/88, Notice 4/20/88—published 6/29/88, effective 9/1/88]</w:t>
      </w:r>
    </w:p>
    <w:p>
      <w:pPr>
        <w:spacing w:before="0" w:after="0"/>
        <w:ind w:left="120"/>
        <w:jc w:val="center"/>
      </w:pPr>
      <w:r>
        <w:rPr>
          <w:rFonts w:ascii="Times New Roman" w:hAnsi="Times New Roman"/>
          <w:b w:val="false"/>
          <w:i w:val="false"/>
          <w:color w:val="000000"/>
          <w:sz w:val="21"/>
        </w:rPr>
        <w:t>[Filed 8/4/88, Notice 6/29/88—published 8/24/88, effective 10/1/88]</w:t>
      </w:r>
    </w:p>
    <w:p>
      <w:pPr>
        <w:spacing w:before="0" w:after="0"/>
        <w:ind w:left="120"/>
        <w:jc w:val="center"/>
      </w:pPr>
      <w:r>
        <w:rPr>
          <w:rFonts w:ascii="Times New Roman" w:hAnsi="Times New Roman"/>
          <w:b w:val="false"/>
          <w:i w:val="false"/>
          <w:color w:val="000000"/>
          <w:sz w:val="21"/>
        </w:rPr>
        <w:t>[Filed emergency 9/1/88—published 9/21/88, effective 9/1/88]</w:t>
      </w:r>
    </w:p>
    <w:p>
      <w:pPr>
        <w:spacing w:before="0" w:after="0"/>
        <w:ind w:left="120"/>
        <w:jc w:val="center"/>
      </w:pPr>
      <w:r>
        <w:rPr>
          <w:rFonts w:ascii="Times New Roman" w:hAnsi="Times New Roman"/>
          <w:b w:val="false"/>
          <w:i w:val="false"/>
          <w:color w:val="000000"/>
          <w:sz w:val="21"/>
        </w:rPr>
        <w:t>[Filed emergency 9/21/88—published 10/19/88, effective 10/1/88]</w:t>
      </w:r>
    </w:p>
    <w:p>
      <w:pPr>
        <w:spacing w:before="0" w:after="0"/>
        <w:ind w:left="120"/>
        <w:jc w:val="center"/>
      </w:pPr>
      <w:r>
        <w:rPr>
          <w:rFonts w:ascii="Times New Roman" w:hAnsi="Times New Roman"/>
          <w:b w:val="false"/>
          <w:i w:val="false"/>
          <w:color w:val="000000"/>
          <w:sz w:val="21"/>
        </w:rPr>
        <w:t>[Filed without Notice 10/27/88—published 11/16/88, effective 1/1/89]</w:t>
      </w:r>
    </w:p>
    <w:p>
      <w:pPr>
        <w:spacing w:before="0" w:after="0"/>
        <w:ind w:left="120"/>
        <w:jc w:val="center"/>
      </w:pPr>
      <w:r>
        <w:rPr>
          <w:rFonts w:ascii="Times New Roman" w:hAnsi="Times New Roman"/>
          <w:b w:val="false"/>
          <w:i w:val="false"/>
          <w:color w:val="000000"/>
          <w:sz w:val="21"/>
        </w:rPr>
        <w:t>[Filed without Notice 12/8/88—published 12/28/88, effective 2/1/89]</w:t>
      </w:r>
    </w:p>
    <w:p>
      <w:pPr>
        <w:spacing w:before="0" w:after="0"/>
        <w:ind w:left="120"/>
        <w:jc w:val="center"/>
      </w:pPr>
      <w:r>
        <w:rPr>
          <w:rFonts w:ascii="Times New Roman" w:hAnsi="Times New Roman"/>
          <w:b w:val="false"/>
          <w:i w:val="false"/>
          <w:color w:val="000000"/>
          <w:sz w:val="21"/>
        </w:rPr>
        <w:t>[Filed emergency 2/16/89—published 3/8/89, effective 2/16/89]</w:t>
      </w:r>
    </w:p>
    <w:p>
      <w:pPr>
        <w:spacing w:before="0" w:after="0"/>
        <w:ind w:left="120"/>
        <w:jc w:val="center"/>
      </w:pPr>
      <w:r>
        <w:rPr>
          <w:rFonts w:ascii="Times New Roman" w:hAnsi="Times New Roman"/>
          <w:b w:val="false"/>
          <w:i w:val="false"/>
          <w:color w:val="000000"/>
          <w:sz w:val="21"/>
        </w:rPr>
        <w:t>[Filed 4/13/89, Notice 2/22/89—published 5/3/89, effective 7/1/89]</w:t>
      </w:r>
    </w:p>
    <w:p>
      <w:pPr>
        <w:spacing w:before="0" w:after="0"/>
        <w:ind w:left="120"/>
        <w:jc w:val="center"/>
      </w:pPr>
      <w:r>
        <w:rPr>
          <w:rFonts w:ascii="Times New Roman" w:hAnsi="Times New Roman"/>
          <w:b w:val="false"/>
          <w:i w:val="false"/>
          <w:color w:val="000000"/>
          <w:sz w:val="21"/>
        </w:rPr>
        <w:t>[Filed emergency 9/15/89—published 10/4/89, effective 10/1/89]</w:t>
      </w:r>
    </w:p>
    <w:p>
      <w:pPr>
        <w:spacing w:before="0" w:after="0"/>
        <w:ind w:left="120"/>
        <w:jc w:val="center"/>
      </w:pPr>
      <w:r>
        <w:rPr>
          <w:rFonts w:ascii="Times New Roman" w:hAnsi="Times New Roman"/>
          <w:b w:val="false"/>
          <w:i w:val="false"/>
          <w:color w:val="000000"/>
          <w:sz w:val="21"/>
        </w:rPr>
        <w:t>[Filed 11/20/89, Notices 9/20/89, 10/4/89—published 12/13/89, effective 2/1/90]</w:t>
      </w:r>
    </w:p>
    <w:p>
      <w:pPr>
        <w:spacing w:before="0" w:after="0"/>
        <w:ind w:left="120"/>
        <w:jc w:val="center"/>
      </w:pPr>
      <w:r>
        <w:rPr>
          <w:rFonts w:ascii="Times New Roman" w:hAnsi="Times New Roman"/>
          <w:b w:val="false"/>
          <w:i w:val="false"/>
          <w:color w:val="000000"/>
          <w:sz w:val="21"/>
        </w:rPr>
        <w:t>[Filed emergency 2/16/90—published 3/7/90, effective 4/1/90]</w:t>
      </w:r>
    </w:p>
    <w:p>
      <w:pPr>
        <w:spacing w:before="0" w:after="0"/>
        <w:ind w:left="120"/>
        <w:jc w:val="center"/>
      </w:pPr>
      <w:r>
        <w:rPr>
          <w:rFonts w:ascii="Times New Roman" w:hAnsi="Times New Roman"/>
          <w:b w:val="false"/>
          <w:i w:val="false"/>
          <w:color w:val="000000"/>
          <w:sz w:val="21"/>
        </w:rPr>
        <w:t>[Filed 4/13/90, Notice 3/7/90—published 5/2/90, effective 7/1/90]</w:t>
      </w:r>
    </w:p>
    <w:p>
      <w:pPr>
        <w:spacing w:before="0" w:after="0"/>
        <w:ind w:left="120"/>
        <w:jc w:val="center"/>
      </w:pPr>
      <w:r>
        <w:rPr>
          <w:rFonts w:ascii="Times New Roman" w:hAnsi="Times New Roman"/>
          <w:b w:val="false"/>
          <w:i w:val="false"/>
          <w:color w:val="000000"/>
          <w:sz w:val="21"/>
        </w:rPr>
        <w:t>[Filed 4/11/91, Notices 2/6/91, 3/6/91—published 5/1/91, effective 7/1/91]</w:t>
      </w:r>
    </w:p>
    <w:p>
      <w:pPr>
        <w:spacing w:before="0" w:after="0"/>
        <w:ind w:left="120"/>
        <w:jc w:val="center"/>
      </w:pPr>
      <w:r>
        <w:rPr>
          <w:rFonts w:ascii="Times New Roman" w:hAnsi="Times New Roman"/>
          <w:b w:val="false"/>
          <w:i w:val="false"/>
          <w:color w:val="000000"/>
          <w:sz w:val="21"/>
        </w:rPr>
        <w:t>[Filed emergency 7/10/91 after Notice 5/15/91—published 8/7/91, effective 8/1/91]</w:t>
      </w:r>
    </w:p>
    <w:p>
      <w:pPr>
        <w:spacing w:before="0" w:after="0"/>
        <w:ind w:left="120"/>
        <w:jc w:val="center"/>
      </w:pPr>
      <w:r>
        <w:rPr>
          <w:rFonts w:ascii="Times New Roman" w:hAnsi="Times New Roman"/>
          <w:b w:val="false"/>
          <w:i w:val="false"/>
          <w:color w:val="000000"/>
          <w:sz w:val="21"/>
        </w:rPr>
        <w:t>[Filed without Notice 9/18/91—published 10/16/91, effective 11/21/91]</w:t>
      </w:r>
    </w:p>
    <w:p>
      <w:pPr>
        <w:spacing w:before="0" w:after="0"/>
        <w:ind w:left="120"/>
        <w:jc w:val="center"/>
      </w:pPr>
      <w:r>
        <w:rPr>
          <w:rFonts w:ascii="Times New Roman" w:hAnsi="Times New Roman"/>
          <w:b w:val="false"/>
          <w:i w:val="false"/>
          <w:color w:val="000000"/>
          <w:sz w:val="21"/>
        </w:rPr>
        <w:t>[Filed emergency 10/10/91 after Notice 8/21/91—published 10/30/91, effective 11/1/91]</w:t>
      </w:r>
    </w:p>
    <w:p>
      <w:pPr>
        <w:spacing w:before="0" w:after="0"/>
        <w:ind w:left="120"/>
        <w:jc w:val="center"/>
      </w:pPr>
      <w:r>
        <w:rPr>
          <w:rFonts w:ascii="Times New Roman" w:hAnsi="Times New Roman"/>
          <w:b w:val="false"/>
          <w:i w:val="false"/>
          <w:color w:val="000000"/>
          <w:sz w:val="21"/>
        </w:rPr>
        <w:t>[Filed emergency 10/10/91—published 10/30/91, effective 11/21/91]</w:t>
      </w:r>
    </w:p>
    <w:p>
      <w:pPr>
        <w:spacing w:before="0" w:after="0"/>
        <w:ind w:left="120"/>
        <w:jc w:val="center"/>
      </w:pPr>
      <w:r>
        <w:rPr>
          <w:rFonts w:ascii="Times New Roman" w:hAnsi="Times New Roman"/>
          <w:b w:val="false"/>
          <w:i w:val="false"/>
          <w:color w:val="000000"/>
          <w:sz w:val="21"/>
        </w:rPr>
        <w:t>[Filed 10/10/91, Notice 9/4/91—published 10/30/91, effective 1/1/92]</w:t>
      </w:r>
    </w:p>
    <w:p>
      <w:pPr>
        <w:spacing w:before="0" w:after="0"/>
        <w:ind w:left="120"/>
        <w:jc w:val="center"/>
      </w:pPr>
      <w:r>
        <w:rPr>
          <w:rFonts w:ascii="Times New Roman" w:hAnsi="Times New Roman"/>
          <w:b w:val="false"/>
          <w:i w:val="false"/>
          <w:color w:val="000000"/>
          <w:sz w:val="21"/>
        </w:rPr>
        <w:t>[Filed 1/16/92, Notice 9/18/91—published 2/5/92, effective 4/1/92]</w:t>
      </w:r>
    </w:p>
    <w:p>
      <w:pPr>
        <w:spacing w:before="0" w:after="0"/>
        <w:ind w:left="120"/>
        <w:jc w:val="center"/>
      </w:pPr>
      <w:r>
        <w:rPr>
          <w:rFonts w:ascii="Times New Roman" w:hAnsi="Times New Roman"/>
          <w:b w:val="false"/>
          <w:i w:val="false"/>
          <w:color w:val="000000"/>
          <w:sz w:val="21"/>
        </w:rPr>
        <w:t>[Filed 1/29/92, Notice 10/16/91—published 2/19/92, effective 3/25/92]</w:t>
      </w:r>
    </w:p>
    <w:p>
      <w:pPr>
        <w:spacing w:before="0" w:after="0"/>
        <w:ind w:left="120"/>
        <w:jc w:val="center"/>
      </w:pPr>
      <w:r>
        <w:rPr>
          <w:rFonts w:ascii="Times New Roman" w:hAnsi="Times New Roman"/>
          <w:b w:val="false"/>
          <w:i w:val="false"/>
          <w:color w:val="000000"/>
          <w:sz w:val="21"/>
        </w:rPr>
        <w:t>[Filed emergency 5/13/92—published 6/10/92, effective 5/14/92]</w:t>
      </w:r>
    </w:p>
    <w:p>
      <w:pPr>
        <w:spacing w:before="0" w:after="0"/>
        <w:ind w:left="120"/>
        <w:jc w:val="center"/>
      </w:pPr>
      <w:r>
        <w:rPr>
          <w:rFonts w:ascii="Times New Roman" w:hAnsi="Times New Roman"/>
          <w:b w:val="false"/>
          <w:i w:val="false"/>
          <w:color w:val="000000"/>
          <w:sz w:val="21"/>
        </w:rPr>
        <w:t>[Filed 7/17/92, Notice 6/10/92—published 8/5/92, effective 10/1/92]</w:t>
      </w:r>
    </w:p>
    <w:p>
      <w:pPr>
        <w:spacing w:before="0" w:after="0"/>
        <w:ind w:left="120"/>
        <w:jc w:val="center"/>
      </w:pPr>
      <w:r>
        <w:rPr>
          <w:rFonts w:ascii="Times New Roman" w:hAnsi="Times New Roman"/>
          <w:b w:val="false"/>
          <w:i w:val="false"/>
          <w:color w:val="000000"/>
          <w:sz w:val="21"/>
        </w:rPr>
        <w:t>[Filed emergency 10/15/92 after Notice 8/19/92—published 11/11/92, effective 11/1/92]</w:t>
      </w:r>
    </w:p>
    <w:p>
      <w:pPr>
        <w:spacing w:before="0" w:after="0"/>
        <w:ind w:left="120"/>
        <w:jc w:val="center"/>
      </w:pPr>
      <w:r>
        <w:rPr>
          <w:rFonts w:ascii="Times New Roman" w:hAnsi="Times New Roman"/>
          <w:b w:val="false"/>
          <w:i w:val="false"/>
          <w:color w:val="000000"/>
          <w:sz w:val="21"/>
        </w:rPr>
        <w:t>[Filed 10/15/92, Notice 8/19/92—published 11/11/92, effective 12/16/92]</w:t>
      </w:r>
    </w:p>
    <w:p>
      <w:pPr>
        <w:spacing w:before="0" w:after="0"/>
        <w:ind w:left="120"/>
        <w:jc w:val="center"/>
      </w:pPr>
      <w:r>
        <w:rPr>
          <w:rFonts w:ascii="Times New Roman" w:hAnsi="Times New Roman"/>
          <w:b w:val="false"/>
          <w:i w:val="false"/>
          <w:color w:val="000000"/>
          <w:sz w:val="21"/>
        </w:rPr>
        <w:t>[Filed emergency 9/17/93—published 10/13/93, effective 10/1/93]</w:t>
      </w:r>
    </w:p>
    <w:p>
      <w:pPr>
        <w:spacing w:before="0" w:after="0"/>
        <w:ind w:left="120"/>
        <w:jc w:val="center"/>
      </w:pPr>
      <w:r>
        <w:rPr>
          <w:rFonts w:ascii="Times New Roman" w:hAnsi="Times New Roman"/>
          <w:b w:val="false"/>
          <w:i w:val="false"/>
          <w:color w:val="000000"/>
          <w:sz w:val="21"/>
        </w:rPr>
        <w:t>[Filed 12/16/93, Notice 10/13/93—published 1/5/94, effective 3/1/94]</w:t>
      </w:r>
    </w:p>
    <w:p>
      <w:pPr>
        <w:spacing w:before="0" w:after="0"/>
        <w:ind w:left="120"/>
        <w:jc w:val="center"/>
      </w:pPr>
      <w:r>
        <w:rPr>
          <w:rFonts w:ascii="Times New Roman" w:hAnsi="Times New Roman"/>
          <w:b w:val="false"/>
          <w:i w:val="false"/>
          <w:color w:val="000000"/>
          <w:sz w:val="21"/>
        </w:rPr>
        <w:t>[Filed emergency 6/16/94—published 7/6/94, effective 7/1/94]</w:t>
      </w:r>
    </w:p>
    <w:p>
      <w:pPr>
        <w:spacing w:before="0" w:after="0"/>
        <w:ind w:left="120"/>
        <w:jc w:val="center"/>
      </w:pPr>
      <w:r>
        <w:rPr>
          <w:rFonts w:ascii="Times New Roman" w:hAnsi="Times New Roman"/>
          <w:b w:val="false"/>
          <w:i w:val="false"/>
          <w:color w:val="000000"/>
          <w:sz w:val="21"/>
        </w:rPr>
        <w:t>[Filed emergency 8/12/94—published 8/31/94, effective 9/1/94]</w:t>
      </w:r>
    </w:p>
    <w:p>
      <w:pPr>
        <w:spacing w:before="0" w:after="0"/>
        <w:ind w:left="120"/>
        <w:jc w:val="center"/>
      </w:pPr>
      <w:r>
        <w:rPr>
          <w:rFonts w:ascii="Times New Roman" w:hAnsi="Times New Roman"/>
          <w:b w:val="false"/>
          <w:i w:val="false"/>
          <w:color w:val="000000"/>
          <w:sz w:val="21"/>
        </w:rPr>
        <w:t>[Filed emergency 10/12/94—published 11/9/94, effective 11/1/94]</w:t>
      </w:r>
    </w:p>
    <w:p>
      <w:pPr>
        <w:spacing w:before="0" w:after="0"/>
        <w:ind w:left="120"/>
        <w:jc w:val="center"/>
      </w:pPr>
      <w:r>
        <w:rPr>
          <w:rFonts w:ascii="Times New Roman" w:hAnsi="Times New Roman"/>
          <w:b w:val="false"/>
          <w:i w:val="false"/>
          <w:color w:val="000000"/>
          <w:sz w:val="21"/>
        </w:rPr>
        <w:t>[Filed 10/12/94, Notice 8/31/94—published 11/9/94, effective 1/1/95]</w:t>
      </w:r>
    </w:p>
    <w:p>
      <w:pPr>
        <w:spacing w:before="0" w:after="0"/>
        <w:ind w:left="120"/>
        <w:jc w:val="center"/>
      </w:pPr>
      <w:r>
        <w:rPr>
          <w:rFonts w:ascii="Times New Roman" w:hAnsi="Times New Roman"/>
          <w:b w:val="false"/>
          <w:i w:val="false"/>
          <w:color w:val="000000"/>
          <w:sz w:val="21"/>
        </w:rPr>
        <w:t>[Filed emergency 11/9/94—published 12/7/94, effective 12/1/94]</w:t>
      </w:r>
    </w:p>
    <w:p>
      <w:pPr>
        <w:spacing w:before="0" w:after="0"/>
        <w:ind w:left="120"/>
        <w:jc w:val="center"/>
      </w:pPr>
      <w:r>
        <w:rPr>
          <w:rFonts w:ascii="Times New Roman" w:hAnsi="Times New Roman"/>
          <w:b w:val="false"/>
          <w:i w:val="false"/>
          <w:color w:val="000000"/>
          <w:sz w:val="21"/>
        </w:rPr>
        <w:t>[Filed emergency 1/11/95 after Notice 11/23/94—published 2/1/95, effective 2/1/95]</w:t>
      </w:r>
    </w:p>
    <w:p>
      <w:pPr>
        <w:spacing w:before="0" w:after="0"/>
        <w:ind w:left="120"/>
        <w:jc w:val="center"/>
      </w:pPr>
      <w:r>
        <w:rPr>
          <w:rFonts w:ascii="Times New Roman" w:hAnsi="Times New Roman"/>
          <w:b w:val="false"/>
          <w:i w:val="false"/>
          <w:color w:val="000000"/>
          <w:sz w:val="21"/>
        </w:rPr>
        <w:t>[Filed 1/11/95, Notice 11/23/94—published 2/1/95, effective 4/1/95]</w:t>
      </w:r>
    </w:p>
    <w:p>
      <w:pPr>
        <w:spacing w:before="0" w:after="0"/>
        <w:ind w:left="120"/>
        <w:jc w:val="center"/>
      </w:pPr>
      <w:r>
        <w:rPr>
          <w:rFonts w:ascii="Times New Roman" w:hAnsi="Times New Roman"/>
          <w:b w:val="false"/>
          <w:i w:val="false"/>
          <w:color w:val="000000"/>
          <w:sz w:val="21"/>
        </w:rPr>
        <w:t>[Filed 2/16/95, Notice 11/23/94—published 3/15/95, effective 5/1/95]</w:t>
      </w:r>
    </w:p>
    <w:p>
      <w:pPr>
        <w:spacing w:before="0" w:after="0"/>
        <w:ind w:left="120"/>
        <w:jc w:val="center"/>
      </w:pPr>
      <w:r>
        <w:rPr>
          <w:rFonts w:ascii="Times New Roman" w:hAnsi="Times New Roman"/>
          <w:b w:val="false"/>
          <w:i w:val="false"/>
          <w:color w:val="000000"/>
          <w:sz w:val="21"/>
        </w:rPr>
        <w:t>[Filed emergency 9/25/95—published 10/11/95, effective 10/1/95]</w:t>
      </w:r>
    </w:p>
    <w:p>
      <w:pPr>
        <w:spacing w:before="0" w:after="0"/>
        <w:ind w:left="120"/>
        <w:jc w:val="center"/>
      </w:pPr>
      <w:r>
        <w:rPr>
          <w:rFonts w:ascii="Times New Roman" w:hAnsi="Times New Roman"/>
          <w:b w:val="false"/>
          <w:i w:val="false"/>
          <w:color w:val="000000"/>
          <w:sz w:val="21"/>
        </w:rPr>
        <w:t>[Filed emergency 11/16/95—published 12/6/95, effective 12/1/95]</w:t>
      </w:r>
    </w:p>
    <w:p>
      <w:pPr>
        <w:spacing w:before="0" w:after="0"/>
        <w:ind w:left="120"/>
        <w:jc w:val="center"/>
      </w:pPr>
      <w:r>
        <w:rPr>
          <w:rFonts w:ascii="Times New Roman" w:hAnsi="Times New Roman"/>
          <w:b w:val="false"/>
          <w:i w:val="false"/>
          <w:color w:val="000000"/>
          <w:sz w:val="21"/>
        </w:rPr>
        <w:t>[Filed 11/16/95, Notice 10/11/95—published 12/6/95, effective 2/1/96]</w:t>
      </w:r>
    </w:p>
    <w:p>
      <w:pPr>
        <w:spacing w:before="0" w:after="0"/>
        <w:ind w:left="120"/>
        <w:jc w:val="center"/>
      </w:pPr>
      <w:r>
        <w:rPr>
          <w:rFonts w:ascii="Times New Roman" w:hAnsi="Times New Roman"/>
          <w:b w:val="false"/>
          <w:i w:val="false"/>
          <w:color w:val="000000"/>
          <w:sz w:val="21"/>
        </w:rPr>
        <w:t>[Filed emergency 1/10/96—published 1/31/96, effective 2/1/96]</w:t>
      </w:r>
    </w:p>
    <w:p>
      <w:pPr>
        <w:spacing w:before="0" w:after="0"/>
        <w:ind w:left="120"/>
        <w:jc w:val="center"/>
      </w:pPr>
      <w:r>
        <w:rPr>
          <w:rFonts w:ascii="Times New Roman" w:hAnsi="Times New Roman"/>
          <w:b w:val="false"/>
          <w:i w:val="false"/>
          <w:color w:val="000000"/>
          <w:sz w:val="21"/>
        </w:rPr>
        <w:t>[Filed 1/10/96, Notice 12/6/95—published 1/31/96, effective 4/1/96]</w:t>
      </w:r>
    </w:p>
    <w:p>
      <w:pPr>
        <w:spacing w:before="0" w:after="0"/>
        <w:ind w:left="120"/>
        <w:jc w:val="center"/>
      </w:pPr>
      <w:r>
        <w:rPr>
          <w:rFonts w:ascii="Times New Roman" w:hAnsi="Times New Roman"/>
          <w:b w:val="false"/>
          <w:i w:val="false"/>
          <w:color w:val="000000"/>
          <w:sz w:val="21"/>
        </w:rPr>
        <w:t>[Filed 3/13/96, Notice 1/31/96—published 4/10/96, effective 6/1/96]</w:t>
      </w:r>
    </w:p>
    <w:p>
      <w:pPr>
        <w:spacing w:before="0" w:after="0"/>
        <w:ind w:left="120"/>
        <w:jc w:val="center"/>
      </w:pPr>
      <w:r>
        <w:rPr>
          <w:rFonts w:ascii="Times New Roman" w:hAnsi="Times New Roman"/>
          <w:b w:val="false"/>
          <w:i w:val="false"/>
          <w:color w:val="000000"/>
          <w:sz w:val="21"/>
        </w:rPr>
        <w:t>[Filed 8/15/96, Notice 5/8/96—published 9/11/96, effective 11/1/96]</w:t>
      </w:r>
    </w:p>
    <w:p>
      <w:pPr>
        <w:spacing w:before="0" w:after="0"/>
        <w:ind w:left="120"/>
        <w:jc w:val="center"/>
      </w:pPr>
      <w:r>
        <w:rPr>
          <w:rFonts w:ascii="Times New Roman" w:hAnsi="Times New Roman"/>
          <w:b w:val="false"/>
          <w:i w:val="false"/>
          <w:color w:val="000000"/>
          <w:sz w:val="21"/>
        </w:rPr>
        <w:t>[Filed emergency 9/19/96—published 10/9/96, effective 9/21/96]</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without Notice 9/19/96—published 10/9/96, effective 11/22/96]</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emergency 10/9/96—published 11/6/96, effective 10/10/96]</w:t>
      </w:r>
    </w:p>
    <w:p>
      <w:pPr>
        <w:spacing w:before="0" w:after="0"/>
        <w:ind w:left="120"/>
        <w:jc w:val="center"/>
      </w:pPr>
      <w:r>
        <w:rPr>
          <w:rFonts w:ascii="Times New Roman" w:hAnsi="Times New Roman"/>
          <w:b w:val="false"/>
          <w:i w:val="false"/>
          <w:color w:val="000000"/>
          <w:sz w:val="21"/>
        </w:rPr>
        <w:t>[Filed 12/12/96, Notices 10/9/96, 11/6/96—published 1/1/97, effective 3/1/97]</w:t>
      </w:r>
    </w:p>
    <w:p>
      <w:pPr>
        <w:spacing w:before="0" w:after="0"/>
        <w:ind w:left="120"/>
        <w:jc w:val="center"/>
      </w:pPr>
      <w:r>
        <w:rPr>
          <w:rFonts w:ascii="Times New Roman" w:hAnsi="Times New Roman"/>
          <w:b w:val="false"/>
          <w:i w:val="false"/>
          <w:color w:val="000000"/>
          <w:sz w:val="21"/>
        </w:rPr>
        <w:t>[Filed 4/11/97, Notice 2/12/97—published 5/7/97, effective 7/1/97]</w:t>
      </w:r>
    </w:p>
    <w:p>
      <w:pPr>
        <w:spacing w:before="0" w:after="0"/>
        <w:ind w:left="120"/>
        <w:jc w:val="center"/>
      </w:pPr>
      <w:r>
        <w:rPr>
          <w:rFonts w:ascii="Times New Roman" w:hAnsi="Times New Roman"/>
          <w:b w:val="false"/>
          <w:i w:val="false"/>
          <w:color w:val="000000"/>
          <w:sz w:val="21"/>
        </w:rPr>
        <w:t>[Filed emergency 6/10/98—published 7/1/98, effective 7/1/98]</w:t>
      </w:r>
    </w:p>
    <w:p>
      <w:pPr>
        <w:spacing w:before="0" w:after="0"/>
        <w:ind w:left="120"/>
        <w:jc w:val="center"/>
      </w:pPr>
      <w:r>
        <w:rPr>
          <w:rFonts w:ascii="Times New Roman" w:hAnsi="Times New Roman"/>
          <w:b w:val="false"/>
          <w:i w:val="false"/>
          <w:color w:val="000000"/>
          <w:sz w:val="21"/>
        </w:rPr>
        <w:t>[Filed 6/10/98, Notice 5/6/98—published 7/1/98, effective 8/5/98]</w:t>
      </w:r>
    </w:p>
    <w:p>
      <w:pPr>
        <w:spacing w:before="0" w:after="0"/>
        <w:ind w:left="120"/>
        <w:jc w:val="center"/>
      </w:pPr>
      <w:r>
        <w:rPr>
          <w:rFonts w:ascii="Times New Roman" w:hAnsi="Times New Roman"/>
          <w:b w:val="false"/>
          <w:i w:val="false"/>
          <w:color w:val="000000"/>
          <w:sz w:val="21"/>
        </w:rPr>
        <w:t>[Filed 8/12/98, Notices 6/17/98, 7/1/98—published 9/9/98, effective 11/1/98]</w:t>
      </w:r>
    </w:p>
    <w:p>
      <w:pPr>
        <w:spacing w:before="0" w:after="0"/>
        <w:ind w:left="120"/>
        <w:jc w:val="center"/>
      </w:pPr>
      <w:r>
        <w:rPr>
          <w:rFonts w:ascii="Times New Roman" w:hAnsi="Times New Roman"/>
          <w:b w:val="false"/>
          <w:i w:val="false"/>
          <w:color w:val="000000"/>
          <w:sz w:val="21"/>
        </w:rPr>
        <w:t>[Filed emergency 10/14/98—published 11/4/98, effective 11/1/98]</w:t>
      </w:r>
    </w:p>
    <w:p>
      <w:pPr>
        <w:spacing w:before="0" w:after="0"/>
        <w:ind w:left="120"/>
        <w:jc w:val="center"/>
      </w:pPr>
      <w:r>
        <w:rPr>
          <w:rFonts w:ascii="Times New Roman" w:hAnsi="Times New Roman"/>
          <w:b w:val="false"/>
          <w:i w:val="false"/>
          <w:color w:val="000000"/>
          <w:sz w:val="21"/>
        </w:rPr>
        <w:t>[Filed 12/9/98, Notice 11/4/98—published 12/30/98, effective 3/1/99]</w:t>
      </w:r>
    </w:p>
    <w:p>
      <w:pPr>
        <w:spacing w:before="0" w:after="0"/>
        <w:ind w:left="120"/>
        <w:jc w:val="center"/>
      </w:pPr>
      <w:r>
        <w:rPr>
          <w:rFonts w:ascii="Times New Roman" w:hAnsi="Times New Roman"/>
          <w:b w:val="false"/>
          <w:i w:val="false"/>
          <w:color w:val="000000"/>
          <w:sz w:val="21"/>
        </w:rPr>
        <w:t>[Filed 7/15/99, Notice 6/2/99—published 8/11/99, effective 11/1/99]</w:t>
      </w:r>
    </w:p>
    <w:p>
      <w:pPr>
        <w:spacing w:before="0" w:after="0"/>
        <w:ind w:left="120"/>
        <w:jc w:val="center"/>
      </w:pPr>
      <w:r>
        <w:rPr>
          <w:rFonts w:ascii="Times New Roman" w:hAnsi="Times New Roman"/>
          <w:b w:val="false"/>
          <w:i w:val="false"/>
          <w:color w:val="000000"/>
          <w:sz w:val="21"/>
        </w:rPr>
        <w:t>[Filed emergency 10/13/99 after Notice 8/25/99—published 11/3/99, effective 11/1/99]</w:t>
      </w:r>
    </w:p>
    <w:p>
      <w:pPr>
        <w:spacing w:before="0" w:after="0"/>
        <w:ind w:left="120"/>
        <w:jc w:val="center"/>
      </w:pPr>
      <w:r>
        <w:rPr>
          <w:rFonts w:ascii="Times New Roman" w:hAnsi="Times New Roman"/>
          <w:b w:val="false"/>
          <w:i w:val="false"/>
          <w:color w:val="000000"/>
          <w:sz w:val="21"/>
        </w:rPr>
        <w:t>[Filed 12/8/99, Notice 8/25/99—published 12/29/99, effective 5/1/00]</w:t>
      </w:r>
    </w:p>
    <w:p>
      <w:pPr>
        <w:spacing w:before="0" w:after="0"/>
        <w:ind w:left="120"/>
        <w:jc w:val="center"/>
      </w:pPr>
      <w:r>
        <w:rPr>
          <w:rFonts w:ascii="Times New Roman" w:hAnsi="Times New Roman"/>
          <w:b w:val="false"/>
          <w:i w:val="false"/>
          <w:color w:val="000000"/>
          <w:sz w:val="21"/>
        </w:rPr>
        <w:t>[Filed 1/12/00, Notice 12/1/99—published 2/9/00, effective 4/1/00]</w:t>
      </w:r>
    </w:p>
    <w:p>
      <w:pPr>
        <w:spacing w:before="0" w:after="0"/>
        <w:ind w:left="120"/>
        <w:jc w:val="center"/>
      </w:pPr>
      <w:r>
        <w:rPr>
          <w:rFonts w:ascii="Times New Roman" w:hAnsi="Times New Roman"/>
          <w:b w:val="false"/>
          <w:i w:val="false"/>
          <w:color w:val="000000"/>
          <w:sz w:val="21"/>
        </w:rPr>
        <w:t>[Filed emergency 3/8/00—published 4/5/00, effective 4/1/00]</w:t>
      </w:r>
    </w:p>
    <w:p>
      <w:pPr>
        <w:spacing w:before="0" w:after="0"/>
        <w:ind w:left="120"/>
        <w:jc w:val="center"/>
      </w:pPr>
      <w:r>
        <w:rPr>
          <w:rFonts w:ascii="Times New Roman" w:hAnsi="Times New Roman"/>
          <w:b w:val="false"/>
          <w:i w:val="false"/>
          <w:color w:val="000000"/>
          <w:sz w:val="21"/>
        </w:rPr>
        <w:t>[Filed 6/8/00, Notice 4/5/00—published 6/28/00, effective 9/1/00]</w:t>
      </w:r>
    </w:p>
    <w:p>
      <w:pPr>
        <w:spacing w:before="0" w:after="0"/>
        <w:ind w:left="120"/>
        <w:jc w:val="center"/>
      </w:pPr>
      <w:r>
        <w:rPr>
          <w:rFonts w:ascii="Times New Roman" w:hAnsi="Times New Roman"/>
          <w:b w:val="false"/>
          <w:i w:val="false"/>
          <w:color w:val="000000"/>
          <w:sz w:val="21"/>
        </w:rPr>
        <w:t>[Filed emergency 2/21/01—published 3/21/01, effective 4/1/01]</w:t>
      </w:r>
    </w:p>
    <w:p>
      <w:pPr>
        <w:spacing w:before="0" w:after="0"/>
        <w:ind w:left="120"/>
        <w:jc w:val="center"/>
      </w:pPr>
      <w:r>
        <w:rPr>
          <w:rFonts w:ascii="Times New Roman" w:hAnsi="Times New Roman"/>
          <w:b w:val="false"/>
          <w:i w:val="false"/>
          <w:color w:val="000000"/>
          <w:sz w:val="21"/>
        </w:rPr>
        <w:t>[Filed emergency 4/11/01 after Notice 3/7/01—published 5/2/01, effective 6/1/01]</w:t>
      </w:r>
    </w:p>
    <w:p>
      <w:pPr>
        <w:spacing w:before="0" w:after="0"/>
        <w:ind w:left="120"/>
        <w:jc w:val="center"/>
      </w:pPr>
      <w:r>
        <w:rPr>
          <w:rFonts w:ascii="Times New Roman" w:hAnsi="Times New Roman"/>
          <w:b w:val="false"/>
          <w:i w:val="false"/>
          <w:color w:val="000000"/>
          <w:sz w:val="21"/>
        </w:rPr>
        <w:t>[Filed 5/9/01, Notice 3/21/01—published 5/30/01, effective 8/1/01]</w:t>
      </w:r>
    </w:p>
    <w:p>
      <w:pPr>
        <w:spacing w:before="0" w:after="0"/>
        <w:ind w:left="120"/>
        <w:jc w:val="center"/>
      </w:pPr>
      <w:r>
        <w:rPr>
          <w:rFonts w:ascii="Times New Roman" w:hAnsi="Times New Roman"/>
          <w:b w:val="false"/>
          <w:i w:val="false"/>
          <w:color w:val="000000"/>
          <w:sz w:val="21"/>
        </w:rPr>
        <w:t>[Filed emergency 9/11/01 after Notice 7/25/01—published 10/3/01, effective 10/1/01]</w:t>
      </w:r>
    </w:p>
    <w:p>
      <w:pPr>
        <w:spacing w:before="0" w:after="0"/>
        <w:ind w:left="120"/>
        <w:jc w:val="center"/>
      </w:pPr>
      <w:r>
        <w:rPr>
          <w:rFonts w:ascii="Times New Roman" w:hAnsi="Times New Roman"/>
          <w:b w:val="false"/>
          <w:i w:val="false"/>
          <w:color w:val="000000"/>
          <w:sz w:val="21"/>
        </w:rPr>
        <w:t>[Filed 9/11/01, Notice 7/11/01—published 10/3/01, effective 4/1/02]</w:t>
      </w:r>
    </w:p>
    <w:p>
      <w:pPr>
        <w:spacing w:before="0" w:after="0"/>
        <w:ind w:left="120"/>
        <w:jc w:val="center"/>
      </w:pPr>
      <w:r>
        <w:rPr>
          <w:rFonts w:ascii="Times New Roman" w:hAnsi="Times New Roman"/>
          <w:b w:val="false"/>
          <w:i w:val="false"/>
          <w:color w:val="000000"/>
          <w:sz w:val="21"/>
        </w:rPr>
        <w:t>[Filed 2/14/02, Notice 12/26/01—published 3/6/02, effective 5/1/02]</w:t>
      </w:r>
    </w:p>
    <w:p>
      <w:pPr>
        <w:spacing w:before="0" w:after="0"/>
        <w:ind w:left="120"/>
        <w:jc w:val="center"/>
      </w:pPr>
      <w:r>
        <w:rPr>
          <w:rFonts w:ascii="Times New Roman" w:hAnsi="Times New Roman"/>
          <w:b w:val="false"/>
          <w:i w:val="false"/>
          <w:color w:val="000000"/>
          <w:sz w:val="21"/>
        </w:rPr>
        <w:t>[Filed emergency 8/15/02 after Notice 6/26/02—published 9/4/02, effective 10/1/02]</w:t>
      </w:r>
    </w:p>
    <w:p>
      <w:pPr>
        <w:spacing w:before="0" w:after="0"/>
        <w:ind w:left="120"/>
        <w:jc w:val="center"/>
      </w:pPr>
      <w:r>
        <w:rPr>
          <w:rFonts w:ascii="Times New Roman" w:hAnsi="Times New Roman"/>
          <w:b w:val="false"/>
          <w:i w:val="false"/>
          <w:color w:val="000000"/>
          <w:sz w:val="21"/>
        </w:rPr>
        <w:t>[Filed 8/15/02, Notice 6/26/02—published 9/4/02, effective 12/1/02]</w:t>
      </w:r>
    </w:p>
    <w:p>
      <w:pPr>
        <w:spacing w:before="0" w:after="0"/>
        <w:ind w:left="120"/>
        <w:jc w:val="center"/>
      </w:pPr>
      <w:r>
        <w:rPr>
          <w:rFonts w:ascii="Times New Roman" w:hAnsi="Times New Roman"/>
          <w:b w:val="false"/>
          <w:i w:val="false"/>
          <w:color w:val="000000"/>
          <w:sz w:val="21"/>
        </w:rPr>
        <w:t>[Filed emergency 9/12/02 after Notice 7/24/02—published 10/2/02, effective 10/1/02]</w:t>
      </w:r>
    </w:p>
    <w:p>
      <w:pPr>
        <w:spacing w:before="0" w:after="0"/>
        <w:ind w:left="120"/>
        <w:jc w:val="center"/>
      </w:pPr>
      <w:r>
        <w:rPr>
          <w:rFonts w:ascii="Times New Roman" w:hAnsi="Times New Roman"/>
          <w:b w:val="false"/>
          <w:i w:val="false"/>
          <w:color w:val="000000"/>
          <w:sz w:val="21"/>
        </w:rPr>
        <w:t>[Filed emergency 12/12/02 after Notice 10/30/02—published 1/8/03, effective 1/1/03]</w:t>
      </w:r>
    </w:p>
    <w:p>
      <w:pPr>
        <w:spacing w:before="0" w:after="0"/>
        <w:ind w:left="120"/>
        <w:jc w:val="center"/>
      </w:pPr>
      <w:r>
        <w:rPr>
          <w:rFonts w:ascii="Times New Roman" w:hAnsi="Times New Roman"/>
          <w:b w:val="false"/>
          <w:i w:val="false"/>
          <w:color w:val="000000"/>
          <w:sz w:val="21"/>
        </w:rPr>
        <w:t>[Filed 2/13/03, Notice 12/25/02—published 3/5/03, effective 5/1/03]</w:t>
      </w:r>
    </w:p>
    <w:p>
      <w:pPr>
        <w:spacing w:before="0" w:after="0"/>
        <w:ind w:left="120"/>
        <w:jc w:val="center"/>
      </w:pPr>
      <w:r>
        <w:rPr>
          <w:rFonts w:ascii="Times New Roman" w:hAnsi="Times New Roman"/>
          <w:b w:val="false"/>
          <w:i w:val="false"/>
          <w:color w:val="000000"/>
          <w:sz w:val="21"/>
        </w:rPr>
        <w:t>[Filed emergency 3/14/03 after Notice 1/22/03—published 4/2/03, effective 4/1/03]</w:t>
      </w:r>
    </w:p>
    <w:p>
      <w:pPr>
        <w:spacing w:before="0" w:after="0"/>
        <w:ind w:left="120"/>
        <w:jc w:val="center"/>
      </w:pPr>
      <w:r>
        <w:rPr>
          <w:rFonts w:ascii="Times New Roman" w:hAnsi="Times New Roman"/>
          <w:b w:val="false"/>
          <w:i w:val="false"/>
          <w:color w:val="000000"/>
          <w:sz w:val="21"/>
        </w:rPr>
        <w:t>[Filed 7/10/03, Notice 5/28/03—published 8/6/03, effective 10/1/03]</w:t>
      </w:r>
    </w:p>
    <w:p>
      <w:pPr>
        <w:spacing w:before="0" w:after="0"/>
        <w:ind w:left="120"/>
        <w:jc w:val="center"/>
      </w:pPr>
      <w:r>
        <w:rPr>
          <w:rFonts w:ascii="Times New Roman" w:hAnsi="Times New Roman"/>
          <w:b w:val="false"/>
          <w:i w:val="false"/>
          <w:color w:val="000000"/>
          <w:sz w:val="21"/>
        </w:rPr>
        <w:t>[Filed 8/26/03, Notice 6/25/03—published 9/17/03, effective 11/1/03]</w:t>
      </w:r>
    </w:p>
    <w:p>
      <w:pPr>
        <w:spacing w:before="0" w:after="0"/>
        <w:ind w:left="120"/>
        <w:jc w:val="center"/>
      </w:pPr>
      <w:r>
        <w:rPr>
          <w:rFonts w:ascii="Times New Roman" w:hAnsi="Times New Roman"/>
          <w:b w:val="false"/>
          <w:i w:val="false"/>
          <w:color w:val="000000"/>
          <w:sz w:val="21"/>
        </w:rPr>
        <w:t>[Filed emergency 11/19/03 after Notice 10/1/03—published 12/10/03, effective 12/1/03]</w:t>
      </w:r>
    </w:p>
    <w:p>
      <w:pPr>
        <w:spacing w:before="0" w:after="0"/>
        <w:ind w:left="120"/>
        <w:jc w:val="center"/>
      </w:pPr>
      <w:r>
        <w:rPr>
          <w:rFonts w:ascii="Times New Roman" w:hAnsi="Times New Roman"/>
          <w:b w:val="false"/>
          <w:i w:val="false"/>
          <w:color w:val="000000"/>
          <w:sz w:val="21"/>
        </w:rPr>
        <w:t>[Filed emergency 6/14/04—published 7/7/04, effective 7/1/04]</w:t>
      </w:r>
    </w:p>
    <w:p>
      <w:pPr>
        <w:spacing w:before="0" w:after="0"/>
        <w:ind w:left="120"/>
        <w:jc w:val="center"/>
      </w:pPr>
      <w:r>
        <w:rPr>
          <w:rFonts w:ascii="Times New Roman" w:hAnsi="Times New Roman"/>
          <w:b w:val="false"/>
          <w:i w:val="false"/>
          <w:color w:val="000000"/>
          <w:sz w:val="21"/>
        </w:rPr>
        <w:t>[Filed emergency 8/12/04—published 9/1/04, effective 8/20/04]</w:t>
      </w:r>
    </w:p>
    <w:p>
      <w:pPr>
        <w:spacing w:before="0" w:after="0"/>
        <w:ind w:left="120"/>
        <w:jc w:val="center"/>
      </w:pPr>
      <w:r>
        <w:rPr>
          <w:rFonts w:ascii="Times New Roman" w:hAnsi="Times New Roman"/>
          <w:b w:val="false"/>
          <w:i w:val="false"/>
          <w:color w:val="000000"/>
          <w:sz w:val="21"/>
        </w:rPr>
        <w:t>[Filed 9/23/04, Notice 7/7/04—published 10/13/04, effective 11/17/04]</w:t>
      </w:r>
    </w:p>
    <w:p>
      <w:pPr>
        <w:spacing w:before="0" w:after="0"/>
        <w:ind w:left="120"/>
        <w:jc w:val="center"/>
      </w:pPr>
      <w:r>
        <w:rPr>
          <w:rFonts w:ascii="Times New Roman" w:hAnsi="Times New Roman"/>
          <w:b w:val="false"/>
          <w:i w:val="false"/>
          <w:color w:val="000000"/>
          <w:sz w:val="21"/>
        </w:rPr>
        <w:t>[Filed 10/14/04, Notice 9/1/04—published 11/10/04, effective 12/15/04]</w:t>
      </w:r>
    </w:p>
    <w:p>
      <w:pPr>
        <w:spacing w:before="0" w:after="0"/>
        <w:ind w:left="120"/>
        <w:jc w:val="center"/>
      </w:pPr>
      <w:r>
        <w:rPr>
          <w:rFonts w:ascii="Times New Roman" w:hAnsi="Times New Roman"/>
          <w:b w:val="false"/>
          <w:i w:val="false"/>
          <w:color w:val="000000"/>
          <w:sz w:val="21"/>
        </w:rPr>
        <w:t>[Filed emergency 1/13/05—published 2/2/05, effective 3/1/05]</w:t>
      </w:r>
    </w:p>
    <w:p>
      <w:pPr>
        <w:spacing w:before="0" w:after="0"/>
        <w:ind w:left="120"/>
        <w:jc w:val="center"/>
      </w:pPr>
      <w:r>
        <w:rPr>
          <w:rFonts w:ascii="Times New Roman" w:hAnsi="Times New Roman"/>
          <w:b w:val="false"/>
          <w:i w:val="false"/>
          <w:color w:val="000000"/>
          <w:sz w:val="21"/>
        </w:rPr>
        <w:t>[Filed 4/15/05, Notice 2/2/05—published 5/11/05, effective 6/15/05]</w:t>
      </w:r>
    </w:p>
    <w:p>
      <w:pPr>
        <w:spacing w:before="0" w:after="0"/>
        <w:ind w:left="120"/>
        <w:jc w:val="center"/>
      </w:pPr>
      <w:r>
        <w:rPr>
          <w:rFonts w:ascii="Times New Roman" w:hAnsi="Times New Roman"/>
          <w:b w:val="false"/>
          <w:i w:val="false"/>
          <w:color w:val="000000"/>
          <w:sz w:val="21"/>
        </w:rPr>
        <w:t>[Filed emergency 11/16/05—published 12/7/05, effective 12/1/05]</w:t>
      </w:r>
    </w:p>
    <w:p>
      <w:pPr>
        <w:spacing w:before="0" w:after="0"/>
        <w:ind w:left="120"/>
        <w:jc w:val="center"/>
      </w:pPr>
      <w:r>
        <w:rPr>
          <w:rFonts w:ascii="Times New Roman" w:hAnsi="Times New Roman"/>
          <w:b w:val="false"/>
          <w:i w:val="false"/>
          <w:color w:val="000000"/>
          <w:sz w:val="21"/>
        </w:rPr>
        <w:t>[Filed emergency 9/14/06—published 10/11/06, effective 10/1/06]</w:t>
      </w:r>
    </w:p>
    <w:p>
      <w:pPr>
        <w:spacing w:before="0" w:after="0"/>
        <w:ind w:left="120"/>
        <w:jc w:val="center"/>
      </w:pPr>
      <w:r>
        <w:rPr>
          <w:rFonts w:ascii="Times New Roman" w:hAnsi="Times New Roman"/>
          <w:b w:val="false"/>
          <w:i w:val="false"/>
          <w:color w:val="000000"/>
          <w:sz w:val="21"/>
        </w:rPr>
        <w:t>[Filed 1/12/07, Notice 11/22/06—published 2/14/07, effective 4/1/07]</w:t>
      </w:r>
    </w:p>
    <w:p>
      <w:pPr>
        <w:spacing w:before="0" w:after="0"/>
        <w:ind w:left="120"/>
        <w:jc w:val="center"/>
      </w:pPr>
      <w:r>
        <w:rPr>
          <w:rFonts w:ascii="Times New Roman" w:hAnsi="Times New Roman"/>
          <w:b w:val="false"/>
          <w:i w:val="false"/>
          <w:color w:val="000000"/>
          <w:sz w:val="21"/>
        </w:rPr>
        <w:t>[Filed emergency 2/15/07—published 3/14/07, effective 3/1/07]</w:t>
      </w:r>
    </w:p>
    <w:p>
      <w:pPr>
        <w:spacing w:before="0" w:after="0"/>
        <w:ind w:left="120"/>
        <w:jc w:val="center"/>
      </w:pPr>
      <w:r>
        <w:rPr>
          <w:rFonts w:ascii="Times New Roman" w:hAnsi="Times New Roman"/>
          <w:b w:val="false"/>
          <w:i w:val="false"/>
          <w:color w:val="000000"/>
          <w:sz w:val="21"/>
        </w:rPr>
        <w:t>[Filed 5/10/07, Notice 3/14/07—published 6/6/07, effective 7/11/07]</w:t>
      </w:r>
    </w:p>
    <w:p>
      <w:pPr>
        <w:spacing w:before="0" w:after="0"/>
        <w:ind w:left="120"/>
        <w:jc w:val="center"/>
      </w:pPr>
      <w:r>
        <w:rPr>
          <w:rFonts w:ascii="Times New Roman" w:hAnsi="Times New Roman"/>
          <w:b w:val="false"/>
          <w:i w:val="false"/>
          <w:color w:val="000000"/>
          <w:sz w:val="21"/>
        </w:rPr>
        <w:t>[Filed 7/12/07, Notice 5/23/07—published 8/1/07, effective 10/1/07]</w:t>
      </w:r>
    </w:p>
    <w:p>
      <w:pPr>
        <w:spacing w:before="0" w:after="0"/>
        <w:ind w:left="120"/>
        <w:jc w:val="center"/>
      </w:pPr>
      <w:r>
        <w:rPr>
          <w:rFonts w:ascii="Times New Roman" w:hAnsi="Times New Roman"/>
          <w:b w:val="false"/>
          <w:i w:val="false"/>
          <w:color w:val="000000"/>
          <w:sz w:val="21"/>
        </w:rPr>
        <w:t>[Filed emergency 9/12/07—published 10/10/07, effective 10/1/07]</w:t>
      </w:r>
    </w:p>
    <w:p>
      <w:pPr>
        <w:spacing w:before="0" w:after="0"/>
        <w:ind w:left="120"/>
        <w:jc w:val="center"/>
      </w:pPr>
      <w:r>
        <w:rPr>
          <w:rFonts w:ascii="Times New Roman" w:hAnsi="Times New Roman"/>
          <w:b w:val="false"/>
          <w:i w:val="false"/>
          <w:color w:val="000000"/>
          <w:sz w:val="21"/>
        </w:rPr>
        <w:t>[Filed 1/9/08, Notice 11/7/07—published 1/30/08, effective 3/5/08]</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8/15/08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9/10/08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11/12/08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9/10/08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1/7/09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7928B</w:t>
      </w:r>
      <w:r>
        <w:rPr>
          <w:rFonts w:ascii="Times New Roman" w:hAnsi="Times New Roman"/>
          <w:b w:val="false"/>
          <w:i w:val="false"/>
          <w:color w:val="000000"/>
          <w:sz w:val="21"/>
        </w:rPr>
        <w:t xml:space="preserve"> (Notice ARC 7724B, IAB 4/22/09)</w:t>
      </w:r>
      <w:r>
        <w:rPr>
          <w:rFonts w:ascii="Times New Roman" w:hAnsi="Times New Roman"/>
          <w:b w:val="false"/>
          <w:i w:val="false"/>
          <w:color w:val="000000"/>
          <w:sz w:val="21"/>
        </w:rPr>
        <w:t>, IAB 7/1/09, effective 9/1/09]</w:t>
      </w:r>
    </w:p>
    <w:p>
      <w:pPr>
        <w:spacing w:before="0" w:after="0"/>
        <w:ind w:left="120"/>
        <w:jc w:val="center"/>
      </w:pPr>
      <w:r>
        <w:rPr>
          <w:rFonts w:ascii="Times New Roman" w:hAnsi="Times New Roman"/>
          <w:b w:val="false"/>
          <w:i w:val="false"/>
          <w:color w:val="000000"/>
          <w:sz w:val="21"/>
        </w:rPr>
        <w:t>[Filed Emergency After Notice ARC 8500B</w:t>
      </w:r>
      <w:r>
        <w:rPr>
          <w:rFonts w:ascii="Times New Roman" w:hAnsi="Times New Roman"/>
          <w:b w:val="false"/>
          <w:i w:val="false"/>
          <w:color w:val="000000"/>
          <w:sz w:val="21"/>
        </w:rPr>
        <w:t xml:space="preserve"> (Notice ARC 8272B, IAB 11/4/09)</w:t>
      </w:r>
      <w:r>
        <w:rPr>
          <w:rFonts w:ascii="Times New Roman" w:hAnsi="Times New Roman"/>
          <w:b w:val="false"/>
          <w:i w:val="false"/>
          <w:color w:val="000000"/>
          <w:sz w:val="21"/>
        </w:rPr>
        <w:t>, IAB 2/10/10, effective 3/1/10]</w:t>
      </w:r>
    </w:p>
    <w:p>
      <w:pPr>
        <w:spacing w:before="0" w:after="0"/>
        <w:ind w:left="120"/>
        <w:jc w:val="center"/>
      </w:pPr>
      <w:r>
        <w:rPr>
          <w:rFonts w:ascii="Times New Roman" w:hAnsi="Times New Roman"/>
          <w:b w:val="false"/>
          <w:i w:val="false"/>
          <w:color w:val="000000"/>
          <w:sz w:val="21"/>
        </w:rPr>
        <w:t>[Filed Emergency After Notice ARC 8556B</w:t>
      </w:r>
      <w:r>
        <w:rPr>
          <w:rFonts w:ascii="Times New Roman" w:hAnsi="Times New Roman"/>
          <w:b w:val="false"/>
          <w:i w:val="false"/>
          <w:color w:val="000000"/>
          <w:sz w:val="21"/>
        </w:rPr>
        <w:t xml:space="preserve"> (Notice ARC 8407B, IAB 12/16/09)</w:t>
      </w:r>
      <w:r>
        <w:rPr>
          <w:rFonts w:ascii="Times New Roman" w:hAnsi="Times New Roman"/>
          <w:b w:val="false"/>
          <w:i w:val="false"/>
          <w:color w:val="000000"/>
          <w:sz w:val="21"/>
        </w:rPr>
        <w:t>, IAB 3/10/10, effective 2/10/10]</w:t>
      </w:r>
    </w:p>
    <w:p>
      <w:pPr>
        <w:spacing w:before="0" w:after="0"/>
        <w:ind w:left="120"/>
        <w:jc w:val="center"/>
      </w:pPr>
      <w:r>
        <w:rPr>
          <w:rFonts w:ascii="Times New Roman" w:hAnsi="Times New Roman"/>
          <w:b w:val="false"/>
          <w:i w:val="false"/>
          <w:color w:val="000000"/>
          <w:sz w:val="21"/>
        </w:rPr>
        <w:t>[Filed Emergency After Notice ARC 8712B</w:t>
      </w:r>
      <w:r>
        <w:rPr>
          <w:rFonts w:ascii="Times New Roman" w:hAnsi="Times New Roman"/>
          <w:b w:val="false"/>
          <w:i w:val="false"/>
          <w:color w:val="000000"/>
          <w:sz w:val="21"/>
        </w:rPr>
        <w:t xml:space="preserve"> (Notice ARC 8535B, IAB 2/24/10)</w:t>
      </w:r>
      <w:r>
        <w:rPr>
          <w:rFonts w:ascii="Times New Roman" w:hAnsi="Times New Roman"/>
          <w:b w:val="false"/>
          <w:i w:val="false"/>
          <w:color w:val="000000"/>
          <w:sz w:val="21"/>
        </w:rPr>
        <w:t>, IAB 5/5/10, effective 4/15/10]</w:t>
      </w:r>
    </w:p>
    <w:p>
      <w:pPr>
        <w:spacing w:before="0" w:after="0"/>
        <w:ind w:left="120"/>
        <w:jc w:val="center"/>
      </w:pPr>
      <w:r>
        <w:rPr>
          <w:rFonts w:ascii="Times New Roman" w:hAnsi="Times New Roman"/>
          <w:b w:val="false"/>
          <w:i w:val="false"/>
          <w:color w:val="000000"/>
          <w:sz w:val="21"/>
        </w:rPr>
        <w:t>[Filed ARC 8992B</w:t>
      </w:r>
      <w:r>
        <w:rPr>
          <w:rFonts w:ascii="Times New Roman" w:hAnsi="Times New Roman"/>
          <w:b w:val="false"/>
          <w:i w:val="false"/>
          <w:color w:val="000000"/>
          <w:sz w:val="21"/>
        </w:rPr>
        <w:t xml:space="preserve"> (Notice ARC 8758B, IAB 5/19/10)</w:t>
      </w:r>
      <w:r>
        <w:rPr>
          <w:rFonts w:ascii="Times New Roman" w:hAnsi="Times New Roman"/>
          <w:b w:val="false"/>
          <w:i w:val="false"/>
          <w:color w:val="000000"/>
          <w:sz w:val="21"/>
        </w:rPr>
        <w:t>, IAB 8/11/10, effective 10/1/10]</w:t>
      </w:r>
    </w:p>
    <w:p>
      <w:pPr>
        <w:spacing w:before="0" w:after="0"/>
        <w:ind w:left="120"/>
        <w:jc w:val="center"/>
      </w:pPr>
      <w:r>
        <w:rPr>
          <w:rFonts w:ascii="Times New Roman" w:hAnsi="Times New Roman"/>
          <w:b w:val="false"/>
          <w:i w:val="false"/>
          <w:color w:val="000000"/>
          <w:sz w:val="21"/>
        </w:rPr>
        <w:t>[Filed ARC 9173B</w:t>
      </w:r>
      <w:r>
        <w:rPr>
          <w:rFonts w:ascii="Times New Roman" w:hAnsi="Times New Roman"/>
          <w:b w:val="false"/>
          <w:i w:val="false"/>
          <w:color w:val="000000"/>
          <w:sz w:val="21"/>
        </w:rPr>
        <w:t xml:space="preserve"> (Notice ARC 9020B, IAB 8/25/10)</w:t>
      </w:r>
      <w:r>
        <w:rPr>
          <w:rFonts w:ascii="Times New Roman" w:hAnsi="Times New Roman"/>
          <w:b w:val="false"/>
          <w:i w:val="false"/>
          <w:color w:val="000000"/>
          <w:sz w:val="21"/>
        </w:rPr>
        <w:t>, IAB 11/3/10, effective 1/1/11]</w:t>
      </w:r>
    </w:p>
    <w:p>
      <w:pPr>
        <w:spacing w:before="0" w:after="0"/>
        <w:ind w:left="120"/>
        <w:jc w:val="center"/>
      </w:pPr>
      <w:r>
        <w:rPr>
          <w:rFonts w:ascii="Times New Roman" w:hAnsi="Times New Roman"/>
          <w:b w:val="false"/>
          <w:i w:val="false"/>
          <w:color w:val="000000"/>
          <w:sz w:val="21"/>
        </w:rPr>
        <w:t>[Filed ARC 0148C</w:t>
      </w:r>
      <w:r>
        <w:rPr>
          <w:rFonts w:ascii="Times New Roman" w:hAnsi="Times New Roman"/>
          <w:b w:val="false"/>
          <w:i w:val="false"/>
          <w:color w:val="000000"/>
          <w:sz w:val="21"/>
        </w:rPr>
        <w:t xml:space="preserve"> (Notice ARC 0048C, IAB 3/21/12)</w:t>
      </w:r>
      <w:r>
        <w:rPr>
          <w:rFonts w:ascii="Times New Roman" w:hAnsi="Times New Roman"/>
          <w:b w:val="false"/>
          <w:i w:val="false"/>
          <w:color w:val="000000"/>
          <w:sz w:val="21"/>
        </w:rPr>
        <w:t>, IAB 6/13/12, effective 8/1/12]</w:t>
      </w:r>
    </w:p>
    <w:p>
      <w:pPr>
        <w:spacing w:before="0" w:after="0"/>
        <w:ind w:left="120"/>
        <w:jc w:val="center"/>
      </w:pPr>
      <w:r>
        <w:rPr>
          <w:rFonts w:ascii="Times New Roman" w:hAnsi="Times New Roman"/>
          <w:b w:val="false"/>
          <w:i w:val="false"/>
          <w:color w:val="000000"/>
          <w:sz w:val="21"/>
        </w:rPr>
        <w:t>[Filed ARC 1148C</w:t>
      </w:r>
      <w:r>
        <w:rPr>
          <w:rFonts w:ascii="Times New Roman" w:hAnsi="Times New Roman"/>
          <w:b w:val="false"/>
          <w:i w:val="false"/>
          <w:color w:val="000000"/>
          <w:sz w:val="21"/>
        </w:rPr>
        <w:t xml:space="preserve"> (Notice ARC 0916C, IAB 8/7/13)</w:t>
      </w:r>
      <w:r>
        <w:rPr>
          <w:rFonts w:ascii="Times New Roman" w:hAnsi="Times New Roman"/>
          <w:b w:val="false"/>
          <w:i w:val="false"/>
          <w:color w:val="000000"/>
          <w:sz w:val="21"/>
        </w:rPr>
        <w:t>, IAB 10/30/13, effective 1/1/14]</w:t>
      </w:r>
    </w:p>
    <w:p>
      <w:pPr>
        <w:spacing w:before="0" w:after="0"/>
        <w:ind w:left="120"/>
        <w:jc w:val="center"/>
      </w:pPr>
      <w:r>
        <w:rPr>
          <w:rFonts w:ascii="Times New Roman" w:hAnsi="Times New Roman"/>
          <w:b w:val="false"/>
          <w:i w:val="false"/>
          <w:color w:val="000000"/>
          <w:sz w:val="21"/>
        </w:rPr>
        <w:t>[Filed ARC 4573C</w:t>
      </w:r>
      <w:r>
        <w:rPr>
          <w:rFonts w:ascii="Times New Roman" w:hAnsi="Times New Roman"/>
          <w:b w:val="false"/>
          <w:i w:val="false"/>
          <w:color w:val="000000"/>
          <w:sz w:val="21"/>
        </w:rPr>
        <w:t xml:space="preserve"> (Notice ARC 4439C, IAB 5/22/19)</w:t>
      </w:r>
      <w:r>
        <w:rPr>
          <w:rFonts w:ascii="Times New Roman" w:hAnsi="Times New Roman"/>
          <w:b w:val="false"/>
          <w:i w:val="false"/>
          <w:color w:val="000000"/>
          <w:sz w:val="21"/>
        </w:rPr>
        <w:t>, IAB 7/31/19, effective 9/4/19]</w:t>
      </w:r>
    </w:p>
    <w:p>
      <w:pPr>
        <w:spacing w:before="0" w:after="0"/>
        <w:ind w:left="120"/>
        <w:jc w:val="center"/>
      </w:pPr>
      <w:r>
        <w:rPr>
          <w:rFonts w:ascii="Times New Roman" w:hAnsi="Times New Roman"/>
          <w:b w:val="false"/>
          <w:i w:val="false"/>
          <w:color w:val="000000"/>
          <w:sz w:val="21"/>
        </w:rPr>
        <w:t>[Filed ARC 6558C</w:t>
      </w:r>
      <w:r>
        <w:rPr>
          <w:rFonts w:ascii="Times New Roman" w:hAnsi="Times New Roman"/>
          <w:b w:val="false"/>
          <w:i w:val="false"/>
          <w:color w:val="000000"/>
          <w:sz w:val="21"/>
        </w:rPr>
        <w:t xml:space="preserve"> (Notice ARC 6394C, IAB 6/29/22)</w:t>
      </w:r>
      <w:r>
        <w:rPr>
          <w:rFonts w:ascii="Times New Roman" w:hAnsi="Times New Roman"/>
          <w:b w:val="false"/>
          <w:i w:val="false"/>
          <w:color w:val="000000"/>
          <w:sz w:val="21"/>
        </w:rPr>
        <w:t>, IAB 10/5/22, effective 12/1/22]</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 xml:space="preserve">Amendments to subrules </w:t>
      </w:r>
      <w:hyperlink r:id="rId27">
        <w:r>
          <w:rPr>
            <w:rStyle w:val="Hyperlink"/>
            <w:rFonts w:ascii="Times New Roman" w:hAnsi="Times New Roman"/>
            <w:b w:val="false"/>
            <w:i w:val="false"/>
            <w:color w:val="000000"/>
            <w:sz w:val="22"/>
          </w:rPr>
          <w:t>65.30(5)</w:t>
        </w:r>
      </w:hyperlink>
      <w:r>
        <w:rPr>
          <w:rFonts w:ascii="Times New Roman" w:hAnsi="Times New Roman"/>
          <w:b w:val="false"/>
          <w:i w:val="false"/>
          <w:color w:val="000000"/>
          <w:sz w:val="22"/>
        </w:rPr>
        <w:t xml:space="preserve"> and </w:t>
      </w:r>
      <w:hyperlink r:id="rId28">
        <w:r>
          <w:rPr>
            <w:rStyle w:val="Hyperlink"/>
            <w:rFonts w:ascii="Times New Roman" w:hAnsi="Times New Roman"/>
            <w:b w:val="false"/>
            <w:i w:val="false"/>
            <w:color w:val="000000"/>
            <w:sz w:val="22"/>
          </w:rPr>
          <w:t>65.130(7)</w:t>
        </w:r>
      </w:hyperlink>
      <w:r>
        <w:rPr>
          <w:rFonts w:ascii="Times New Roman" w:hAnsi="Times New Roman"/>
          <w:b w:val="false"/>
          <w:i w:val="false"/>
          <w:color w:val="000000"/>
          <w:sz w:val="22"/>
        </w:rPr>
        <w:t xml:space="preserve"> and rules </w:t>
      </w:r>
      <w:hyperlink r:id="rId29">
        <w:r>
          <w:rPr>
            <w:rStyle w:val="Hyperlink"/>
            <w:rFonts w:ascii="Times New Roman" w:hAnsi="Times New Roman"/>
            <w:b w:val="false"/>
            <w:i w:val="false"/>
            <w:color w:val="000000"/>
            <w:sz w:val="22"/>
          </w:rPr>
          <w:t>65.32</w:t>
        </w:r>
      </w:hyperlink>
      <w:r>
        <w:rPr>
          <w:rFonts w:ascii="Times New Roman" w:hAnsi="Times New Roman"/>
          <w:b w:val="false"/>
          <w:i w:val="false"/>
          <w:color w:val="000000"/>
          <w:sz w:val="22"/>
        </w:rPr>
        <w:t xml:space="preserve">(234) and </w:t>
      </w:r>
      <w:hyperlink r:id="rId30">
        <w:r>
          <w:rPr>
            <w:rStyle w:val="Hyperlink"/>
            <w:rFonts w:ascii="Times New Roman" w:hAnsi="Times New Roman"/>
            <w:b w:val="false"/>
            <w:i w:val="false"/>
            <w:color w:val="000000"/>
            <w:sz w:val="22"/>
          </w:rPr>
          <w:t>65.132(234)</w:t>
        </w:r>
      </w:hyperlink>
      <w:r>
        <w:rPr>
          <w:rFonts w:ascii="Times New Roman" w:hAnsi="Times New Roman"/>
          <w:b w:val="false"/>
          <w:i w:val="false"/>
          <w:color w:val="000000"/>
          <w:sz w:val="22"/>
        </w:rPr>
        <w:t xml:space="preserve"> effective 10/1/96.</w:t>
      </w:r>
    </w:p>
    <w:p>
      <w:pPr>
        <w:pBdr>
          <w:bottom w:space="2"/>
        </w:pBdr>
        <w:spacing w:before="0" w:after="0"/>
        <w:ind w:left="120"/>
        <w:jc w:val="both"/>
      </w:pPr>
      <w:r>
        <w:rPr>
          <w:rFonts w:ascii="Times New Roman" w:hAnsi="Times New Roman"/>
          <w:b w:val="false"/>
          <w:i w:val="false"/>
          <w:color w:val="000000"/>
          <w:sz w:val="22"/>
        </w:rPr>
        <w:t xml:space="preserve"> Subrules </w:t>
      </w:r>
      <w:hyperlink r:id="rId31">
        <w:r>
          <w:rPr>
            <w:rStyle w:val="Hyperlink"/>
            <w:rFonts w:ascii="Times New Roman" w:hAnsi="Times New Roman"/>
            <w:b w:val="false"/>
            <w:i w:val="false"/>
            <w:color w:val="000000"/>
            <w:sz w:val="22"/>
          </w:rPr>
          <w:t>65.8(11)</w:t>
        </w:r>
      </w:hyperlink>
      <w:r>
        <w:rPr>
          <w:rFonts w:ascii="Times New Roman" w:hAnsi="Times New Roman"/>
          <w:b w:val="false"/>
          <w:i w:val="false"/>
          <w:color w:val="000000"/>
          <w:sz w:val="22"/>
        </w:rPr>
        <w:t xml:space="preserve"> and </w:t>
      </w:r>
      <w:hyperlink r:id="rId32">
        <w:r>
          <w:rPr>
            <w:rStyle w:val="Hyperlink"/>
            <w:rFonts w:ascii="Times New Roman" w:hAnsi="Times New Roman"/>
            <w:b w:val="false"/>
            <w:i w:val="false"/>
            <w:color w:val="000000"/>
            <w:sz w:val="22"/>
          </w:rPr>
          <w:t>65.108(11)</w:t>
        </w:r>
      </w:hyperlink>
      <w:r>
        <w:rPr>
          <w:rFonts w:ascii="Times New Roman" w:hAnsi="Times New Roman"/>
          <w:b w:val="false"/>
          <w:i w:val="false"/>
          <w:color w:val="000000"/>
          <w:sz w:val="22"/>
        </w:rPr>
        <w:t xml:space="preserve"> effective 1/1/97.</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41.65.8.pdf" Type="http://schemas.openxmlformats.org/officeDocument/2006/relationships/hyperlink" Id="rId5"/>
    <Relationship TargetMode="External" Target="https://www.legis.iowa.gov/docs/iac/rule/441.65.8.pdf" Type="http://schemas.openxmlformats.org/officeDocument/2006/relationships/hyperlink" Id="rId6"/>
    <Relationship TargetMode="External" Target="https://www.legis.iowa.gov/docs/ico/chapter/234.12.pdf" Type="http://schemas.openxmlformats.org/officeDocument/2006/relationships/hyperlink" Id="rId7"/>
    <Relationship TargetMode="External" Target="https://www.legis.iowa.gov/docs/iac/chapter/441.7.pdf" Type="http://schemas.openxmlformats.org/officeDocument/2006/relationships/hyperlink" Id="rId8"/>
    <Relationship TargetMode="External" Target="https://www.legis.iowa.gov/docs/ico/chapter/234.12.pdf" Type="http://schemas.openxmlformats.org/officeDocument/2006/relationships/hyperlink" Id="rId9"/>
    <Relationship TargetMode="External" Target="https://www.legis.iowa.gov/docs/iac/chapter/481.72.pdf" Type="http://schemas.openxmlformats.org/officeDocument/2006/relationships/hyperlink" Id="rId10"/>
    <Relationship TargetMode="External" Target="https://www.legis.iowa.gov/docs/iac/rule/441.65.28.pdf" Type="http://schemas.openxmlformats.org/officeDocument/2006/relationships/hyperlink" Id="rId11"/>
    <Relationship TargetMode="External" Target="https://www.legis.iowa.gov/docs/iac/rule/441.65.28.pdf" Type="http://schemas.openxmlformats.org/officeDocument/2006/relationships/hyperlink" Id="rId12"/>
    <Relationship TargetMode="External" Target="https://www.legis.iowa.gov/docs/iac/rule/441.65.28.pdf" Type="http://schemas.openxmlformats.org/officeDocument/2006/relationships/hyperlink" Id="rId13"/>
    <Relationship TargetMode="External" Target="https://www.legis.iowa.gov/docs/iac/rule/441.65.28.pdf" Type="http://schemas.openxmlformats.org/officeDocument/2006/relationships/hyperlink" Id="rId14"/>
    <Relationship TargetMode="External" Target="https://www.legis.iowa.gov/docs/iac/rule/441.65.28.pdf" Type="http://schemas.openxmlformats.org/officeDocument/2006/relationships/hyperlink" Id="rId15"/>
    <Relationship TargetMode="External" Target="https://www.legis.iowa.gov/docs/iac/rule/441.65.28.pdf" Type="http://schemas.openxmlformats.org/officeDocument/2006/relationships/hyperlink" Id="rId16"/>
    <Relationship TargetMode="External" Target="https://www.legis.iowa.gov/docs/iac/rule/441.65.27.pdf" Type="http://schemas.openxmlformats.org/officeDocument/2006/relationships/hyperlink" Id="rId17"/>
    <Relationship TargetMode="External" Target="https://www.legis.iowa.gov/docs/iac/rule/441.65.28.pdf" Type="http://schemas.openxmlformats.org/officeDocument/2006/relationships/hyperlink" Id="rId18"/>
    <Relationship TargetMode="External" Target="https://www.legis.iowa.gov/docs/iac/rule/441.65.27.pdf" Type="http://schemas.openxmlformats.org/officeDocument/2006/relationships/hyperlink" Id="rId19"/>
    <Relationship TargetMode="External" Target="https://www.legis.iowa.gov/docs/iac/rule/441.65.28.pdf" Type="http://schemas.openxmlformats.org/officeDocument/2006/relationships/hyperlink" Id="rId20"/>
    <Relationship TargetMode="External" Target="https://www.legis.iowa.gov/docs/iac/chapter/441.65.pdf" Type="http://schemas.openxmlformats.org/officeDocument/2006/relationships/hyperlink" Id="rId21"/>
    <Relationship TargetMode="External" Target="https://www.legis.iowa.gov/docs/iac/rule/441.65.29.pdf" Type="http://schemas.openxmlformats.org/officeDocument/2006/relationships/hyperlink" Id="rId22"/>
    <Relationship TargetMode="External" Target="https://www.legis.iowa.gov/docs/iac/rule/441.47.2.pdf" Type="http://schemas.openxmlformats.org/officeDocument/2006/relationships/hyperlink" Id="rId23"/>
    <Relationship TargetMode="External" Target="https://www.legis.iowa.gov/docs/ico/chapter/234.12.pdf" Type="http://schemas.openxmlformats.org/officeDocument/2006/relationships/hyperlink" Id="rId24"/>
    <Relationship TargetMode="External" Target="https://www.legis.iowa.gov/docs/iac/rule/441.65.1.pdf" Type="http://schemas.openxmlformats.org/officeDocument/2006/relationships/hyperlink" Id="rId25"/>
    <Relationship TargetMode="External" Target="https://www.legis.iowa.gov/docs/iac/rule/441.65.41.pdf" Type="http://schemas.openxmlformats.org/officeDocument/2006/relationships/hyperlink" Id="rId26"/>
    <Relationship TargetMode="External" Target="https://www.legis.iowa.gov/docs/iac/rule/441.65.30.pdf" Type="http://schemas.openxmlformats.org/officeDocument/2006/relationships/hyperlink" Id="rId27"/>
    <Relationship TargetMode="External" Target="https://www.legis.iowa.gov/docs/iac/rule/441.65.130.pdf" Type="http://schemas.openxmlformats.org/officeDocument/2006/relationships/hyperlink" Id="rId28"/>
    <Relationship TargetMode="External" Target="https://www.legis.iowa.gov/docs/iac/rule/441.65.32.pdf" Type="http://schemas.openxmlformats.org/officeDocument/2006/relationships/hyperlink" Id="rId29"/>
    <Relationship TargetMode="External" Target="https://www.legis.iowa.gov/docs/iac/rule/441.65.132.pdf" Type="http://schemas.openxmlformats.org/officeDocument/2006/relationships/hyperlink" Id="rId30"/>
    <Relationship TargetMode="External" Target="https://www.legis.iowa.gov/docs/iac/rule/441.65.8.pdf" Type="http://schemas.openxmlformats.org/officeDocument/2006/relationships/hyperlink" Id="rId31"/>
    <Relationship TargetMode="External" Target="https://www.legis.iowa.gov/docs/iac/rule/441.65.108.pdf" Type="http://schemas.openxmlformats.org/officeDocument/2006/relationships/hyperlink" Id="rId3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