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 xml:space="preserve"> WAIVERS OF HEALTH AND HUMAN SERVICES</w:t>
      </w:r>
      <w:r>
        <w:br/>
      </w:r>
      <w:r>
        <w:rPr>
          <w:rFonts w:ascii="Times New Roman" w:hAnsi="Times New Roman"/>
          <w:b w:val="false"/>
          <w:i w:val="false"/>
          <w:color w:val="000000"/>
          <w:sz w:val="21"/>
        </w:rPr>
        <w:t>ADMINISTRATIVE RULES</w:t>
      </w:r>
    </w:p>
    <w:p>
      <w:pPr>
        <w:spacing w:before="0" w:after="0"/>
        <w:ind w:left="120"/>
        <w:jc w:val="center"/>
      </w:pPr>
      <w:r>
        <w:rPr>
          <w:rFonts w:ascii="Times New Roman" w:hAnsi="Times New Roman"/>
          <w:b w:val="false"/>
          <w:i w:val="false"/>
          <w:color w:val="000000"/>
          <w:sz w:val="14"/>
        </w:rPr>
        <w:t>[Prior to 6/28/23, see Public Health Department[641] Ch 178]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441—6.1</w:t>
      </w:r>
      <w:r>
        <w:rPr>
          <w:rFonts w:ascii="Times New Roman" w:hAnsi="Times New Roman"/>
          <w:b/>
          <w:i w:val="false"/>
          <w:color w:val="000000"/>
          <w:sz w:val="22"/>
        </w:rPr>
        <w:t xml:space="preserve">(17A,135)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For purposes of this chapter, “a waiver ” means action by the department that suspends, in whole or in part, the requirements or provisions of a rule as applied to an identified person on the basis of the particular circumstances of that person.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This rule outlines generally applicable standards and a uniform process for the granting of an individual waiver from a rule adopted by the department in situations where no other more specifically applicable law provides for a waiver. To the extent another more specific provision of law governs the issuance of a waiver from a particular rule, the more specific provision shall supersede this rule with respect to any waiver from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The department may only grant a waiver from a rule if the department has jurisdiction over the rule and the requested waiver is consistent with applicable statutes, constitutional provisions, or other provisions of law. The department may not waive requirements created or duties imposed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w:t>
      </w:r>
      <w:r>
        <w:rPr>
          <w:rFonts w:ascii="Times New Roman" w:hAnsi="Times New Roman"/>
          <w:b w:val="false"/>
          <w:i w:val="false"/>
          <w:color w:val="000000"/>
          <w:sz w:val="22"/>
        </w:rPr>
        <w:t> </w:t>
      </w:r>
      <w:r>
        <w:rPr>
          <w:rFonts w:ascii="Times New Roman" w:hAnsi="Times New Roman"/>
          <w:b w:val="false"/>
          <w:i/>
          <w:color w:val="000000"/>
          <w:sz w:val="22"/>
        </w:rPr>
        <w:t xml:space="preserve">Criteria for waiver. </w:t>
      </w:r>
      <w:r>
        <w:rPr>
          <w:rFonts w:ascii="Times New Roman" w:hAnsi="Times New Roman"/>
          <w:b w:val="false"/>
          <w:i w:val="false"/>
          <w:color w:val="000000"/>
          <w:sz w:val="22"/>
        </w:rPr>
        <w:t xml:space="preserve">In response to a petition completed pursuant to </w:t>
      </w:r>
      <w:hyperlink r:id="rId5">
        <w:r>
          <w:rPr>
            <w:rStyle w:val="Hyperlink"/>
            <w:rFonts w:ascii="Times New Roman" w:hAnsi="Times New Roman"/>
            <w:b w:val="false"/>
            <w:i w:val="false"/>
            <w:color w:val="000000"/>
            <w:sz w:val="22"/>
          </w:rPr>
          <w:t>subrule </w:t>
        </w:r>
      </w:hyperlink>
      <w:hyperlink r:id="rId6">
        <w:r>
          <w:rPr>
            <w:rStyle w:val="Hyperlink"/>
            <w:rFonts w:ascii="Times New Roman" w:hAnsi="Times New Roman"/>
            <w:b w:val="false"/>
            <w:i w:val="false"/>
            <w:color w:val="000000"/>
            <w:sz w:val="22"/>
          </w:rPr>
          <w:t>6.1(6)</w:t>
        </w:r>
      </w:hyperlink>
      <w:r>
        <w:rPr>
          <w:rFonts w:ascii="Times New Roman" w:hAnsi="Times New Roman"/>
          <w:b w:val="false"/>
          <w:i w:val="false"/>
          <w:color w:val="000000"/>
          <w:sz w:val="22"/>
        </w:rPr>
        <w:t>, the department may in its sole discretion issue an order waiving in whole or in part the requirements of a rule if the department finds, based on clear and convincing evidence,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would impose an undue hardship on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provisions of the rule subject to the petition for a waiver are not specifically mandated by statute or another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w:t>
      </w:r>
      <w:r>
        <w:rPr>
          <w:rFonts w:ascii="Times New Roman" w:hAnsi="Times New Roman"/>
          <w:b w:val="false"/>
          <w:i w:val="false"/>
          <w:color w:val="000000"/>
          <w:sz w:val="22"/>
        </w:rPr>
        <w:t> </w:t>
      </w:r>
      <w:r>
        <w:rPr>
          <w:rFonts w:ascii="Times New Roman" w:hAnsi="Times New Roman"/>
          <w:b w:val="false"/>
          <w:i/>
          <w:color w:val="000000"/>
          <w:sz w:val="22"/>
        </w:rPr>
        <w:t xml:space="preserve">Filing of petition. </w:t>
      </w:r>
      <w:r>
        <w:rPr>
          <w:rFonts w:ascii="Times New Roman" w:hAnsi="Times New Roman"/>
          <w:b w:val="false"/>
          <w:i w:val="false"/>
          <w:color w:val="000000"/>
          <w:sz w:val="22"/>
        </w:rPr>
        <w:t>A petition for a waiver must be submitted in writing to the department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license, registration, certification, or permit. If the petition relates to an application for license, registration, certification, or permit, the petition shall be made in accordance with the filing requirements for the application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Contested cases. If the petition relates to a pending contested case, the petition shall be filed in the contested case proceeding, using the caption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If the petition does not relate to an application or a pending contested case, the petition may be submitted to the department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is deemed filed when it is received at the department’s office. A petition should be sent to the Department of Health and Human Services, Lucas State Office Building, 321 E. 12th Street, Des Moines, Iowa 50319. The petition must be typewritten or legibly handwritten in ink and substantially conform to the form specified in rule </w:t>
      </w:r>
      <w:hyperlink r:id="rId7">
        <w:r>
          <w:rPr>
            <w:rStyle w:val="Hyperlink"/>
            <w:rFonts w:ascii="Times New Roman" w:hAnsi="Times New Roman"/>
            <w:b w:val="false"/>
            <w:i w:val="false"/>
            <w:color w:val="000000"/>
            <w:sz w:val="22"/>
          </w:rPr>
          <w:t>441—6.2(17A,217)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w:t>
      </w:r>
      <w:r>
        <w:rPr>
          <w:rFonts w:ascii="Times New Roman" w:hAnsi="Times New Roman"/>
          <w:b w:val="false"/>
          <w:i w:val="false"/>
          <w:color w:val="000000"/>
          <w:sz w:val="22"/>
        </w:rPr>
        <w:t> </w:t>
      </w:r>
      <w:r>
        <w:rPr>
          <w:rFonts w:ascii="Times New Roman" w:hAnsi="Times New Roman"/>
          <w:b w:val="false"/>
          <w:i/>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for whom a waiver is being requested and a reference to any related contested case. The petition shall also include the name, address, and telephone number of the petitioner’s legal representative, if applicable,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facts that the petitioner believes would justify a waiver under each of the four criteria described in subrule </w:t>
      </w:r>
      <w:hyperlink r:id="rId8">
        <w:r>
          <w:rPr>
            <w:rStyle w:val="Hyperlink"/>
            <w:rFonts w:ascii="Times New Roman" w:hAnsi="Times New Roman"/>
            <w:b w:val="false"/>
            <w:i w:val="false"/>
            <w:color w:val="000000"/>
            <w:sz w:val="22"/>
          </w:rPr>
          <w:t>6.1(4)</w:t>
        </w:r>
      </w:hyperlink>
      <w:r>
        <w:rPr>
          <w:rFonts w:ascii="Times New Roman" w:hAnsi="Times New Roman"/>
          <w:b w:val="false"/>
          <w:i w:val="false"/>
          <w:color w:val="000000"/>
          <w:sz w:val="22"/>
        </w:rPr>
        <w:t>.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department and the petitioner relating to the regulated activity, license, registration, certification, or permit affected by the proposed waiver, including a description of each affected license, registration, certification, or permit held by the requester, any formal charges filed, any notices of violation, contested case hearings, or investigations relating to the regulated activity, license, registration, certification or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requester regarding the department’s action in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that also regulates the activity in question or that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who would be adversely affected by the granting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request to furnish the department with information relevant to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Prior to issuing an order granting or denying a waiver, the department may request additional information from the petitioner relative to the petition and surrounding circumstances. If the petition was not filed in a contested case, the department may, on its own motion or at the petitioner’s request, schedule a telephonic or in-person meeting between the petitioner and the department director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The department shall acknowledge a petition upon receipt. Except where otherwise provided by law, every petition shall be served by the petitioner upon each of the parties of record of the proceeding and on all other persons identified in the petition for waiver as affected by the petition, simultaneously with the filing. The petitioner shall serve the notice on all persons to whom notice is required by any provision of law and provide a written statement to the department attesting that notice has been provided. In addition, the department may give notice to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w:t>
      </w:r>
      <w:r>
        <w:rPr>
          <w:rFonts w:ascii="Times New Roman" w:hAnsi="Times New Roman"/>
          <w:b w:val="false"/>
          <w:i w:val="false"/>
          <w:color w:val="000000"/>
          <w:sz w:val="22"/>
        </w:rPr>
        <w:t> </w:t>
      </w:r>
      <w:r>
        <w:rPr>
          <w:rFonts w:ascii="Times New Roman" w:hAnsi="Times New Roman"/>
          <w:b w:val="false"/>
          <w:i/>
          <w:color w:val="000000"/>
          <w:sz w:val="22"/>
        </w:rPr>
        <w:t xml:space="preserve">Hearing procedures. </w:t>
      </w:r>
      <w:r>
        <w:rPr>
          <w:rFonts w:ascii="Times New Roman" w:hAnsi="Times New Roman"/>
          <w:b w:val="false"/>
          <w:i w:val="false"/>
          <w:color w:val="000000"/>
          <w:sz w:val="22"/>
        </w:rPr>
        <w:t xml:space="preserve">The provisions of Iowa Code sections </w:t>
      </w:r>
      <w:hyperlink r:id="rId9">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to any petition for a waiver filed within a contested case. A person who objects to a denial of a waiver in proceedings other than a contested case hearing may make an informal appearance before the department director, or the director’s designee, to request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w:t>
      </w:r>
      <w:r>
        <w:rPr>
          <w:rFonts w:ascii="Times New Roman" w:hAnsi="Times New Roman"/>
          <w:b w:val="false"/>
          <w:i w:val="false"/>
          <w:color w:val="000000"/>
          <w:sz w:val="22"/>
        </w:rPr>
        <w:t> </w:t>
      </w:r>
      <w:r>
        <w:rPr>
          <w:rFonts w:ascii="Times New Roman" w:hAnsi="Times New Roman"/>
          <w:b w:val="false"/>
          <w:i/>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Department discretion. </w:t>
      </w:r>
      <w:r>
        <w:rPr>
          <w:rFonts w:ascii="Times New Roman" w:hAnsi="Times New Roman"/>
          <w:b w:val="false"/>
          <w:i w:val="false"/>
          <w:color w:val="000000"/>
          <w:sz w:val="22"/>
        </w:rPr>
        <w:t>The final decision on whether the circumstances justify the granting of a waiver shall be made at the sole discretion of the department upon consideration of all relevant factors. Each petition for a waiver shall be evaluated by the department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department should exercise its discretion to grant a waiver from a department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department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department may place any condition on a waiver that the department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department, a waiver may be renewed if the department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department shall grant or deny a petition for a waiver as soon as practicable but, in any event, shall do so within 120 days of its receipt unless the petitioner agrees to a later date. However, if a petition is filed in a contested case, the department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department to grant or deny a petition within the required time period shall be deemed a denial of that petition by the department. However, the department shall remain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rule shall be transmitted to the petitioner or the person to whom the order pertains and to any other person entitled to such notice by any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w:t>
      </w:r>
      <w:r>
        <w:rPr>
          <w:rFonts w:ascii="Times New Roman" w:hAnsi="Times New Roman"/>
          <w:b w:val="false"/>
          <w:i w:val="false"/>
          <w:color w:val="000000"/>
          <w:sz w:val="22"/>
        </w:rPr>
        <w:t> </w:t>
      </w:r>
      <w:r>
        <w:rPr>
          <w:rFonts w:ascii="Times New Roman" w:hAnsi="Times New Roman"/>
          <w:b w:val="false"/>
          <w:i/>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10">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a waiver petition are public records under Iowa Code chapter </w:t>
      </w:r>
      <w:hyperlink r:id="rId1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the department is authorized or required to keep confidential. The department may accordingly redact confidential information from petitions or orders prior to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w:t>
      </w:r>
      <w:r>
        <w:rPr>
          <w:rFonts w:ascii="Times New Roman" w:hAnsi="Times New Roman"/>
          <w:b w:val="false"/>
          <w:i w:val="false"/>
          <w:color w:val="000000"/>
          <w:sz w:val="22"/>
        </w:rPr>
        <w:t> </w:t>
      </w:r>
      <w:r>
        <w:rPr>
          <w:rFonts w:ascii="Times New Roman" w:hAnsi="Times New Roman"/>
          <w:b w:val="false"/>
          <w:i/>
          <w:color w:val="000000"/>
          <w:sz w:val="22"/>
        </w:rPr>
        <w:t xml:space="preserve">Summary reports. </w:t>
      </w:r>
      <w:r>
        <w:rPr>
          <w:rFonts w:ascii="Times New Roman" w:hAnsi="Times New Roman"/>
          <w:b w:val="false"/>
          <w:i w:val="false"/>
          <w:color w:val="000000"/>
          <w:sz w:val="22"/>
        </w:rPr>
        <w:t xml:space="preserve">When the department grants a waiver, the department shall submit to the designated Internet site, within 60 days of the waiver decision, the following information: identification of the rules for which a waiver has been granted or denied, the number of times a waiver was granted or denied for each rule, a citation to the statutory provisions implemented by these rules, and a general summary of the reasons justifying the department’s actions on waiver requests. If practicable, the report shall include information detailing the extent to which the granting of a waiver has affected the general applicability of the rule itself.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6.1(13)</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a waiver. </w:t>
      </w:r>
      <w:r>
        <w:rPr>
          <w:rFonts w:ascii="Times New Roman" w:hAnsi="Times New Roman"/>
          <w:b w:val="false"/>
          <w:i w:val="false"/>
          <w:color w:val="000000"/>
          <w:sz w:val="22"/>
        </w:rPr>
        <w:t>A waiver issued by the department pursuant to this rule may be withdrawn, canceled, or modified if, after appropriate notice and hearing, the department issues an order finding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alternative means for ensuring that the public health, safety and welfare will be adequately protected after issuance of the waiver order have been insufficient;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subject of the waiver order has failed to comply with all conditions contained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A violation of a condition in a waiver order shall be treated as a violation of the particular rule for which the waiver was granted. As a result, the recipient of a waiver under this rule who violates a condition of the waiver may be subject to the same remedies or penalties as a person who violates the rule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6.1(15)</w:t>
      </w:r>
      <w:r>
        <w:rPr>
          <w:rFonts w:ascii="Times New Roman" w:hAnsi="Times New Roman"/>
          <w:b w:val="false"/>
          <w:i w:val="false"/>
          <w:color w:val="000000"/>
          <w:sz w:val="22"/>
        </w:rPr>
        <w:t> </w:t>
      </w:r>
      <w:r>
        <w:rPr>
          <w:rFonts w:ascii="Times New Roman" w:hAnsi="Times New Roman"/>
          <w:b w:val="false"/>
          <w:i/>
          <w:color w:val="000000"/>
          <w:sz w:val="22"/>
        </w:rPr>
        <w:t xml:space="preserve">Defense. </w:t>
      </w:r>
      <w:r>
        <w:rPr>
          <w:rFonts w:ascii="Times New Roman" w:hAnsi="Times New Roman"/>
          <w:b w:val="false"/>
          <w:i w:val="false"/>
          <w:color w:val="000000"/>
          <w:sz w:val="22"/>
        </w:rPr>
        <w:t>After the department issues an order granting a waiver, the order is a defense within its terms and the specific facts indicated therein only for the person to whom the order pertains in any proceeding in which the rule in question is sought to be invoked.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6.1(16)</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Judicial review of the department’s decision to grant or deny a waiver petition may be taken in accordance with Iowa Code chapter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5334C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441—6.2</w:t>
      </w:r>
      <w:r>
        <w:rPr>
          <w:rFonts w:ascii="Times New Roman" w:hAnsi="Times New Roman"/>
          <w:b/>
          <w:i w:val="false"/>
          <w:color w:val="000000"/>
          <w:sz w:val="22"/>
        </w:rPr>
        <w:t xml:space="preserve">(17A,217) </w:t>
      </w:r>
      <w:r>
        <w:rPr>
          <w:rFonts w:ascii="Times New Roman" w:hAnsi="Times New Roman"/>
          <w:b/>
          <w:i w:val="false"/>
          <w:color w:val="000000"/>
          <w:sz w:val="22"/>
        </w:rPr>
        <w:t xml:space="preserve">Sample petition for waiver. </w:t>
      </w:r>
      <w:r>
        <w:rPr>
          <w:rFonts w:ascii="Times New Roman" w:hAnsi="Times New Roman"/>
          <w:b w:val="false"/>
          <w:i w:val="false"/>
          <w:color w:val="000000"/>
          <w:sz w:val="22"/>
        </w:rPr>
        <w:t xml:space="preserve">A petition for waiver filed in accordance with rule </w:t>
      </w:r>
      <w:hyperlink r:id="rId13">
        <w:r>
          <w:rPr>
            <w:rStyle w:val="Hyperlink"/>
            <w:rFonts w:ascii="Times New Roman" w:hAnsi="Times New Roman"/>
            <w:b w:val="false"/>
            <w:i w:val="false"/>
            <w:color w:val="000000"/>
            <w:sz w:val="22"/>
          </w:rPr>
          <w:t>441—6.1(17A,217)</w:t>
        </w:r>
      </w:hyperlink>
      <w:r>
        <w:rPr>
          <w:rFonts w:ascii="Times New Roman" w:hAnsi="Times New Roman"/>
          <w:b w:val="false"/>
          <w:i w:val="false"/>
          <w:color w:val="000000"/>
          <w:sz w:val="22"/>
        </w:rPr>
        <w:t xml:space="preserve"> must meet the requirements specified therein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THE DEPARTMENT OF HEALTH AND HUMAN SERVICES</w:t>
            </w:r>
          </w:p>
        </w:tc>
      </w:tr>
      <w:tr>
        <w:trPr>
          <w:trHeight w:val="930"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 for the waiver of (insert rule citation)</w:t>
            </w:r>
          </w:p>
          <w:p>
            <w:pPr>
              <w:spacing w:before="0" w:after="0"/>
              <w:ind w:left="160"/>
              <w:jc w:val="left"/>
            </w:pPr>
            <w:r>
              <w:rPr>
                <w:rFonts w:ascii="Times New Roman" w:hAnsi="Times New Roman"/>
                <w:b w:val="false"/>
                <w:i w:val="false"/>
                <w:color w:val="000000"/>
                <w:sz w:val="16"/>
              </w:rPr>
              <w:t>relating to (insert the subject matter).</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72"/>
              </w:rPr>
              <w:t>}</w:t>
            </w:r>
          </w:p>
          <w:p>
            <w:pPr>
              <w:spacing w:before="0" w:after="0"/>
              <w:ind w:left="160"/>
              <w:jc w:val="center"/>
            </w:pPr>
            <w:r>
              <w:rPr>
                <w:rFonts w:ascii="Times New Roman" w:hAnsi="Times New Roman"/>
                <w:b w:val="false"/>
                <w:i w:val="false"/>
                <w:color w:val="000000"/>
                <w:sz w:val="72"/>
              </w:rPr>
              <w:t> </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WAIVER</w:t>
            </w:r>
          </w:p>
        </w:tc>
      </w:tr>
    </w:tbl>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Provide petitioner’s (person asking for a waiver) name, address, and telephone number. Also include the name, address, and telephone number of the petitioner’s legal representative, if applicable,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Describe and cite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Describe the specific waiver requested, including the precise scope and time period for which the waiver will extend.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Explain the relevant facts and reasons that the petitioner believes justify a waiver. Include in your answer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Why applying the rule would result in undue hardship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Why waiving the rule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provisions of the rule subject to the waiver are specifically mandated by statute or another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How 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Provide a history of any prior contacts between the department and petitioner relating to the regulated activity, license, registration, certification or permit that would be affected by the waiver. Include a description of each affected license, registration, certification, or permit held by the petitioner, any formal charges filed, any notices of violation, any contested case hearings held, or any investigations related to the regulated activity, license, registration, certification, or permit.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Provide information known to the petitioner regarding the department’s action in similar circumstances.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Provide the name, address, and telephone number of any public agency or political subdivision that also regulates the activity in question or that might be affected by the granting of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Provide the name, address, and telephone number of any person or entity that would be adversely affected by the granting of the waiver.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Provide 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Provide signed releases of information authorizing persons with knowledge regarding the request to furnish the department with information relevant to the waiver.</w:t>
      </w:r>
      <w:r>
        <w:br/>
      </w:r>
    </w:p>
    <w:p>
      <w:pPr>
        <w:spacing w:before="0" w:after="0"/>
        <w:ind w:left="120"/>
        <w:jc w:val="both"/>
      </w:pPr>
      <w:r>
        <w:rPr>
          <w:rFonts w:ascii="Times New Roman" w:hAnsi="Times New Roman"/>
          <w:b w:val="false"/>
          <w:i w:val="false"/>
          <w:color w:val="000000"/>
          <w:sz w:val="22"/>
        </w:rPr>
        <w:t>I hereby attest to the accuracy and truthfulness of the above information.</w:t>
      </w:r>
    </w:p>
    <w:tbl>
      <w:tblPr>
        <w:tblW w:w="5000" w:type="pct"/>
        <w:tblCellSpacing w:w="0" w:type="auto"/>
        <w:tblBorders>
          <w:top w:val="none"/>
          <w:left w:val="none"/>
          <w:bottom w:val="none"/>
          <w:right w:val="none"/>
          <w:insideH w:val="none"/>
          <w:insideV w:val="none"/>
        </w:tblBorders>
        <w:tblLayout w:type="fixed"/>
      </w:tblPr>
      <w:tblGrid>
        <w:gridCol w:w="6708"/>
        <w:gridCol w:w="441"/>
        <w:gridCol w:w="4041"/>
      </w:tblGrid>
      <w:tr>
        <w:trPr>
          <w:trHeight w:val="270" w:hRule="atLeast"/>
        </w:trPr>
        <w:tc>
          <w:tcPr>
            <w:tcW w:w="67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4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6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Petitioner’s signature</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5334C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chapter </w:t>
      </w:r>
      <w:hyperlink r:id="rId15">
        <w:r>
          <w:rPr>
            <w:rStyle w:val="Hyperlink"/>
            <w:rFonts w:ascii="Times New Roman" w:hAnsi="Times New Roman"/>
            <w:b w:val="false"/>
            <w:i w:val="false"/>
            <w:color w:val="000000"/>
            <w:sz w:val="22"/>
          </w:rPr>
          <w:t>135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3/18/98, Notice 1/28/98—published 4/8/98, effective 5/13/98]</w:t>
      </w:r>
    </w:p>
    <w:p>
      <w:pPr>
        <w:spacing w:before="0" w:after="0"/>
        <w:ind w:left="120"/>
        <w:jc w:val="center"/>
      </w:pPr>
      <w:r>
        <w:rPr>
          <w:rFonts w:ascii="Times New Roman" w:hAnsi="Times New Roman"/>
          <w:b w:val="false"/>
          <w:i w:val="false"/>
          <w:color w:val="000000"/>
          <w:sz w:val="21"/>
        </w:rPr>
        <w:t>[Filed 5/10/01, Notice 2/21/01—published 5/30/01, effective 7/4/01]</w:t>
      </w:r>
    </w:p>
    <w:p>
      <w:pPr>
        <w:spacing w:before="0" w:after="0"/>
        <w:ind w:left="120"/>
        <w:jc w:val="center"/>
      </w:pPr>
      <w:r>
        <w:rPr>
          <w:rFonts w:ascii="Times New Roman" w:hAnsi="Times New Roman"/>
          <w:b w:val="false"/>
          <w:i w:val="false"/>
          <w:color w:val="000000"/>
          <w:sz w:val="21"/>
        </w:rPr>
        <w:t>[Filed ARC 5334C</w:t>
      </w:r>
      <w:r>
        <w:rPr>
          <w:rFonts w:ascii="Times New Roman" w:hAnsi="Times New Roman"/>
          <w:b w:val="false"/>
          <w:i w:val="false"/>
          <w:color w:val="000000"/>
          <w:sz w:val="21"/>
        </w:rPr>
        <w:t xml:space="preserve"> (Notice ARC 5196C, IAB 9/23/20)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[Editorial change: IAC Supplement 6/28/23]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178.1.pdf" Type="http://schemas.openxmlformats.org/officeDocument/2006/relationships/hyperlink" Id="rId5"/>
    <Relationship TargetMode="External" Target="https://www.legis.iowa.gov/docs/iac/rule/441.6.1.pdf" Type="http://schemas.openxmlformats.org/officeDocument/2006/relationships/hyperlink" Id="rId6"/>
    <Relationship TargetMode="External" Target="https://www.legis.iowa.gov/docs/iac/rule/441.6.2.pdf" Type="http://schemas.openxmlformats.org/officeDocument/2006/relationships/hyperlink" Id="rId7"/>
    <Relationship TargetMode="External" Target="https://www.legis.iowa.gov/docs/iac/rule/441.6.1.pdf" Type="http://schemas.openxmlformats.org/officeDocument/2006/relationships/hyperlink" Id="rId8"/>
    <Relationship TargetMode="External" Target="https://www.legis.iowa.gov/docs/ico/chapter/17A.10-18A.pdf" Type="http://schemas.openxmlformats.org/officeDocument/2006/relationships/hyperlink" Id="rId9"/>
    <Relationship TargetMode="External" Target="https://www.legis.iowa.gov/docs/ico/chapter/17A.3.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ac/rule/441.6.1.pdf" Type="http://schemas.openxmlformats.org/officeDocument/2006/relationships/hyperlink" Id="rId13"/>
    <Relationship TargetMode="External" Target="https://www.legis.iowa.gov/docs/ico/chapter/17A.9A.pdf" Type="http://schemas.openxmlformats.org/officeDocument/2006/relationships/hyperlink" Id="rId14"/>
    <Relationship TargetMode="External" Target="https://www.legis.iowa.gov/docs/ico/chapter/135.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