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w:t>
      </w:r>
    </w:p>
    <w:p>
      <w:pPr>
        <w:spacing w:before="0" w:after="0"/>
        <w:ind w:left="120"/>
        <w:jc w:val="center"/>
      </w:pPr>
      <w:r>
        <w:rPr>
          <w:rFonts w:ascii="Times New Roman" w:hAnsi="Times New Roman"/>
          <w:b w:val="false"/>
          <w:i w:val="false"/>
          <w:color w:val="000000"/>
          <w:sz w:val="21"/>
        </w:rPr>
        <w:t>ELIGIBILITY</w:t>
      </w:r>
    </w:p>
    <w:p>
      <w:pPr>
        <w:spacing w:before="0" w:after="0"/>
        <w:ind w:left="120"/>
        <w:jc w:val="center"/>
      </w:pPr>
      <w:r>
        <w:rPr>
          <w:rFonts w:ascii="Times New Roman" w:hAnsi="Times New Roman"/>
          <w:b w:val="false"/>
          <w:i w:val="false"/>
          <w:color w:val="000000"/>
          <w:sz w:val="14"/>
        </w:rPr>
        <w:t>[Prior to 7/1/83, Social Services[770] Ch 51]</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441—51.1</w:t>
      </w:r>
      <w:r>
        <w:rPr>
          <w:rFonts w:ascii="Times New Roman" w:hAnsi="Times New Roman"/>
          <w:b/>
          <w:i w:val="false"/>
          <w:color w:val="000000"/>
          <w:sz w:val="22"/>
        </w:rPr>
        <w:t xml:space="preserve">(249) </w:t>
      </w:r>
      <w:r>
        <w:rPr>
          <w:rFonts w:ascii="Times New Roman" w:hAnsi="Times New Roman"/>
          <w:b/>
          <w:i w:val="false"/>
          <w:color w:val="000000"/>
          <w:sz w:val="22"/>
        </w:rPr>
        <w:t xml:space="preserve">Application for other benefits. </w:t>
      </w:r>
      <w:r>
        <w:rPr>
          <w:rFonts w:ascii="Times New Roman" w:hAnsi="Times New Roman"/>
          <w:b w:val="false"/>
          <w:i w:val="false"/>
          <w:color w:val="000000"/>
          <w:sz w:val="22"/>
        </w:rPr>
        <w:t>An applicant or any other person whose needs are included in determining the state supplementary assistance payment must have applied for or be receiving all other benefits, including supplemental security income or the family investment program, for which the person may be eligible. The person must cooperate in the eligibility procedures while making application for the other benefits. Failure to cooperate shall result in ineligibility for state supplementary assistance.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249.3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441—51.2</w:t>
      </w:r>
      <w:r>
        <w:rPr>
          <w:rFonts w:ascii="Times New Roman" w:hAnsi="Times New Roman"/>
          <w:b/>
          <w:i w:val="false"/>
          <w:color w:val="000000"/>
          <w:sz w:val="22"/>
        </w:rPr>
        <w:t xml:space="preserve">(249) </w:t>
      </w:r>
      <w:r>
        <w:rPr>
          <w:rFonts w:ascii="Times New Roman" w:hAnsi="Times New Roman"/>
          <w:b/>
          <w:i w:val="false"/>
          <w:color w:val="000000"/>
          <w:sz w:val="22"/>
        </w:rPr>
        <w:t xml:space="preserve">Supplementation. </w:t>
      </w:r>
      <w:r>
        <w:rPr>
          <w:rFonts w:ascii="Times New Roman" w:hAnsi="Times New Roman"/>
          <w:b w:val="false"/>
          <w:i w:val="false"/>
          <w:color w:val="000000"/>
          <w:sz w:val="22"/>
        </w:rPr>
        <w:t>Any supplemental payment made on behalf of the recipient from any source other than a nonfederal governmental entity shall be considered as income, and the payment shall be used to reduce the state supplementary assistance payment.</w:t>
      </w:r>
    </w:p>
    <w:p>
      <w:pPr>
        <w:spacing w:before="0" w:after="0"/>
        <w:ind w:left="120"/>
        <w:jc w:val="both"/>
      </w:pPr>
      <w:r>
        <w:rPr>
          <w:rFonts w:ascii="Times New Roman" w:hAnsi="Times New Roman"/>
          <w:b/>
          <w:i w:val="false"/>
          <w:color w:val="000000"/>
          <w:sz w:val="22"/>
        </w:rPr>
        <w:t>441—51.3</w:t>
      </w:r>
      <w:r>
        <w:rPr>
          <w:rFonts w:ascii="Times New Roman" w:hAnsi="Times New Roman"/>
          <w:b/>
          <w:i w:val="false"/>
          <w:color w:val="000000"/>
          <w:sz w:val="22"/>
        </w:rPr>
        <w:t xml:space="preserve">(249) </w:t>
      </w:r>
      <w:r>
        <w:rPr>
          <w:rFonts w:ascii="Times New Roman" w:hAnsi="Times New Roman"/>
          <w:b/>
          <w:i w:val="false"/>
          <w:color w:val="000000"/>
          <w:sz w:val="22"/>
        </w:rPr>
        <w:t xml:space="preserve">Eligibility for residential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color w:val="000000"/>
          <w:sz w:val="22"/>
        </w:rPr>
        <w:t xml:space="preserve">Licensed facility. </w:t>
      </w:r>
      <w:r>
        <w:rPr>
          <w:rFonts w:ascii="Times New Roman" w:hAnsi="Times New Roman"/>
          <w:b w:val="false"/>
          <w:i w:val="false"/>
          <w:color w:val="000000"/>
          <w:sz w:val="22"/>
        </w:rPr>
        <w:t>Payment for residential care shall be made only when the facility in which the applicant or recipient is residing is currently licensed by the department of inspections and appeals pursuant to laws governing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Physician’s statement. </w:t>
      </w:r>
      <w:r>
        <w:rPr>
          <w:rFonts w:ascii="Times New Roman" w:hAnsi="Times New Roman"/>
          <w:b w:val="false"/>
          <w:i w:val="false"/>
          <w:color w:val="000000"/>
          <w:sz w:val="22"/>
        </w:rPr>
        <w:t>Payment for residential care shall be made only when there is on file an order written by a physician certifying that the applicant or recipient being admitted requires residential care but does not require nursing services. The certification shall be updated whenever a change in the recipient’s physical condition warrants reevaluation, but no less than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color w:val="000000"/>
          <w:sz w:val="22"/>
        </w:rPr>
        <w:t xml:space="preserve">Income eligibility. </w:t>
      </w:r>
      <w:r>
        <w:rPr>
          <w:rFonts w:ascii="Times New Roman" w:hAnsi="Times New Roman"/>
          <w:b w:val="false"/>
          <w:i w:val="false"/>
          <w:color w:val="000000"/>
          <w:sz w:val="22"/>
        </w:rPr>
        <w:t xml:space="preserve">The resident shall be income eligible when the income according to </w:t>
      </w:r>
      <w:hyperlink r:id="rId6">
        <w:r>
          <w:rPr>
            <w:rStyle w:val="Hyperlink"/>
            <w:rFonts w:ascii="Times New Roman" w:hAnsi="Times New Roman"/>
            <w:b w:val="false"/>
            <w:i w:val="false"/>
            <w:color w:val="000000"/>
            <w:sz w:val="22"/>
          </w:rPr>
          <w:t>441—paragraph 52.1(3)</w:t>
        </w:r>
        <w:r>
          <w:rPr>
            <w:rFonts w:ascii="Times New Roman" w:hAnsi="Times New Roman"/>
            <w:b w:val="false"/>
            <w:i/>
            <w:color w:val="000000"/>
            <w:sz w:val="22"/>
          </w:rPr>
          <w:t>“a”</w:t>
        </w:r>
      </w:hyperlink>
      <w:r>
        <w:rPr>
          <w:rFonts w:ascii="Times New Roman" w:hAnsi="Times New Roman"/>
          <w:b w:val="false"/>
          <w:i w:val="false"/>
          <w:color w:val="000000"/>
          <w:sz w:val="22"/>
        </w:rPr>
        <w:t xml:space="preserve"> is less than 31 times the maximum per diem rate. Partners in a marriage who both enter the same room of the residential care facility in the same month shall be income eligible for the initial month when their combined income according to </w:t>
      </w:r>
      <w:hyperlink r:id="rId7">
        <w:r>
          <w:rPr>
            <w:rStyle w:val="Hyperlink"/>
            <w:rFonts w:ascii="Times New Roman" w:hAnsi="Times New Roman"/>
            <w:b w:val="false"/>
            <w:i w:val="false"/>
            <w:color w:val="000000"/>
            <w:sz w:val="22"/>
          </w:rPr>
          <w:t>441—paragraph 52.1(3)</w:t>
        </w:r>
        <w:r>
          <w:rPr>
            <w:rFonts w:ascii="Times New Roman" w:hAnsi="Times New Roman"/>
            <w:b w:val="false"/>
            <w:i/>
            <w:color w:val="000000"/>
            <w:sz w:val="22"/>
          </w:rPr>
          <w:t>“a”</w:t>
        </w:r>
      </w:hyperlink>
      <w:r>
        <w:rPr>
          <w:rFonts w:ascii="Times New Roman" w:hAnsi="Times New Roman"/>
          <w:b w:val="false"/>
          <w:i w:val="false"/>
          <w:color w:val="000000"/>
          <w:sz w:val="22"/>
        </w:rPr>
        <w:t xml:space="preserve"> is less than twice the amount of allowed income for one person (31 times the maximum per diem rate).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249.3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6774C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441—51.4</w:t>
      </w:r>
      <w:r>
        <w:rPr>
          <w:rFonts w:ascii="Times New Roman" w:hAnsi="Times New Roman"/>
          <w:b/>
          <w:i w:val="false"/>
          <w:color w:val="000000"/>
          <w:sz w:val="22"/>
        </w:rPr>
        <w:t xml:space="preserve">(249) </w:t>
      </w:r>
      <w:r>
        <w:rPr>
          <w:rFonts w:ascii="Times New Roman" w:hAnsi="Times New Roman"/>
          <w:b/>
          <w:i w:val="false"/>
          <w:color w:val="000000"/>
          <w:sz w:val="22"/>
        </w:rPr>
        <w:t xml:space="preserve">Dependent relatives.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Income of a dependent relative shall be less than the amount established by the department based on assistance standards as provided in rule 441—52.1(249). When the dependent’s income is from earnings, an exemption of $65 shall be allowed to cover work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color w:val="000000"/>
          <w:sz w:val="22"/>
        </w:rPr>
        <w:t xml:space="preserve">Resources. </w:t>
      </w:r>
      <w:r>
        <w:rPr>
          <w:rFonts w:ascii="Times New Roman" w:hAnsi="Times New Roman"/>
          <w:b w:val="false"/>
          <w:i w:val="false"/>
          <w:color w:val="000000"/>
          <w:sz w:val="22"/>
        </w:rPr>
        <w:t>The resource limitation for a recipient and a dependent child or parent shall be $2,000. The resource limitation for a recipient and a dependent spouse shall be $3,000. The resource limitation for a recipient, spouse, and dependent child or parent shall be $3,000.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color w:val="000000"/>
          <w:sz w:val="22"/>
        </w:rPr>
        <w:t xml:space="preserve">Living in the home. </w:t>
      </w:r>
      <w:r>
        <w:rPr>
          <w:rFonts w:ascii="Times New Roman" w:hAnsi="Times New Roman"/>
          <w:b w:val="false"/>
          <w:i w:val="false"/>
          <w:color w:val="000000"/>
          <w:sz w:val="22"/>
        </w:rPr>
        <w:t>A dependent relative shall be eligible until out of the recipient’s home for a full calendar month starting at 12:01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first day of the month until 12 midnight on the last day of the same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51.4(4)</w:t>
      </w:r>
      <w:r>
        <w:rPr>
          <w:rFonts w:ascii="Times New Roman" w:hAnsi="Times New Roman"/>
          <w:b w:val="false"/>
          <w:i w:val="false"/>
          <w:color w:val="000000"/>
          <w:sz w:val="22"/>
        </w:rPr>
        <w:t> </w:t>
      </w:r>
      <w:r>
        <w:rPr>
          <w:rFonts w:ascii="Times New Roman" w:hAnsi="Times New Roman"/>
          <w:b w:val="false"/>
          <w:i/>
          <w:color w:val="000000"/>
          <w:sz w:val="22"/>
        </w:rPr>
        <w:t xml:space="preserve">Dependency. </w:t>
      </w:r>
      <w:r>
        <w:rPr>
          <w:rFonts w:ascii="Times New Roman" w:hAnsi="Times New Roman"/>
          <w:b w:val="false"/>
          <w:i w:val="false"/>
          <w:color w:val="000000"/>
          <w:sz w:val="22"/>
        </w:rPr>
        <w:t>A dependent relative may be the recipient’s ineligible spouse, parent, child, or adult child who is financially dependent upon the recipient. A relative shall not be considered to be financially dependent upon the recipient when the relative is living with a spouse who is not the recipient.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249.3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249.4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7605B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9965B</w:t>
      </w:r>
      <w:r>
        <w:rPr>
          <w:rFonts w:ascii="Times New Roman" w:hAnsi="Times New Roman"/>
          <w:b w:val="false"/>
          <w:i w:val="false"/>
          <w:color w:val="000000"/>
          <w:sz w:val="16"/>
        </w:rPr>
        <w:t>, IAB 1/11/12, effective 1/1/12</w:t>
      </w:r>
      <w:r>
        <w:rPr>
          <w:rFonts w:ascii="Times New Roman" w:hAnsi="Times New Roman"/>
          <w:b w:val="false"/>
          <w:i w:val="false"/>
          <w:color w:val="000000"/>
          <w:sz w:val="16"/>
        </w:rPr>
        <w:t xml:space="preserve">; </w:t>
      </w:r>
      <w:r>
        <w:rPr>
          <w:rFonts w:ascii="Times New Roman" w:hAnsi="Times New Roman"/>
          <w:b/>
          <w:i w:val="false"/>
          <w:color w:val="000000"/>
          <w:sz w:val="16"/>
        </w:rPr>
        <w:t>ARC 0064C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0489C</w:t>
      </w:r>
      <w:r>
        <w:rPr>
          <w:rFonts w:ascii="Times New Roman" w:hAnsi="Times New Roman"/>
          <w:b w:val="false"/>
          <w:i w:val="false"/>
          <w:color w:val="000000"/>
          <w:sz w:val="16"/>
        </w:rPr>
        <w:t>, IAB 12/12/12, effective 1/1/13</w:t>
      </w:r>
      <w:r>
        <w:rPr>
          <w:rFonts w:ascii="Times New Roman" w:hAnsi="Times New Roman"/>
          <w:b w:val="false"/>
          <w:i w:val="false"/>
          <w:color w:val="000000"/>
          <w:sz w:val="16"/>
        </w:rPr>
        <w:t xml:space="preserve">; </w:t>
      </w:r>
      <w:r>
        <w:rPr>
          <w:rFonts w:ascii="Times New Roman" w:hAnsi="Times New Roman"/>
          <w:b/>
          <w:i w:val="false"/>
          <w:color w:val="000000"/>
          <w:sz w:val="16"/>
        </w:rPr>
        <w:t>ARC 0633C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1268C</w:t>
      </w:r>
      <w:r>
        <w:rPr>
          <w:rFonts w:ascii="Times New Roman" w:hAnsi="Times New Roman"/>
          <w:b w:val="false"/>
          <w:i w:val="false"/>
          <w:color w:val="000000"/>
          <w:sz w:val="16"/>
        </w:rPr>
        <w:t>, IAB 1/8/14,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1352C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1813C</w:t>
      </w:r>
      <w:r>
        <w:rPr>
          <w:rFonts w:ascii="Times New Roman" w:hAnsi="Times New Roman"/>
          <w:b w:val="false"/>
          <w:i w:val="false"/>
          <w:color w:val="000000"/>
          <w:sz w:val="16"/>
        </w:rPr>
        <w:t>, IAB 1/7/15,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1892C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i w:val="false"/>
          <w:color w:val="000000"/>
          <w:sz w:val="16"/>
        </w:rPr>
        <w:t>ARC 2891C</w:t>
      </w:r>
      <w:r>
        <w:rPr>
          <w:rFonts w:ascii="Times New Roman" w:hAnsi="Times New Roman"/>
          <w:b w:val="false"/>
          <w:i w:val="false"/>
          <w:color w:val="000000"/>
          <w:sz w:val="16"/>
        </w:rPr>
        <w:t>, IAB 1/4/17, effective 1/1/17</w:t>
      </w:r>
      <w:r>
        <w:rPr>
          <w:rFonts w:ascii="Times New Roman" w:hAnsi="Times New Roman"/>
          <w:b w:val="false"/>
          <w:i w:val="false"/>
          <w:color w:val="000000"/>
          <w:sz w:val="16"/>
        </w:rPr>
        <w:t xml:space="preserve">; </w:t>
      </w:r>
      <w:r>
        <w:rPr>
          <w:rFonts w:ascii="Times New Roman" w:hAnsi="Times New Roman"/>
          <w:b/>
          <w:i w:val="false"/>
          <w:color w:val="000000"/>
          <w:sz w:val="16"/>
        </w:rPr>
        <w:t>ARC 2958C</w:t>
      </w:r>
      <w:r>
        <w:rPr>
          <w:rFonts w:ascii="Times New Roman" w:hAnsi="Times New Roman"/>
          <w:b w:val="false"/>
          <w:i w:val="false"/>
          <w:color w:val="000000"/>
          <w:sz w:val="16"/>
        </w:rPr>
        <w:t>, IAB 3/1/17, effective 4/5/17</w:t>
      </w:r>
      <w:r>
        <w:rPr>
          <w:rFonts w:ascii="Times New Roman" w:hAnsi="Times New Roman"/>
          <w:b w:val="false"/>
          <w:i w:val="false"/>
          <w:color w:val="000000"/>
          <w:sz w:val="16"/>
        </w:rPr>
        <w:t xml:space="preserve">; </w:t>
      </w:r>
      <w:r>
        <w:rPr>
          <w:rFonts w:ascii="Times New Roman" w:hAnsi="Times New Roman"/>
          <w:b/>
          <w:i w:val="false"/>
          <w:color w:val="000000"/>
          <w:sz w:val="16"/>
        </w:rPr>
        <w:t>ARC 3599C</w:t>
      </w:r>
      <w:r>
        <w:rPr>
          <w:rFonts w:ascii="Times New Roman" w:hAnsi="Times New Roman"/>
          <w:b w:val="false"/>
          <w:i w:val="false"/>
          <w:color w:val="000000"/>
          <w:sz w:val="16"/>
        </w:rPr>
        <w:t>, IAB 1/31/18, effective 1/5/18</w:t>
      </w:r>
      <w:r>
        <w:rPr>
          <w:rFonts w:ascii="Times New Roman" w:hAnsi="Times New Roman"/>
          <w:b w:val="false"/>
          <w:i w:val="false"/>
          <w:color w:val="000000"/>
          <w:sz w:val="16"/>
        </w:rPr>
        <w:t xml:space="preserve">; </w:t>
      </w:r>
      <w:r>
        <w:rPr>
          <w:rFonts w:ascii="Times New Roman" w:hAnsi="Times New Roman"/>
          <w:b/>
          <w:i w:val="false"/>
          <w:color w:val="000000"/>
          <w:sz w:val="16"/>
        </w:rPr>
        <w:t>ARC 3715C</w:t>
      </w:r>
      <w:r>
        <w:rPr>
          <w:rFonts w:ascii="Times New Roman" w:hAnsi="Times New Roman"/>
          <w:b w:val="false"/>
          <w:i w:val="false"/>
          <w:color w:val="000000"/>
          <w:sz w:val="16"/>
        </w:rPr>
        <w:t>, IAB 3/28/18, effective 5/2/18</w:t>
      </w:r>
      <w:r>
        <w:rPr>
          <w:rFonts w:ascii="Times New Roman" w:hAnsi="Times New Roman"/>
          <w:b w:val="false"/>
          <w:i w:val="false"/>
          <w:color w:val="000000"/>
          <w:sz w:val="16"/>
        </w:rPr>
        <w:t xml:space="preserve">; </w:t>
      </w:r>
      <w:r>
        <w:rPr>
          <w:rFonts w:ascii="Times New Roman" w:hAnsi="Times New Roman"/>
          <w:b/>
          <w:i w:val="false"/>
          <w:color w:val="000000"/>
          <w:sz w:val="16"/>
        </w:rPr>
        <w:t>ARC 4220C</w:t>
      </w:r>
      <w:r>
        <w:rPr>
          <w:rFonts w:ascii="Times New Roman" w:hAnsi="Times New Roman"/>
          <w:b w:val="false"/>
          <w:i w:val="false"/>
          <w:color w:val="000000"/>
          <w:sz w:val="16"/>
        </w:rPr>
        <w:t>, IAB 1/2/19, effective 1/1/19</w:t>
      </w:r>
      <w:r>
        <w:rPr>
          <w:rFonts w:ascii="Times New Roman" w:hAnsi="Times New Roman"/>
          <w:b w:val="false"/>
          <w:i w:val="false"/>
          <w:color w:val="000000"/>
          <w:sz w:val="16"/>
        </w:rPr>
        <w:t xml:space="preserve">; </w:t>
      </w:r>
      <w:r>
        <w:rPr>
          <w:rFonts w:ascii="Times New Roman" w:hAnsi="Times New Roman"/>
          <w:b/>
          <w:i w:val="false"/>
          <w:color w:val="000000"/>
          <w:sz w:val="16"/>
        </w:rPr>
        <w:t>ARC 4336C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441—51.5</w:t>
      </w:r>
      <w:r>
        <w:rPr>
          <w:rFonts w:ascii="Times New Roman" w:hAnsi="Times New Roman"/>
          <w:b/>
          <w:i w:val="false"/>
          <w:color w:val="000000"/>
          <w:sz w:val="22"/>
        </w:rPr>
        <w:t xml:space="preserve">(249) </w:t>
      </w:r>
      <w:r>
        <w:rPr>
          <w:rFonts w:ascii="Times New Roman" w:hAnsi="Times New Roman"/>
          <w:b/>
          <w:i w:val="false"/>
          <w:color w:val="000000"/>
          <w:sz w:val="22"/>
        </w:rPr>
        <w:t xml:space="preserve">Residence. </w:t>
      </w:r>
      <w:r>
        <w:rPr>
          <w:rFonts w:ascii="Times New Roman" w:hAnsi="Times New Roman"/>
          <w:b w:val="false"/>
          <w:i w:val="false"/>
          <w:color w:val="000000"/>
          <w:sz w:val="22"/>
        </w:rPr>
        <w:t>A recipient of state supplementary assistance shall be living in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249.3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441—51.6</w:t>
      </w:r>
      <w:r>
        <w:rPr>
          <w:rFonts w:ascii="Times New Roman" w:hAnsi="Times New Roman"/>
          <w:b/>
          <w:i w:val="false"/>
          <w:color w:val="000000"/>
          <w:sz w:val="22"/>
        </w:rPr>
        <w:t xml:space="preserve">(249) </w:t>
      </w:r>
      <w:r>
        <w:rPr>
          <w:rFonts w:ascii="Times New Roman" w:hAnsi="Times New Roman"/>
          <w:b/>
          <w:i w:val="false"/>
          <w:color w:val="000000"/>
          <w:sz w:val="22"/>
        </w:rPr>
        <w:t xml:space="preserve">Eligibility for supplement for Medicare and Medicaid eligibles. </w:t>
      </w:r>
      <w:r>
        <w:rPr>
          <w:rFonts w:ascii="Times New Roman" w:hAnsi="Times New Roman"/>
          <w:b w:val="false"/>
          <w:i w:val="false"/>
          <w:color w:val="000000"/>
          <w:sz w:val="22"/>
        </w:rPr>
        <w:t>The following eligibility requirements are specific to the supplement for Medicare and Medicaid eligibles: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color w:val="000000"/>
          <w:sz w:val="22"/>
        </w:rPr>
        <w:t xml:space="preserve">Medicaid eligibility. </w:t>
      </w:r>
      <w:r>
        <w:rPr>
          <w:rFonts w:ascii="Times New Roman" w:hAnsi="Times New Roman"/>
          <w:b w:val="false"/>
          <w:i w:val="false"/>
          <w:color w:val="000000"/>
          <w:sz w:val="22"/>
        </w:rPr>
        <w:t xml:space="preserve">The recipient must be eligible for and receiving full medical assistance benefits under Iowa Code chapter </w:t>
      </w:r>
      <w:hyperlink r:id="rId12">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without regard to eligibility based on receipt of state supplementary assistance under this rule, and without being required to meet a spenddown or pay a premium to be eligible for medical assistance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color w:val="000000"/>
          <w:sz w:val="22"/>
        </w:rPr>
        <w:t xml:space="preserve">SSI eligibility. </w:t>
      </w:r>
      <w:r>
        <w:rPr>
          <w:rFonts w:ascii="Times New Roman" w:hAnsi="Times New Roman"/>
          <w:b w:val="false"/>
          <w:i w:val="false"/>
          <w:color w:val="000000"/>
          <w:sz w:val="22"/>
        </w:rPr>
        <w:t>The recipient shall meet all eligibility requirements for supplemental security income benefits other than limits on substantial gainful activity and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color w:val="000000"/>
          <w:sz w:val="22"/>
        </w:rPr>
        <w:t xml:space="preserve">Not otherwise eligible. </w:t>
      </w:r>
      <w:r>
        <w:rPr>
          <w:rFonts w:ascii="Times New Roman" w:hAnsi="Times New Roman"/>
          <w:b w:val="false"/>
          <w:i w:val="false"/>
          <w:color w:val="000000"/>
          <w:sz w:val="22"/>
        </w:rPr>
        <w:t>The recipient must not be eligible for benefits under another state supplementary assistance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51.6(4)</w:t>
      </w:r>
      <w:r>
        <w:rPr>
          <w:rFonts w:ascii="Times New Roman" w:hAnsi="Times New Roman"/>
          <w:b w:val="false"/>
          <w:i w:val="false"/>
          <w:color w:val="000000"/>
          <w:sz w:val="22"/>
        </w:rPr>
        <w:t> </w:t>
      </w:r>
      <w:r>
        <w:rPr>
          <w:rFonts w:ascii="Times New Roman" w:hAnsi="Times New Roman"/>
          <w:b w:val="false"/>
          <w:i/>
          <w:color w:val="000000"/>
          <w:sz w:val="22"/>
        </w:rPr>
        <w:t xml:space="preserve">Medicare eligibility. </w:t>
      </w:r>
      <w:r>
        <w:rPr>
          <w:rFonts w:ascii="Times New Roman" w:hAnsi="Times New Roman"/>
          <w:b w:val="false"/>
          <w:i w:val="false"/>
          <w:color w:val="000000"/>
          <w:sz w:val="22"/>
        </w:rPr>
        <w:t>The recipient must be currently eligible for Medicare Part 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51.6(5)</w:t>
      </w:r>
      <w:r>
        <w:rPr>
          <w:rFonts w:ascii="Times New Roman" w:hAnsi="Times New Roman"/>
          <w:b w:val="false"/>
          <w:i w:val="false"/>
          <w:color w:val="000000"/>
          <w:sz w:val="22"/>
        </w:rPr>
        <w:t> </w:t>
      </w:r>
      <w:r>
        <w:rPr>
          <w:rFonts w:ascii="Times New Roman" w:hAnsi="Times New Roman"/>
          <w:b w:val="false"/>
          <w:i/>
          <w:color w:val="000000"/>
          <w:sz w:val="22"/>
        </w:rPr>
        <w:t xml:space="preserve">Living arrangement. </w:t>
      </w:r>
      <w:r>
        <w:rPr>
          <w:rFonts w:ascii="Times New Roman" w:hAnsi="Times New Roman"/>
          <w:b w:val="false"/>
          <w:i w:val="false"/>
          <w:color w:val="000000"/>
          <w:sz w:val="22"/>
        </w:rPr>
        <w:t>A recipient may live in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own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home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group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medical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51.6(6)</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Income of a recipient shall be within the income limit for the person’s Medicaid eligibility group, but must exceed 120 percent of the federal poverty level.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249.3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6774C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441—51.7</w:t>
      </w:r>
      <w:r>
        <w:rPr>
          <w:rFonts w:ascii="Times New Roman" w:hAnsi="Times New Roman"/>
          <w:b/>
          <w:i w:val="false"/>
          <w:color w:val="000000"/>
          <w:sz w:val="22"/>
        </w:rPr>
        <w:t xml:space="preserve">(249) </w:t>
      </w:r>
      <w:r>
        <w:rPr>
          <w:rFonts w:ascii="Times New Roman" w:hAnsi="Times New Roman"/>
          <w:b/>
          <w:i w:val="false"/>
          <w:color w:val="000000"/>
          <w:sz w:val="22"/>
        </w:rPr>
        <w:t xml:space="preserve">Income from providing room and board. </w:t>
      </w:r>
      <w:r>
        <w:rPr>
          <w:rFonts w:ascii="Times New Roman" w:hAnsi="Times New Roman"/>
          <w:b w:val="false"/>
          <w:i w:val="false"/>
          <w:color w:val="000000"/>
          <w:sz w:val="22"/>
        </w:rPr>
        <w:t>In determining income from furnishing room and board or providing family-life home care, the amount established by the department based on assistance standards as provided in rule 441—52.1(249) shall be deducted to cover the cost, and the remaining amount shall be treated as earned income.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249.3</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249.4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7605B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9965B</w:t>
      </w:r>
      <w:r>
        <w:rPr>
          <w:rFonts w:ascii="Times New Roman" w:hAnsi="Times New Roman"/>
          <w:b w:val="false"/>
          <w:i w:val="false"/>
          <w:color w:val="000000"/>
          <w:sz w:val="16"/>
        </w:rPr>
        <w:t>, IAB 1/11/12, effective 1/1/12</w:t>
      </w:r>
      <w:r>
        <w:rPr>
          <w:rFonts w:ascii="Times New Roman" w:hAnsi="Times New Roman"/>
          <w:b w:val="false"/>
          <w:i w:val="false"/>
          <w:color w:val="000000"/>
          <w:sz w:val="16"/>
        </w:rPr>
        <w:t xml:space="preserve">; </w:t>
      </w:r>
      <w:r>
        <w:rPr>
          <w:rFonts w:ascii="Times New Roman" w:hAnsi="Times New Roman"/>
          <w:b/>
          <w:i w:val="false"/>
          <w:color w:val="000000"/>
          <w:sz w:val="16"/>
        </w:rPr>
        <w:t>ARC 0064C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0489C</w:t>
      </w:r>
      <w:r>
        <w:rPr>
          <w:rFonts w:ascii="Times New Roman" w:hAnsi="Times New Roman"/>
          <w:b w:val="false"/>
          <w:i w:val="false"/>
          <w:color w:val="000000"/>
          <w:sz w:val="16"/>
        </w:rPr>
        <w:t>, IAB 12/12/12, effective 1/1/13</w:t>
      </w:r>
      <w:r>
        <w:rPr>
          <w:rFonts w:ascii="Times New Roman" w:hAnsi="Times New Roman"/>
          <w:b w:val="false"/>
          <w:i w:val="false"/>
          <w:color w:val="000000"/>
          <w:sz w:val="16"/>
        </w:rPr>
        <w:t xml:space="preserve">; </w:t>
      </w:r>
      <w:r>
        <w:rPr>
          <w:rFonts w:ascii="Times New Roman" w:hAnsi="Times New Roman"/>
          <w:b/>
          <w:i w:val="false"/>
          <w:color w:val="000000"/>
          <w:sz w:val="16"/>
        </w:rPr>
        <w:t>ARC 0633C</w:t>
      </w:r>
      <w:r>
        <w:rPr>
          <w:rFonts w:ascii="Times New Roman" w:hAnsi="Times New Roman"/>
          <w:b w:val="false"/>
          <w:i w:val="false"/>
          <w:color w:val="000000"/>
          <w:sz w:val="16"/>
        </w:rPr>
        <w:t>, IAB 3/6/13, effective 5/1/13</w:t>
      </w:r>
      <w:r>
        <w:rPr>
          <w:rFonts w:ascii="Times New Roman" w:hAnsi="Times New Roman"/>
          <w:b w:val="false"/>
          <w:i w:val="false"/>
          <w:color w:val="000000"/>
          <w:sz w:val="16"/>
        </w:rPr>
        <w:t xml:space="preserve">; </w:t>
      </w:r>
      <w:r>
        <w:rPr>
          <w:rFonts w:ascii="Times New Roman" w:hAnsi="Times New Roman"/>
          <w:b/>
          <w:i w:val="false"/>
          <w:color w:val="000000"/>
          <w:sz w:val="16"/>
        </w:rPr>
        <w:t>ARC 1268C</w:t>
      </w:r>
      <w:r>
        <w:rPr>
          <w:rFonts w:ascii="Times New Roman" w:hAnsi="Times New Roman"/>
          <w:b w:val="false"/>
          <w:i w:val="false"/>
          <w:color w:val="000000"/>
          <w:sz w:val="16"/>
        </w:rPr>
        <w:t>, IAB 1/8/14,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1352C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1813C</w:t>
      </w:r>
      <w:r>
        <w:rPr>
          <w:rFonts w:ascii="Times New Roman" w:hAnsi="Times New Roman"/>
          <w:b w:val="false"/>
          <w:i w:val="false"/>
          <w:color w:val="000000"/>
          <w:sz w:val="16"/>
        </w:rPr>
        <w:t>, IAB 1/7/15, effective 1/1/15</w:t>
      </w:r>
      <w:r>
        <w:rPr>
          <w:rFonts w:ascii="Times New Roman" w:hAnsi="Times New Roman"/>
          <w:b w:val="false"/>
          <w:i w:val="false"/>
          <w:color w:val="000000"/>
          <w:sz w:val="16"/>
        </w:rPr>
        <w:t xml:space="preserve">; </w:t>
      </w:r>
      <w:r>
        <w:rPr>
          <w:rFonts w:ascii="Times New Roman" w:hAnsi="Times New Roman"/>
          <w:b/>
          <w:i w:val="false"/>
          <w:color w:val="000000"/>
          <w:sz w:val="16"/>
        </w:rPr>
        <w:t>ARC 1892C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 xml:space="preserve">; </w:t>
      </w:r>
      <w:r>
        <w:rPr>
          <w:rFonts w:ascii="Times New Roman" w:hAnsi="Times New Roman"/>
          <w:b/>
          <w:i w:val="false"/>
          <w:color w:val="000000"/>
          <w:sz w:val="16"/>
        </w:rPr>
        <w:t>ARC 2891C</w:t>
      </w:r>
      <w:r>
        <w:rPr>
          <w:rFonts w:ascii="Times New Roman" w:hAnsi="Times New Roman"/>
          <w:b w:val="false"/>
          <w:i w:val="false"/>
          <w:color w:val="000000"/>
          <w:sz w:val="16"/>
        </w:rPr>
        <w:t>, IAB 1/4/17, effective 1/1/17</w:t>
      </w:r>
      <w:r>
        <w:rPr>
          <w:rFonts w:ascii="Times New Roman" w:hAnsi="Times New Roman"/>
          <w:b w:val="false"/>
          <w:i w:val="false"/>
          <w:color w:val="000000"/>
          <w:sz w:val="16"/>
        </w:rPr>
        <w:t xml:space="preserve">; </w:t>
      </w:r>
      <w:r>
        <w:rPr>
          <w:rFonts w:ascii="Times New Roman" w:hAnsi="Times New Roman"/>
          <w:b/>
          <w:i w:val="false"/>
          <w:color w:val="000000"/>
          <w:sz w:val="16"/>
        </w:rPr>
        <w:t>ARC 2958C</w:t>
      </w:r>
      <w:r>
        <w:rPr>
          <w:rFonts w:ascii="Times New Roman" w:hAnsi="Times New Roman"/>
          <w:b w:val="false"/>
          <w:i w:val="false"/>
          <w:color w:val="000000"/>
          <w:sz w:val="16"/>
        </w:rPr>
        <w:t>, IAB 3/1/17, effective 4/5/17</w:t>
      </w:r>
      <w:r>
        <w:rPr>
          <w:rFonts w:ascii="Times New Roman" w:hAnsi="Times New Roman"/>
          <w:b w:val="false"/>
          <w:i w:val="false"/>
          <w:color w:val="000000"/>
          <w:sz w:val="16"/>
        </w:rPr>
        <w:t xml:space="preserve">; </w:t>
      </w:r>
      <w:r>
        <w:rPr>
          <w:rFonts w:ascii="Times New Roman" w:hAnsi="Times New Roman"/>
          <w:b/>
          <w:i w:val="false"/>
          <w:color w:val="000000"/>
          <w:sz w:val="16"/>
        </w:rPr>
        <w:t>ARC 3599C</w:t>
      </w:r>
      <w:r>
        <w:rPr>
          <w:rFonts w:ascii="Times New Roman" w:hAnsi="Times New Roman"/>
          <w:b w:val="false"/>
          <w:i w:val="false"/>
          <w:color w:val="000000"/>
          <w:sz w:val="16"/>
        </w:rPr>
        <w:t>, IAB 1/31/18, effective 1/5/18</w:t>
      </w:r>
      <w:r>
        <w:rPr>
          <w:rFonts w:ascii="Times New Roman" w:hAnsi="Times New Roman"/>
          <w:b w:val="false"/>
          <w:i w:val="false"/>
          <w:color w:val="000000"/>
          <w:sz w:val="16"/>
        </w:rPr>
        <w:t xml:space="preserve">; </w:t>
      </w:r>
      <w:r>
        <w:rPr>
          <w:rFonts w:ascii="Times New Roman" w:hAnsi="Times New Roman"/>
          <w:b/>
          <w:i w:val="false"/>
          <w:color w:val="000000"/>
          <w:sz w:val="16"/>
        </w:rPr>
        <w:t>ARC 3715C</w:t>
      </w:r>
      <w:r>
        <w:rPr>
          <w:rFonts w:ascii="Times New Roman" w:hAnsi="Times New Roman"/>
          <w:b w:val="false"/>
          <w:i w:val="false"/>
          <w:color w:val="000000"/>
          <w:sz w:val="16"/>
        </w:rPr>
        <w:t>, IAB 3/28/18, effective 5/2/18</w:t>
      </w:r>
      <w:r>
        <w:rPr>
          <w:rFonts w:ascii="Times New Roman" w:hAnsi="Times New Roman"/>
          <w:b w:val="false"/>
          <w:i w:val="false"/>
          <w:color w:val="000000"/>
          <w:sz w:val="16"/>
        </w:rPr>
        <w:t xml:space="preserve">; </w:t>
      </w:r>
      <w:r>
        <w:rPr>
          <w:rFonts w:ascii="Times New Roman" w:hAnsi="Times New Roman"/>
          <w:b/>
          <w:i w:val="false"/>
          <w:color w:val="000000"/>
          <w:sz w:val="16"/>
        </w:rPr>
        <w:t>ARC 4220C</w:t>
      </w:r>
      <w:r>
        <w:rPr>
          <w:rFonts w:ascii="Times New Roman" w:hAnsi="Times New Roman"/>
          <w:b w:val="false"/>
          <w:i w:val="false"/>
          <w:color w:val="000000"/>
          <w:sz w:val="16"/>
        </w:rPr>
        <w:t>, IAB 1/2/19, effective 1/1/19</w:t>
      </w:r>
      <w:r>
        <w:rPr>
          <w:rFonts w:ascii="Times New Roman" w:hAnsi="Times New Roman"/>
          <w:b w:val="false"/>
          <w:i w:val="false"/>
          <w:color w:val="000000"/>
          <w:sz w:val="16"/>
        </w:rPr>
        <w:t xml:space="preserve">; </w:t>
      </w:r>
      <w:r>
        <w:rPr>
          <w:rFonts w:ascii="Times New Roman" w:hAnsi="Times New Roman"/>
          <w:b/>
          <w:i w:val="false"/>
          <w:color w:val="000000"/>
          <w:sz w:val="16"/>
        </w:rPr>
        <w:t>ARC 4336C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441—51.8</w:t>
      </w:r>
      <w:r>
        <w:rPr>
          <w:rFonts w:ascii="Times New Roman" w:hAnsi="Times New Roman"/>
          <w:b/>
          <w:i w:val="false"/>
          <w:color w:val="000000"/>
          <w:sz w:val="22"/>
        </w:rPr>
        <w:t xml:space="preserve">(249) </w:t>
      </w:r>
      <w:r>
        <w:rPr>
          <w:rFonts w:ascii="Times New Roman" w:hAnsi="Times New Roman"/>
          <w:b/>
          <w:i w:val="false"/>
          <w:color w:val="000000"/>
          <w:sz w:val="22"/>
        </w:rPr>
        <w:t xml:space="preserve">Furnishing of social security number. </w:t>
      </w:r>
      <w:r>
        <w:rPr>
          <w:rFonts w:ascii="Times New Roman" w:hAnsi="Times New Roman"/>
          <w:b w:val="false"/>
          <w:i w:val="false"/>
          <w:color w:val="000000"/>
          <w:sz w:val="22"/>
        </w:rPr>
        <w:t>As a condition of eligibility applicants or recipients of state supplementary assistance must furnish their social security account numbers or proof of application for the numbers if they have not been issued or are not known and provide their numbers upon receipt.</w:t>
      </w:r>
    </w:p>
    <w:p>
      <w:pPr>
        <w:spacing w:before="0" w:after="0"/>
        <w:ind w:left="120"/>
        <w:jc w:val="both"/>
      </w:pPr>
      <w:r>
        <w:rPr>
          <w:rFonts w:ascii="Times New Roman" w:hAnsi="Times New Roman"/>
          <w:b w:val="false"/>
          <w:i w:val="false"/>
          <w:color w:val="000000"/>
          <w:sz w:val="22"/>
        </w:rPr>
        <w:t>Assistance shall not be denied, delayed, or discontinued pending the issuance or verification of the numbers when the applicants or recipients are cooperating in providing information necessary for issuance of their social security numbers.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249.3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249.4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441—51.9</w:t>
      </w:r>
      <w:r>
        <w:rPr>
          <w:rFonts w:ascii="Times New Roman" w:hAnsi="Times New Roman"/>
          <w:b/>
          <w:i w:val="false"/>
          <w:color w:val="000000"/>
          <w:sz w:val="22"/>
        </w:rPr>
        <w:t xml:space="preserve">(249) </w:t>
      </w:r>
      <w:r>
        <w:rPr>
          <w:rFonts w:ascii="Times New Roman" w:hAnsi="Times New Roman"/>
          <w:b/>
          <w:i w:val="false"/>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overpayment” </w:t>
      </w:r>
      <w:r>
        <w:rPr>
          <w:rFonts w:ascii="Times New Roman" w:hAnsi="Times New Roman"/>
          <w:b w:val="false"/>
          <w:i w:val="false"/>
          <w:color w:val="000000"/>
          <w:sz w:val="22"/>
        </w:rPr>
        <w:t>means assistance incorrectly paid to or for the client because of continuing assistance during the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error” </w:t>
      </w:r>
      <w:r>
        <w:rPr>
          <w:rFonts w:ascii="Times New Roman" w:hAnsi="Times New Roman"/>
          <w:b w:val="false"/>
          <w:i w:val="false"/>
          <w:color w:val="000000"/>
          <w:sz w:val="22"/>
        </w:rPr>
        <w:t>means assistance incorrectly paid to or for the client because of action attributed to the department as the result of one or more of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Misfiling or loss of forms or documents.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Errors in typing or copying.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Computer input errors.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Mathematical errors.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determine eligibility correctly or to certify assistance in the correct amount when all essential information was available to the local office.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make prompt revisions in payment following changes in policies requiring the changes as of a specific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 person who has been determined eligible and is a current or former recipient of state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error” </w:t>
      </w:r>
      <w:r>
        <w:rPr>
          <w:rFonts w:ascii="Times New Roman" w:hAnsi="Times New Roman"/>
          <w:b w:val="false"/>
          <w:i w:val="false"/>
          <w:color w:val="000000"/>
          <w:sz w:val="22"/>
        </w:rPr>
        <w:t xml:space="preserve">means assistance incorrectly paid to or for the client because the client or client’s representative failed to disclose information, or gave false or misleading statements, oral or written, regarding the client’s income, resources, or other eligibility and benefit factors. It also means assistance incorrectly paid to or for the client because of failure by the client or client’s representative to timely report changes as described in </w:t>
      </w:r>
      <w:hyperlink r:id="rId18">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51.9(2)</w:t>
      </w:r>
      <w:r>
        <w:rPr>
          <w:rFonts w:ascii="Times New Roman" w:hAnsi="Times New Roman"/>
          <w:b w:val="false"/>
          <w:i w:val="false"/>
          <w:color w:val="000000"/>
          <w:sz w:val="22"/>
        </w:rPr>
        <w:t> </w:t>
      </w:r>
      <w:r>
        <w:rPr>
          <w:rFonts w:ascii="Times New Roman" w:hAnsi="Times New Roman"/>
          <w:b w:val="false"/>
          <w:i/>
          <w:color w:val="000000"/>
          <w:sz w:val="22"/>
        </w:rPr>
        <w:t xml:space="preserve">Amount subject to recovery. </w:t>
      </w:r>
      <w:r>
        <w:rPr>
          <w:rFonts w:ascii="Times New Roman" w:hAnsi="Times New Roman"/>
          <w:b w:val="false"/>
          <w:i w:val="false"/>
          <w:color w:val="000000"/>
          <w:sz w:val="22"/>
        </w:rPr>
        <w:t>The department shall recover from a client all state supplementary assistance funds incorrectly expended to or on behalf of the client, or when conditional benefits have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also shall seek to recover the state supplementary assistance granted during the period of time that conditional benefits were correctly granted the client under the policies of the supplemental security income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incorrect expenditures may result from client or agency error, or administrative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51.9(3)</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All clients shall be promptly notified when it is determined that assistance was incorrectly expended. Notification shall include for whom assistance was paid; the time period during which assistance was incorrectly paid; the amount of assistance subject to recovery, when known; and the reason for the incorrect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51.9(4)</w:t>
      </w:r>
      <w:r>
        <w:rPr>
          <w:rFonts w:ascii="Times New Roman" w:hAnsi="Times New Roman"/>
          <w:b w:val="false"/>
          <w:i w:val="false"/>
          <w:color w:val="000000"/>
          <w:sz w:val="22"/>
        </w:rPr>
        <w:t> </w:t>
      </w:r>
      <w:r>
        <w:rPr>
          <w:rFonts w:ascii="Times New Roman" w:hAnsi="Times New Roman"/>
          <w:b w:val="false"/>
          <w:i/>
          <w:color w:val="000000"/>
          <w:sz w:val="22"/>
        </w:rPr>
        <w:t xml:space="preserve">Source of recovery. </w:t>
      </w:r>
      <w:r>
        <w:rPr>
          <w:rFonts w:ascii="Times New Roman" w:hAnsi="Times New Roman"/>
          <w:b w:val="false"/>
          <w:i w:val="false"/>
          <w:color w:val="000000"/>
          <w:sz w:val="22"/>
        </w:rPr>
        <w:t>Recovery shall be made from the client or from parents of children under the age of 21 when the parents completed the application and had responsibility for reporting changes. Recovery must come from income, resources, the estate, income tax refunds, and lottery winnings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51.9(5)</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The repayment of incorrectly expended state supplementary assistance funds shall be made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client shall have the right to appeal the amount of funds subject to recovery under the provisions of </w:t>
      </w:r>
      <w:hyperlink r:id="rId1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249.3</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249.4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6774C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12/17/76, Notice 11/3/76—published 1/12/77, effective 3/1/77]</w:t>
      </w:r>
    </w:p>
    <w:p>
      <w:pPr>
        <w:spacing w:before="0" w:after="0"/>
        <w:ind w:left="120"/>
        <w:jc w:val="center"/>
      </w:pPr>
      <w:r>
        <w:rPr>
          <w:rFonts w:ascii="Times New Roman" w:hAnsi="Times New Roman"/>
          <w:b w:val="false"/>
          <w:i w:val="false"/>
          <w:color w:val="000000"/>
          <w:sz w:val="21"/>
        </w:rPr>
        <w:t>[Filed emergency 5/24/77—published 6/15/77 effective 7/1/77]</w:t>
      </w:r>
    </w:p>
    <w:p>
      <w:pPr>
        <w:spacing w:before="0" w:after="0"/>
        <w:ind w:left="120"/>
        <w:jc w:val="center"/>
      </w:pPr>
      <w:r>
        <w:rPr>
          <w:rFonts w:ascii="Times New Roman" w:hAnsi="Times New Roman"/>
          <w:b w:val="false"/>
          <w:i w:val="false"/>
          <w:color w:val="000000"/>
          <w:sz w:val="21"/>
        </w:rPr>
        <w:t>[Filed 3/27/78, Notice 2/8/78—published 4/19/78, effective 5/24/78]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7/17/78, Notice 5/31/78—published 8/9/78, effective 9/13/78]</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6/30/81, Notice 4/29/81—published 7/22/81, effective 9/1/81]</w:t>
      </w:r>
    </w:p>
    <w:p>
      <w:pPr>
        <w:spacing w:before="0" w:after="0"/>
        <w:ind w:left="120"/>
        <w:jc w:val="center"/>
      </w:pPr>
      <w:r>
        <w:rPr>
          <w:rFonts w:ascii="Times New Roman" w:hAnsi="Times New Roman"/>
          <w:b w:val="false"/>
          <w:i w:val="false"/>
          <w:color w:val="000000"/>
          <w:sz w:val="21"/>
        </w:rPr>
        <w:t>[Filed 10/23/81, Notice 9/2/81—published 11/11/81, effective 1/1/82]</w:t>
      </w:r>
    </w:p>
    <w:p>
      <w:pPr>
        <w:spacing w:before="0" w:after="0"/>
        <w:ind w:left="120"/>
        <w:jc w:val="center"/>
      </w:pPr>
      <w:r>
        <w:rPr>
          <w:rFonts w:ascii="Times New Roman" w:hAnsi="Times New Roman"/>
          <w:b w:val="false"/>
          <w:i w:val="false"/>
          <w:color w:val="000000"/>
          <w:sz w:val="21"/>
        </w:rPr>
        <w:t>[Filed 11/20/81, Notice 9/30/81—published 12/9/81, effective 2/1/82]</w:t>
      </w:r>
    </w:p>
    <w:p>
      <w:pPr>
        <w:spacing w:before="0" w:after="0"/>
        <w:ind w:left="120"/>
        <w:jc w:val="center"/>
      </w:pPr>
      <w:r>
        <w:rPr>
          <w:rFonts w:ascii="Times New Roman" w:hAnsi="Times New Roman"/>
          <w:b w:val="false"/>
          <w:i w:val="false"/>
          <w:color w:val="000000"/>
          <w:sz w:val="21"/>
        </w:rPr>
        <w:t>[Filed emergency 9/23/82—published 10/13/82, effective 9/23/82]</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11/18/83, after Notice 10/12/83—published 12/7/83, effective 1/1/84]</w:t>
      </w:r>
    </w:p>
    <w:p>
      <w:pPr>
        <w:spacing w:before="0" w:after="0"/>
        <w:ind w:left="120"/>
        <w:jc w:val="center"/>
      </w:pPr>
      <w:r>
        <w:rPr>
          <w:rFonts w:ascii="Times New Roman" w:hAnsi="Times New Roman"/>
          <w:b w:val="false"/>
          <w:i w:val="false"/>
          <w:color w:val="000000"/>
          <w:sz w:val="21"/>
        </w:rPr>
        <w:t>[Filed emergency 12/11/84—published 1/2/85, effective 1/1/85]</w:t>
      </w:r>
    </w:p>
    <w:p>
      <w:pPr>
        <w:spacing w:before="0" w:after="0"/>
        <w:ind w:left="120"/>
        <w:jc w:val="center"/>
      </w:pPr>
      <w:r>
        <w:rPr>
          <w:rFonts w:ascii="Times New Roman" w:hAnsi="Times New Roman"/>
          <w:b w:val="false"/>
          <w:i w:val="false"/>
          <w:color w:val="000000"/>
          <w:sz w:val="21"/>
        </w:rPr>
        <w:t>[Filed without Notice 1/22/85—published 2/13/85, effective 4/1/85]</w:t>
      </w:r>
    </w:p>
    <w:p>
      <w:pPr>
        <w:spacing w:before="0" w:after="0"/>
        <w:ind w:left="120"/>
        <w:jc w:val="center"/>
      </w:pPr>
      <w:r>
        <w:rPr>
          <w:rFonts w:ascii="Times New Roman" w:hAnsi="Times New Roman"/>
          <w:b w:val="false"/>
          <w:i w:val="false"/>
          <w:color w:val="000000"/>
          <w:sz w:val="21"/>
        </w:rPr>
        <w:t>[Filed 3/22/85, Notice 2/13/85—published 4/10/85, effective 6/1/85]</w:t>
      </w:r>
    </w:p>
    <w:p>
      <w:pPr>
        <w:spacing w:before="0" w:after="0"/>
        <w:ind w:left="120"/>
        <w:jc w:val="center"/>
      </w:pPr>
      <w:r>
        <w:rPr>
          <w:rFonts w:ascii="Times New Roman" w:hAnsi="Times New Roman"/>
          <w:b w:val="false"/>
          <w:i w:val="false"/>
          <w:color w:val="000000"/>
          <w:sz w:val="21"/>
        </w:rPr>
        <w:t>[Filed emergency 12/2/85—published 12/18/85, effective 1/1/86]</w:t>
      </w:r>
    </w:p>
    <w:p>
      <w:pPr>
        <w:spacing w:before="0" w:after="0"/>
        <w:ind w:left="120"/>
        <w:jc w:val="center"/>
      </w:pPr>
      <w:r>
        <w:rPr>
          <w:rFonts w:ascii="Times New Roman" w:hAnsi="Times New Roman"/>
          <w:b w:val="false"/>
          <w:i w:val="false"/>
          <w:color w:val="000000"/>
          <w:sz w:val="21"/>
        </w:rPr>
        <w:t>[Filed 4/29/86, Notice 3/12/86—published 5/21/86, effective 8/1/86]</w:t>
      </w:r>
    </w:p>
    <w:p>
      <w:pPr>
        <w:spacing w:before="0" w:after="0"/>
        <w:ind w:left="120"/>
        <w:jc w:val="center"/>
      </w:pPr>
      <w:r>
        <w:rPr>
          <w:rFonts w:ascii="Times New Roman" w:hAnsi="Times New Roman"/>
          <w:b w:val="false"/>
          <w:i w:val="false"/>
          <w:color w:val="000000"/>
          <w:sz w:val="21"/>
        </w:rPr>
        <w:t>[Filed emergency 12/22/86—published 1/14/87, effective 1/1/87]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12/10/87—published 12/30/87, effective 1/1/88]</w:t>
      </w:r>
    </w:p>
    <w:p>
      <w:pPr>
        <w:spacing w:before="0" w:after="0"/>
        <w:ind w:left="120"/>
        <w:jc w:val="center"/>
      </w:pPr>
      <w:r>
        <w:rPr>
          <w:rFonts w:ascii="Times New Roman" w:hAnsi="Times New Roman"/>
          <w:b w:val="false"/>
          <w:i w:val="false"/>
          <w:color w:val="000000"/>
          <w:sz w:val="21"/>
        </w:rPr>
        <w:t>[Filed emergency 12/8/88—published 12/28/88, effective 1/1/89]</w:t>
      </w:r>
    </w:p>
    <w:p>
      <w:pPr>
        <w:spacing w:before="0" w:after="0"/>
        <w:ind w:left="120"/>
        <w:jc w:val="center"/>
      </w:pPr>
      <w:r>
        <w:rPr>
          <w:rFonts w:ascii="Times New Roman" w:hAnsi="Times New Roman"/>
          <w:b w:val="false"/>
          <w:i w:val="false"/>
          <w:color w:val="000000"/>
          <w:sz w:val="21"/>
        </w:rPr>
        <w:t>[Filed emergency 11/16/89—published 12/13/89, effective 1/1/90]</w:t>
      </w:r>
    </w:p>
    <w:p>
      <w:pPr>
        <w:spacing w:before="0" w:after="0"/>
        <w:ind w:left="120"/>
        <w:jc w:val="center"/>
      </w:pPr>
      <w:r>
        <w:rPr>
          <w:rFonts w:ascii="Times New Roman" w:hAnsi="Times New Roman"/>
          <w:b w:val="false"/>
          <w:i w:val="false"/>
          <w:color w:val="000000"/>
          <w:sz w:val="21"/>
        </w:rPr>
        <w:t>[Filed 2/16/90, Notice 12/13/89—published 3/7/90, effective 5/1/90]</w:t>
      </w:r>
    </w:p>
    <w:p>
      <w:pPr>
        <w:spacing w:before="0" w:after="0"/>
        <w:ind w:left="120"/>
        <w:jc w:val="center"/>
      </w:pPr>
      <w:r>
        <w:rPr>
          <w:rFonts w:ascii="Times New Roman" w:hAnsi="Times New Roman"/>
          <w:b w:val="false"/>
          <w:i w:val="false"/>
          <w:color w:val="000000"/>
          <w:sz w:val="21"/>
        </w:rPr>
        <w:t>[Filed emergency 12/13/90—published 1/9/91, effective 1/1/91]</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2/14/91, Notice 1/9/91—published 3/6/91, effective 5/1/91]</w:t>
      </w:r>
    </w:p>
    <w:p>
      <w:pPr>
        <w:spacing w:before="0" w:after="0"/>
        <w:ind w:left="120"/>
        <w:jc w:val="center"/>
      </w:pPr>
      <w:r>
        <w:rPr>
          <w:rFonts w:ascii="Times New Roman" w:hAnsi="Times New Roman"/>
          <w:b w:val="false"/>
          <w:i w:val="false"/>
          <w:color w:val="000000"/>
          <w:sz w:val="21"/>
        </w:rPr>
        <w:t>[Filed 4/11/91, Notice 3/6/91—published 5/1/91, effective 7/1/91]</w:t>
      </w:r>
    </w:p>
    <w:p>
      <w:pPr>
        <w:spacing w:before="0" w:after="0"/>
        <w:ind w:left="120"/>
        <w:jc w:val="center"/>
      </w:pPr>
      <w:r>
        <w:rPr>
          <w:rFonts w:ascii="Times New Roman" w:hAnsi="Times New Roman"/>
          <w:b w:val="false"/>
          <w:i w:val="false"/>
          <w:color w:val="000000"/>
          <w:sz w:val="21"/>
        </w:rPr>
        <w:t>[Filed emergency 12/11/91—published 1/8/92, effective 1/1/92]</w:t>
      </w:r>
    </w:p>
    <w:p>
      <w:pPr>
        <w:spacing w:before="0" w:after="0"/>
        <w:ind w:left="120"/>
        <w:jc w:val="center"/>
      </w:pPr>
      <w:r>
        <w:rPr>
          <w:rFonts w:ascii="Times New Roman" w:hAnsi="Times New Roman"/>
          <w:b w:val="false"/>
          <w:i w:val="false"/>
          <w:color w:val="000000"/>
          <w:sz w:val="21"/>
        </w:rPr>
        <w:t>[Filed 2/13/92, Notices 12/25/91, 1/8/92—published 3/4/92, effective 5/1/92]</w:t>
      </w:r>
    </w:p>
    <w:p>
      <w:pPr>
        <w:spacing w:before="0" w:after="0"/>
        <w:ind w:left="120"/>
        <w:jc w:val="center"/>
      </w:pPr>
      <w:r>
        <w:rPr>
          <w:rFonts w:ascii="Times New Roman" w:hAnsi="Times New Roman"/>
          <w:b w:val="false"/>
          <w:i w:val="false"/>
          <w:color w:val="000000"/>
          <w:sz w:val="21"/>
        </w:rPr>
        <w:t>[Filed emergency 12/1/92—published 12/23/92, effective 1/1/93]</w:t>
      </w:r>
    </w:p>
    <w:p>
      <w:pPr>
        <w:spacing w:before="0" w:after="0"/>
        <w:ind w:left="120"/>
        <w:jc w:val="center"/>
      </w:pPr>
      <w:r>
        <w:rPr>
          <w:rFonts w:ascii="Times New Roman" w:hAnsi="Times New Roman"/>
          <w:b w:val="false"/>
          <w:i w:val="false"/>
          <w:color w:val="000000"/>
          <w:sz w:val="21"/>
        </w:rPr>
        <w:t>[Filed 2/10/93, Notice 12/23/92—published 3/3/93, effective 5/1/93]</w:t>
      </w:r>
    </w:p>
    <w:p>
      <w:pPr>
        <w:spacing w:before="0" w:after="0"/>
        <w:ind w:left="120"/>
        <w:jc w:val="center"/>
      </w:pPr>
      <w:r>
        <w:rPr>
          <w:rFonts w:ascii="Times New Roman" w:hAnsi="Times New Roman"/>
          <w:b w:val="false"/>
          <w:i w:val="false"/>
          <w:color w:val="000000"/>
          <w:sz w:val="21"/>
        </w:rPr>
        <w:t>[Filed emergency 12/16/93—published 1/5/94, effective 1/1/94]</w:t>
      </w:r>
    </w:p>
    <w:p>
      <w:pPr>
        <w:spacing w:before="0" w:after="0"/>
        <w:ind w:left="120"/>
        <w:jc w:val="center"/>
      </w:pPr>
      <w:r>
        <w:rPr>
          <w:rFonts w:ascii="Times New Roman" w:hAnsi="Times New Roman"/>
          <w:b w:val="false"/>
          <w:i w:val="false"/>
          <w:color w:val="000000"/>
          <w:sz w:val="21"/>
        </w:rPr>
        <w:t>[Filed 12/16/93, Notice 10/27/93—published 1/5/94, effective 3/1/94]</w:t>
      </w:r>
    </w:p>
    <w:p>
      <w:pPr>
        <w:spacing w:before="0" w:after="0"/>
        <w:ind w:left="120"/>
        <w:jc w:val="center"/>
      </w:pPr>
      <w:r>
        <w:rPr>
          <w:rFonts w:ascii="Times New Roman" w:hAnsi="Times New Roman"/>
          <w:b w:val="false"/>
          <w:i w:val="false"/>
          <w:color w:val="000000"/>
          <w:sz w:val="21"/>
        </w:rPr>
        <w:t>[Filed 2/10/94, Notice 1/5/94—published 3/2/94, effective 5/1/94]</w:t>
      </w:r>
    </w:p>
    <w:p>
      <w:pPr>
        <w:spacing w:before="0" w:after="0"/>
        <w:ind w:left="120"/>
        <w:jc w:val="center"/>
      </w:pPr>
      <w:r>
        <w:rPr>
          <w:rFonts w:ascii="Times New Roman" w:hAnsi="Times New Roman"/>
          <w:b w:val="false"/>
          <w:i w:val="false"/>
          <w:color w:val="000000"/>
          <w:sz w:val="21"/>
        </w:rPr>
        <w:t>[Filed emergency 12/15/94—published 1/4/95, effective 1/1/95]</w:t>
      </w:r>
    </w:p>
    <w:p>
      <w:pPr>
        <w:spacing w:before="0" w:after="0"/>
        <w:ind w:left="120"/>
        <w:jc w:val="center"/>
      </w:pPr>
      <w:r>
        <w:rPr>
          <w:rFonts w:ascii="Times New Roman" w:hAnsi="Times New Roman"/>
          <w:b w:val="false"/>
          <w:i w:val="false"/>
          <w:color w:val="000000"/>
          <w:sz w:val="21"/>
        </w:rPr>
        <w:t>[Filed 2/16/95, Notice 1/4/95—published 3/15/95, effective 5/1/95]</w:t>
      </w:r>
    </w:p>
    <w:p>
      <w:pPr>
        <w:spacing w:before="0" w:after="0"/>
        <w:ind w:left="120"/>
        <w:jc w:val="center"/>
      </w:pPr>
      <w:r>
        <w:rPr>
          <w:rFonts w:ascii="Times New Roman" w:hAnsi="Times New Roman"/>
          <w:b w:val="false"/>
          <w:i w:val="false"/>
          <w:color w:val="000000"/>
          <w:sz w:val="21"/>
        </w:rPr>
        <w:t>[Filed emergency 12/12/95—published 1/3/96, effective 1/1/96]</w:t>
      </w:r>
    </w:p>
    <w:p>
      <w:pPr>
        <w:spacing w:before="0" w:after="0"/>
        <w:ind w:left="120"/>
        <w:jc w:val="center"/>
      </w:pPr>
      <w:r>
        <w:rPr>
          <w:rFonts w:ascii="Times New Roman" w:hAnsi="Times New Roman"/>
          <w:b w:val="false"/>
          <w:i w:val="false"/>
          <w:color w:val="000000"/>
          <w:sz w:val="21"/>
        </w:rPr>
        <w:t>[Filed 2/14/96, Notice 1/3/96—published 3/13/96, effective 5/1/96]</w:t>
      </w:r>
    </w:p>
    <w:p>
      <w:pPr>
        <w:spacing w:before="0" w:after="0"/>
        <w:ind w:left="120"/>
        <w:jc w:val="center"/>
      </w:pPr>
      <w:r>
        <w:rPr>
          <w:rFonts w:ascii="Times New Roman" w:hAnsi="Times New Roman"/>
          <w:b w:val="false"/>
          <w:i w:val="false"/>
          <w:color w:val="000000"/>
          <w:sz w:val="21"/>
        </w:rPr>
        <w:t>[Filed emergency 12/12/96—published 1/1/97, effective 1/1/97]</w:t>
      </w:r>
    </w:p>
    <w:p>
      <w:pPr>
        <w:spacing w:before="0" w:after="0"/>
        <w:ind w:left="120"/>
        <w:jc w:val="center"/>
      </w:pPr>
      <w:r>
        <w:rPr>
          <w:rFonts w:ascii="Times New Roman" w:hAnsi="Times New Roman"/>
          <w:b w:val="false"/>
          <w:i w:val="false"/>
          <w:color w:val="000000"/>
          <w:sz w:val="21"/>
        </w:rPr>
        <w:t>[Filed 2/12/97, Notice 1/1/97—published 3/12/97, effective 5/1/97]</w:t>
      </w:r>
    </w:p>
    <w:p>
      <w:pPr>
        <w:spacing w:before="0" w:after="0"/>
        <w:ind w:left="120"/>
        <w:jc w:val="center"/>
      </w:pPr>
      <w:r>
        <w:rPr>
          <w:rFonts w:ascii="Times New Roman" w:hAnsi="Times New Roman"/>
          <w:b w:val="false"/>
          <w:i w:val="false"/>
          <w:color w:val="000000"/>
          <w:sz w:val="21"/>
        </w:rPr>
        <w:t>[Filed emergency 12/10/97—published 12/31/97, effective 1/1/98]</w:t>
      </w:r>
    </w:p>
    <w:p>
      <w:pPr>
        <w:spacing w:before="0" w:after="0"/>
        <w:ind w:left="120"/>
        <w:jc w:val="center"/>
      </w:pPr>
      <w:r>
        <w:rPr>
          <w:rFonts w:ascii="Times New Roman" w:hAnsi="Times New Roman"/>
          <w:b w:val="false"/>
          <w:i w:val="false"/>
          <w:color w:val="000000"/>
          <w:sz w:val="21"/>
        </w:rPr>
        <w:t>[Filed 2/11/98, Notice 12/31/97—published 3/11/98, effective 5/1/98]</w:t>
      </w:r>
    </w:p>
    <w:p>
      <w:pPr>
        <w:spacing w:before="0" w:after="0"/>
        <w:ind w:left="120"/>
        <w:jc w:val="center"/>
      </w:pPr>
      <w:r>
        <w:rPr>
          <w:rFonts w:ascii="Times New Roman" w:hAnsi="Times New Roman"/>
          <w:b w:val="false"/>
          <w:i w:val="false"/>
          <w:color w:val="000000"/>
          <w:sz w:val="21"/>
        </w:rPr>
        <w:t>[Filed emergency 12/9/98—published 12/30/98, effective 1/1/99]</w:t>
      </w:r>
    </w:p>
    <w:p>
      <w:pPr>
        <w:spacing w:before="0" w:after="0"/>
        <w:ind w:left="120"/>
        <w:jc w:val="center"/>
      </w:pPr>
      <w:r>
        <w:rPr>
          <w:rFonts w:ascii="Times New Roman" w:hAnsi="Times New Roman"/>
          <w:b w:val="false"/>
          <w:i w:val="false"/>
          <w:color w:val="000000"/>
          <w:sz w:val="21"/>
        </w:rPr>
        <w:t>[Filed 2/10/99, Notice 12/30/98—published 3/10/99, effective 4/15/99]</w:t>
      </w:r>
    </w:p>
    <w:p>
      <w:pPr>
        <w:spacing w:before="0" w:after="0"/>
        <w:ind w:left="120"/>
        <w:jc w:val="center"/>
      </w:pPr>
      <w:r>
        <w:rPr>
          <w:rFonts w:ascii="Times New Roman" w:hAnsi="Times New Roman"/>
          <w:b w:val="false"/>
          <w:i w:val="false"/>
          <w:color w:val="000000"/>
          <w:sz w:val="21"/>
        </w:rPr>
        <w:t>[Filed emergency 12/8/99—published 12/29/99, effective 1/1/00]</w:t>
      </w:r>
    </w:p>
    <w:p>
      <w:pPr>
        <w:spacing w:before="0" w:after="0"/>
        <w:ind w:left="120"/>
        <w:jc w:val="center"/>
      </w:pPr>
      <w:r>
        <w:rPr>
          <w:rFonts w:ascii="Times New Roman" w:hAnsi="Times New Roman"/>
          <w:b w:val="false"/>
          <w:i w:val="false"/>
          <w:color w:val="000000"/>
          <w:sz w:val="21"/>
        </w:rPr>
        <w:t>[Filed 2/9/00, Notice 12/29/99—published 3/8/00, effective 5/1/00]</w:t>
      </w:r>
    </w:p>
    <w:p>
      <w:pPr>
        <w:spacing w:before="0" w:after="0"/>
        <w:ind w:left="120"/>
        <w:jc w:val="center"/>
      </w:pPr>
      <w:r>
        <w:rPr>
          <w:rFonts w:ascii="Times New Roman" w:hAnsi="Times New Roman"/>
          <w:b w:val="false"/>
          <w:i w:val="false"/>
          <w:color w:val="000000"/>
          <w:sz w:val="21"/>
        </w:rPr>
        <w:t>[Filed emergency 12/14/00—published 1/10/01, effective 1/1/01]</w:t>
      </w:r>
    </w:p>
    <w:p>
      <w:pPr>
        <w:spacing w:before="0" w:after="0"/>
        <w:ind w:left="120"/>
        <w:jc w:val="center"/>
      </w:pPr>
      <w:r>
        <w:rPr>
          <w:rFonts w:ascii="Times New Roman" w:hAnsi="Times New Roman"/>
          <w:b w:val="false"/>
          <w:i w:val="false"/>
          <w:color w:val="000000"/>
          <w:sz w:val="21"/>
        </w:rPr>
        <w:t>[Filed 2/14/01, Notice 1/10/01—published 3/7/01, effective 5/1/01]</w:t>
      </w:r>
    </w:p>
    <w:p>
      <w:pPr>
        <w:spacing w:before="0" w:after="0"/>
        <w:ind w:left="120"/>
        <w:jc w:val="center"/>
      </w:pPr>
      <w:r>
        <w:rPr>
          <w:rFonts w:ascii="Times New Roman" w:hAnsi="Times New Roman"/>
          <w:b w:val="false"/>
          <w:i w:val="false"/>
          <w:color w:val="000000"/>
          <w:sz w:val="21"/>
        </w:rPr>
        <w:t>[Filed emergency 12/12/01—published 1/9/02, effective 1/1/02]</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emergency 5/9/02—published 5/29/02, effective 6/1/02]</w:t>
      </w:r>
    </w:p>
    <w:p>
      <w:pPr>
        <w:spacing w:before="0" w:after="0"/>
        <w:ind w:left="120"/>
        <w:jc w:val="center"/>
      </w:pPr>
      <w:r>
        <w:rPr>
          <w:rFonts w:ascii="Times New Roman" w:hAnsi="Times New Roman"/>
          <w:b w:val="false"/>
          <w:i w:val="false"/>
          <w:color w:val="000000"/>
          <w:sz w:val="21"/>
        </w:rPr>
        <w:t>[Filed 7/15/02, Notice 5/29/02—published 8/7/02, effective 10/1/02]</w:t>
      </w:r>
    </w:p>
    <w:p>
      <w:pPr>
        <w:spacing w:before="0" w:after="0"/>
        <w:ind w:left="120"/>
        <w:jc w:val="center"/>
      </w:pPr>
      <w:r>
        <w:rPr>
          <w:rFonts w:ascii="Times New Roman" w:hAnsi="Times New Roman"/>
          <w:b w:val="false"/>
          <w:i w:val="false"/>
          <w:color w:val="000000"/>
          <w:sz w:val="21"/>
        </w:rPr>
        <w:t>[Filed emergency 12/12/02—published 1/8/03, effective 1/1/03]</w:t>
      </w:r>
    </w:p>
    <w:p>
      <w:pPr>
        <w:spacing w:before="0" w:after="0"/>
        <w:ind w:left="120"/>
        <w:jc w:val="center"/>
      </w:pPr>
      <w:r>
        <w:rPr>
          <w:rFonts w:ascii="Times New Roman" w:hAnsi="Times New Roman"/>
          <w:b w:val="false"/>
          <w:i w:val="false"/>
          <w:color w:val="000000"/>
          <w:sz w:val="21"/>
        </w:rPr>
        <w:t>[Filed emergency 11/19/03—published 12/10/03, effective 1/1/04]</w:t>
      </w:r>
    </w:p>
    <w:p>
      <w:pPr>
        <w:spacing w:before="0" w:after="0"/>
        <w:ind w:left="120"/>
        <w:jc w:val="center"/>
      </w:pPr>
      <w:r>
        <w:rPr>
          <w:rFonts w:ascii="Times New Roman" w:hAnsi="Times New Roman"/>
          <w:b w:val="false"/>
          <w:i w:val="false"/>
          <w:color w:val="000000"/>
          <w:sz w:val="21"/>
        </w:rPr>
        <w:t>[Filed emergency 8/12/04 after Notice 6/23/04—published 9/1/04, effective 8/12/04]</w:t>
      </w:r>
    </w:p>
    <w:p>
      <w:pPr>
        <w:spacing w:before="0" w:after="0"/>
        <w:ind w:left="120"/>
        <w:jc w:val="center"/>
      </w:pPr>
      <w:r>
        <w:rPr>
          <w:rFonts w:ascii="Times New Roman" w:hAnsi="Times New Roman"/>
          <w:b w:val="false"/>
          <w:i w:val="false"/>
          <w:color w:val="000000"/>
          <w:sz w:val="21"/>
        </w:rPr>
        <w:t>[Filed emergency 12/14/04—published 1/5/05, effective 1/1/05]</w:t>
      </w:r>
    </w:p>
    <w:p>
      <w:pPr>
        <w:spacing w:before="0" w:after="0"/>
        <w:ind w:left="120"/>
        <w:jc w:val="center"/>
      </w:pPr>
      <w:r>
        <w:rPr>
          <w:rFonts w:ascii="Times New Roman" w:hAnsi="Times New Roman"/>
          <w:b w:val="false"/>
          <w:i w:val="false"/>
          <w:color w:val="000000"/>
          <w:sz w:val="21"/>
        </w:rPr>
        <w:t>[Filed 2/10/05, Notice 1/5/05—published 3/2/05, effective 4/6/05]</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emergency 12/14/05—published 1/4/06, effective 1/1/06]</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emergency 12/13/06—published 1/3/07, effective 1/1/07]</w:t>
      </w:r>
    </w:p>
    <w:p>
      <w:pPr>
        <w:spacing w:before="0" w:after="0"/>
        <w:ind w:left="120"/>
        <w:jc w:val="center"/>
      </w:pPr>
      <w:r>
        <w:rPr>
          <w:rFonts w:ascii="Times New Roman" w:hAnsi="Times New Roman"/>
          <w:b w:val="false"/>
          <w:i w:val="false"/>
          <w:color w:val="000000"/>
          <w:sz w:val="21"/>
        </w:rPr>
        <w:t>[Filed 3/14/07, Notice 1/3/07—published 4/11/07, effective 5/16/07]</w:t>
      </w:r>
    </w:p>
    <w:p>
      <w:pPr>
        <w:spacing w:before="0" w:after="0"/>
        <w:ind w:left="120"/>
        <w:jc w:val="center"/>
      </w:pPr>
      <w:r>
        <w:rPr>
          <w:rFonts w:ascii="Times New Roman" w:hAnsi="Times New Roman"/>
          <w:b w:val="false"/>
          <w:i w:val="false"/>
          <w:color w:val="000000"/>
          <w:sz w:val="21"/>
        </w:rPr>
        <w:t>[Filed emergency 12/12/07—published 1/2/08, effective 1/1/08]</w:t>
      </w:r>
    </w:p>
    <w:p>
      <w:pPr>
        <w:spacing w:before="0" w:after="0"/>
        <w:ind w:left="120"/>
        <w:jc w:val="center"/>
      </w:pPr>
      <w:r>
        <w:rPr>
          <w:rFonts w:ascii="Times New Roman" w:hAnsi="Times New Roman"/>
          <w:b w:val="false"/>
          <w:i w:val="false"/>
          <w:color w:val="000000"/>
          <w:sz w:val="21"/>
        </w:rPr>
        <w:t>[Filed 3/12/08, Notice 1/2/08—published 4/9/08, effective 5/14/08]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7605B</w:t>
      </w:r>
      <w:r>
        <w:rPr>
          <w:rFonts w:ascii="Times New Roman" w:hAnsi="Times New Roman"/>
          <w:b w:val="false"/>
          <w:i w:val="false"/>
          <w:color w:val="000000"/>
          <w:sz w:val="21"/>
        </w:rPr>
        <w:t xml:space="preserve"> (Notice ARC 7472B, IAB 12/31/08)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Emergency ARC 9965B, IAB 1/11/12, effective 1/1/12]</w:t>
      </w:r>
    </w:p>
    <w:p>
      <w:pPr>
        <w:spacing w:before="0" w:after="0"/>
        <w:ind w:left="120"/>
        <w:jc w:val="center"/>
      </w:pPr>
      <w:r>
        <w:rPr>
          <w:rFonts w:ascii="Times New Roman" w:hAnsi="Times New Roman"/>
          <w:b w:val="false"/>
          <w:i w:val="false"/>
          <w:color w:val="000000"/>
          <w:sz w:val="21"/>
        </w:rPr>
        <w:t>[Filed ARC 0064C</w:t>
      </w:r>
      <w:r>
        <w:rPr>
          <w:rFonts w:ascii="Times New Roman" w:hAnsi="Times New Roman"/>
          <w:b w:val="false"/>
          <w:i w:val="false"/>
          <w:color w:val="000000"/>
          <w:sz w:val="21"/>
        </w:rPr>
        <w:t xml:space="preserve"> (Notice ARC 9964B, IAB 1/11/12)</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Emergency ARC 0489C, IAB 12/12/12, effective 1/1/13]</w:t>
      </w:r>
    </w:p>
    <w:p>
      <w:pPr>
        <w:spacing w:before="0" w:after="0"/>
        <w:ind w:left="120"/>
        <w:jc w:val="center"/>
      </w:pPr>
      <w:r>
        <w:rPr>
          <w:rFonts w:ascii="Times New Roman" w:hAnsi="Times New Roman"/>
          <w:b w:val="false"/>
          <w:i w:val="false"/>
          <w:color w:val="000000"/>
          <w:sz w:val="21"/>
        </w:rPr>
        <w:t>[Filed ARC 0633C</w:t>
      </w:r>
      <w:r>
        <w:rPr>
          <w:rFonts w:ascii="Times New Roman" w:hAnsi="Times New Roman"/>
          <w:b w:val="false"/>
          <w:i w:val="false"/>
          <w:color w:val="000000"/>
          <w:sz w:val="21"/>
        </w:rPr>
        <w:t xml:space="preserve"> (Notice ARC 0488C, IAB 12/12/12)</w:t>
      </w:r>
      <w:r>
        <w:rPr>
          <w:rFonts w:ascii="Times New Roman" w:hAnsi="Times New Roman"/>
          <w:b w:val="false"/>
          <w:i w:val="false"/>
          <w:color w:val="000000"/>
          <w:sz w:val="21"/>
        </w:rPr>
        <w:t>, IAB 3/6/13, effective 5/1/13]</w:t>
      </w:r>
    </w:p>
    <w:p>
      <w:pPr>
        <w:spacing w:before="0" w:after="0"/>
        <w:ind w:left="120"/>
        <w:jc w:val="center"/>
      </w:pPr>
      <w:r>
        <w:rPr>
          <w:rFonts w:ascii="Times New Roman" w:hAnsi="Times New Roman"/>
          <w:b w:val="false"/>
          <w:i w:val="false"/>
          <w:color w:val="000000"/>
          <w:sz w:val="21"/>
        </w:rPr>
        <w:t>[Filed Emergency ARC 1268C, IAB 1/8/14, effective 1/1/14]</w:t>
      </w:r>
    </w:p>
    <w:p>
      <w:pPr>
        <w:spacing w:before="0" w:after="0"/>
        <w:ind w:left="120"/>
        <w:jc w:val="center"/>
      </w:pPr>
      <w:r>
        <w:rPr>
          <w:rFonts w:ascii="Times New Roman" w:hAnsi="Times New Roman"/>
          <w:b w:val="false"/>
          <w:i w:val="false"/>
          <w:color w:val="000000"/>
          <w:sz w:val="21"/>
        </w:rPr>
        <w:t>[Filed ARC 1352C</w:t>
      </w:r>
      <w:r>
        <w:rPr>
          <w:rFonts w:ascii="Times New Roman" w:hAnsi="Times New Roman"/>
          <w:b w:val="false"/>
          <w:i w:val="false"/>
          <w:color w:val="000000"/>
          <w:sz w:val="21"/>
        </w:rPr>
        <w:t xml:space="preserve"> (Notice ARC 1267C, IAB 1/8/14)</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Emergency ARC 1813C, IAB 1/7/15, effective 1/1/15]</w:t>
      </w:r>
    </w:p>
    <w:p>
      <w:pPr>
        <w:spacing w:before="0" w:after="0"/>
        <w:ind w:left="120"/>
        <w:jc w:val="center"/>
      </w:pPr>
      <w:r>
        <w:rPr>
          <w:rFonts w:ascii="Times New Roman" w:hAnsi="Times New Roman"/>
          <w:b w:val="false"/>
          <w:i w:val="false"/>
          <w:color w:val="000000"/>
          <w:sz w:val="21"/>
        </w:rPr>
        <w:t>[Filed ARC 1892C</w:t>
      </w:r>
      <w:r>
        <w:rPr>
          <w:rFonts w:ascii="Times New Roman" w:hAnsi="Times New Roman"/>
          <w:b w:val="false"/>
          <w:i w:val="false"/>
          <w:color w:val="000000"/>
          <w:sz w:val="21"/>
        </w:rPr>
        <w:t xml:space="preserve"> (Notice ARC 1812C, IAB 1/7/15)</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Emergency ARC 2891C, IAB 1/4/17, effective 1/1/17]</w:t>
      </w:r>
    </w:p>
    <w:p>
      <w:pPr>
        <w:spacing w:before="0" w:after="0"/>
        <w:ind w:left="120"/>
        <w:jc w:val="center"/>
      </w:pPr>
      <w:r>
        <w:rPr>
          <w:rFonts w:ascii="Times New Roman" w:hAnsi="Times New Roman"/>
          <w:b w:val="false"/>
          <w:i w:val="false"/>
          <w:color w:val="000000"/>
          <w:sz w:val="21"/>
        </w:rPr>
        <w:t>[Filed ARC 2958C</w:t>
      </w:r>
      <w:r>
        <w:rPr>
          <w:rFonts w:ascii="Times New Roman" w:hAnsi="Times New Roman"/>
          <w:b w:val="false"/>
          <w:i w:val="false"/>
          <w:color w:val="000000"/>
          <w:sz w:val="21"/>
        </w:rPr>
        <w:t xml:space="preserve"> (Notice ARC 2890C, IAB 1/4/17)</w:t>
      </w:r>
      <w:r>
        <w:rPr>
          <w:rFonts w:ascii="Times New Roman" w:hAnsi="Times New Roman"/>
          <w:b w:val="false"/>
          <w:i w:val="false"/>
          <w:color w:val="000000"/>
          <w:sz w:val="21"/>
        </w:rPr>
        <w:t>, IAB 3/1/17, effective 4/5/17]</w:t>
      </w:r>
    </w:p>
    <w:p>
      <w:pPr>
        <w:spacing w:before="0" w:after="0"/>
        <w:ind w:left="120"/>
        <w:jc w:val="center"/>
      </w:pPr>
      <w:r>
        <w:rPr>
          <w:rFonts w:ascii="Times New Roman" w:hAnsi="Times New Roman"/>
          <w:b w:val="false"/>
          <w:i w:val="false"/>
          <w:color w:val="000000"/>
          <w:sz w:val="21"/>
        </w:rPr>
        <w:t>[Filed Emergency ARC 3599C, IAB 1/31/18, effective 1/5/18]</w:t>
      </w:r>
    </w:p>
    <w:p>
      <w:pPr>
        <w:spacing w:before="0" w:after="0"/>
        <w:ind w:left="120"/>
        <w:jc w:val="center"/>
      </w:pPr>
      <w:r>
        <w:rPr>
          <w:rFonts w:ascii="Times New Roman" w:hAnsi="Times New Roman"/>
          <w:b w:val="false"/>
          <w:i w:val="false"/>
          <w:color w:val="000000"/>
          <w:sz w:val="21"/>
        </w:rPr>
        <w:t>[Filed ARC 3715C</w:t>
      </w:r>
      <w:r>
        <w:rPr>
          <w:rFonts w:ascii="Times New Roman" w:hAnsi="Times New Roman"/>
          <w:b w:val="false"/>
          <w:i w:val="false"/>
          <w:color w:val="000000"/>
          <w:sz w:val="21"/>
        </w:rPr>
        <w:t xml:space="preserve"> (Notice ARC 3596C, IAB 1/31/18)</w:t>
      </w:r>
      <w:r>
        <w:rPr>
          <w:rFonts w:ascii="Times New Roman" w:hAnsi="Times New Roman"/>
          <w:b w:val="false"/>
          <w:i w:val="false"/>
          <w:color w:val="000000"/>
          <w:sz w:val="21"/>
        </w:rPr>
        <w:t>, IAB 3/28/18, effective 5/2/18]</w:t>
      </w:r>
    </w:p>
    <w:p>
      <w:pPr>
        <w:spacing w:before="0" w:after="0"/>
        <w:ind w:left="120"/>
        <w:jc w:val="center"/>
      </w:pPr>
      <w:r>
        <w:rPr>
          <w:rFonts w:ascii="Times New Roman" w:hAnsi="Times New Roman"/>
          <w:b w:val="false"/>
          <w:i w:val="false"/>
          <w:color w:val="000000"/>
          <w:sz w:val="21"/>
        </w:rPr>
        <w:t>[Filed Emergency ARC 4220C, IAB 1/2/19, effective 1/1/19]</w:t>
      </w:r>
    </w:p>
    <w:p>
      <w:pPr>
        <w:spacing w:before="0" w:after="0"/>
        <w:ind w:left="120"/>
        <w:jc w:val="center"/>
      </w:pPr>
      <w:r>
        <w:rPr>
          <w:rFonts w:ascii="Times New Roman" w:hAnsi="Times New Roman"/>
          <w:b w:val="false"/>
          <w:i w:val="false"/>
          <w:color w:val="000000"/>
          <w:sz w:val="21"/>
        </w:rPr>
        <w:t>[Filed ARC 4336C</w:t>
      </w:r>
      <w:r>
        <w:rPr>
          <w:rFonts w:ascii="Times New Roman" w:hAnsi="Times New Roman"/>
          <w:b w:val="false"/>
          <w:i w:val="false"/>
          <w:color w:val="000000"/>
          <w:sz w:val="21"/>
        </w:rPr>
        <w:t xml:space="preserve"> (Notice ARC 4219C, IAB 1/2/19)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6774C</w:t>
      </w:r>
      <w:r>
        <w:rPr>
          <w:rFonts w:ascii="Times New Roman" w:hAnsi="Times New Roman"/>
          <w:b w:val="false"/>
          <w:i w:val="false"/>
          <w:color w:val="000000"/>
          <w:sz w:val="21"/>
        </w:rPr>
        <w:t xml:space="preserve"> (Notice ARC 6586C, IAB 10/5/22)</w:t>
      </w:r>
      <w:r>
        <w:rPr>
          <w:rFonts w:ascii="Times New Roman" w:hAnsi="Times New Roman"/>
          <w:b w:val="false"/>
          <w:i w:val="false"/>
          <w:color w:val="000000"/>
          <w:sz w:val="21"/>
        </w:rPr>
        <w:t>, IAB 12/28/22, effective 2/1/23]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9.3.pdf" Type="http://schemas.openxmlformats.org/officeDocument/2006/relationships/hyperlink" Id="rId5"/>
    <Relationship TargetMode="External" Target="https://www.legis.iowa.gov/docs/iac/rule/441.52.1.pdf" Type="http://schemas.openxmlformats.org/officeDocument/2006/relationships/hyperlink" Id="rId6"/>
    <Relationship TargetMode="External" Target="https://www.legis.iowa.gov/docs/iac/rule/441.52.1.pdf" Type="http://schemas.openxmlformats.org/officeDocument/2006/relationships/hyperlink" Id="rId7"/>
    <Relationship TargetMode="External" Target="https://www.legis.iowa.gov/docs/ico/chapter/249.3.pdf" Type="http://schemas.openxmlformats.org/officeDocument/2006/relationships/hyperlink" Id="rId8"/>
    <Relationship TargetMode="External" Target="https://www.legis.iowa.gov/docs/ico/chapter/249.3.pdf" Type="http://schemas.openxmlformats.org/officeDocument/2006/relationships/hyperlink" Id="rId9"/>
    <Relationship TargetMode="External" Target="https://www.legis.iowa.gov/docs/ico/chapter/249.4.pdf" Type="http://schemas.openxmlformats.org/officeDocument/2006/relationships/hyperlink" Id="rId10"/>
    <Relationship TargetMode="External" Target="https://www.legis.iowa.gov/docs/ico/chapter/249.3.pdf" Type="http://schemas.openxmlformats.org/officeDocument/2006/relationships/hyperlink" Id="rId11"/>
    <Relationship TargetMode="External" Target="https://www.legis.iowa.gov/docs/ico/chapter/249A.pdf" Type="http://schemas.openxmlformats.org/officeDocument/2006/relationships/hyperlink" Id="rId12"/>
    <Relationship TargetMode="External" Target="https://www.legis.iowa.gov/docs/ico/chapter/249.3.pdf" Type="http://schemas.openxmlformats.org/officeDocument/2006/relationships/hyperlink" Id="rId13"/>
    <Relationship TargetMode="External" Target="https://www.legis.iowa.gov/docs/ico/chapter/249.3.pdf" Type="http://schemas.openxmlformats.org/officeDocument/2006/relationships/hyperlink" Id="rId14"/>
    <Relationship TargetMode="External" Target="https://www.legis.iowa.gov/docs/ico/chapter/249.4.pdf" Type="http://schemas.openxmlformats.org/officeDocument/2006/relationships/hyperlink" Id="rId15"/>
    <Relationship TargetMode="External" Target="https://www.legis.iowa.gov/docs/ico/chapter/249.3.pdf" Type="http://schemas.openxmlformats.org/officeDocument/2006/relationships/hyperlink" Id="rId16"/>
    <Relationship TargetMode="External" Target="https://www.legis.iowa.gov/docs/ico/chapter/249.4.pdf" Type="http://schemas.openxmlformats.org/officeDocument/2006/relationships/hyperlink" Id="rId17"/>
    <Relationship TargetMode="External" Target="https://www.legis.iowa.gov/docs/iac/chapter/441.76.pdf" Type="http://schemas.openxmlformats.org/officeDocument/2006/relationships/hyperlink" Id="rId18"/>
    <Relationship TargetMode="External" Target="https://www.legis.iowa.gov/docs/iac/chapter/441.7.pdf" Type="http://schemas.openxmlformats.org/officeDocument/2006/relationships/hyperlink" Id="rId19"/>
    <Relationship TargetMode="External" Target="https://www.legis.iowa.gov/docs/ico/chapter/249.3.pdf" Type="http://schemas.openxmlformats.org/officeDocument/2006/relationships/hyperlink" Id="rId20"/>
    <Relationship TargetMode="External" Target="https://www.legis.iowa.gov/docs/ico/chapter/249.4.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