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16"/>
        </w:rPr>
        <w:t>TITLE V</w:t>
      </w:r>
    </w:p>
    <w:p>
      <w:pPr>
        <w:pBdr>
          <w:bottom w:space="3"/>
        </w:pBdr>
        <w:spacing w:before="0" w:after="0"/>
        <w:ind w:left="120"/>
        <w:jc w:val="center"/>
      </w:pPr>
      <w:r>
        <w:rPr>
          <w:rFonts w:ascii="Times New Roman" w:hAnsi="Times New Roman"/>
          <w:b w:val="false"/>
          <w:i/>
          <w:color w:val="000000"/>
          <w:sz w:val="16"/>
        </w:rPr>
        <w:t>STATE SUPPLEMENTARY ASSISTANCE</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w:t>
      </w:r>
    </w:p>
    <w:p>
      <w:pPr>
        <w:spacing w:before="0" w:after="0"/>
        <w:ind w:left="120"/>
        <w:jc w:val="center"/>
      </w:pPr>
      <w:r>
        <w:rPr>
          <w:rFonts w:ascii="Times New Roman" w:hAnsi="Times New Roman"/>
          <w:b w:val="false"/>
          <w:i w:val="false"/>
          <w:color w:val="000000"/>
          <w:sz w:val="21"/>
        </w:rPr>
        <w:t>APPLICATION FOR ASSISTANCE</w:t>
      </w:r>
    </w:p>
    <w:p>
      <w:pPr>
        <w:spacing w:before="0" w:after="0"/>
        <w:ind w:left="120"/>
        <w:jc w:val="center"/>
      </w:pPr>
      <w:r>
        <w:rPr>
          <w:rFonts w:ascii="Times New Roman" w:hAnsi="Times New Roman"/>
          <w:b w:val="false"/>
          <w:i w:val="false"/>
          <w:color w:val="000000"/>
          <w:sz w:val="14"/>
        </w:rPr>
        <w:t>[Prior to 7/1/83, Social Services[770] Ch 50]</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441—50.1</w:t>
      </w:r>
      <w:r>
        <w:rPr>
          <w:rFonts w:ascii="Times New Roman" w:hAnsi="Times New Roman"/>
          <w:b/>
          <w:i w:val="false"/>
          <w:color w:val="000000"/>
          <w:sz w:val="22"/>
        </w:rPr>
        <w:t xml:space="preserve">(249)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“Aged” </w:t>
      </w:r>
      <w:r>
        <w:rPr>
          <w:rFonts w:ascii="Times New Roman" w:hAnsi="Times New Roman"/>
          <w:b w:val="false"/>
          <w:i w:val="false"/>
          <w:color w:val="000000"/>
          <w:sz w:val="22"/>
        </w:rPr>
        <w:t>shall mean a person 65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who is requesting state supplementary assistance on the person’s own behalf or a person for whom state supplementary assistance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“Blind” </w:t>
      </w:r>
      <w:r>
        <w:rPr>
          <w:rFonts w:ascii="Times New Roman" w:hAnsi="Times New Roman"/>
          <w:b w:val="false"/>
          <w:i w:val="false"/>
          <w:color w:val="000000"/>
          <w:sz w:val="22"/>
        </w:rPr>
        <w:t>shall mean a person with central visual acuity of 20/200 or less in the better eye with use of corrective lens or visual field restriction to 20 degrees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“Client” </w:t>
      </w:r>
      <w:r>
        <w:rPr>
          <w:rFonts w:ascii="Times New Roman" w:hAnsi="Times New Roman"/>
          <w:b w:val="false"/>
          <w:i w:val="false"/>
          <w:color w:val="000000"/>
          <w:sz w:val="22"/>
        </w:rPr>
        <w:t>means a person who has been determined eligible and is a current or former recipient of state supplementary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“Disabled” </w:t>
      </w:r>
      <w:r>
        <w:rPr>
          <w:rFonts w:ascii="Times New Roman" w:hAnsi="Times New Roman"/>
          <w:b w:val="false"/>
          <w:i w:val="false"/>
          <w:color w:val="000000"/>
          <w:sz w:val="22"/>
        </w:rPr>
        <w:t xml:space="preserve">shall mean that a person is unable to engage in any substantial gainful activity by reason of any medically determinable physical or mental impairment which has lasted or can be expected to last for a continuous period of not less than 12 months or can be expected to result in death. Exception: For the supplement for Medicare and Medicaid eligibles, being engaged in substantial gainful activity shall not preclude a determination of disability. A child under the age of 18 is disabled if the child suffers from any medically determinable physical or mental impairment of comparable severity. For purposes of state-administered payments, the department shall determine disability according to </w:t>
      </w:r>
      <w:hyperlink r:id="rId5">
        <w:r>
          <w:rPr>
            <w:rStyle w:val="Hyperlink"/>
            <w:rFonts w:ascii="Times New Roman" w:hAnsi="Times New Roman"/>
            <w:b w:val="false"/>
            <w:i w:val="false"/>
            <w:color w:val="000000"/>
            <w:sz w:val="22"/>
          </w:rPr>
          <w:t>441—Chapter 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a dependent relative” </w:t>
      </w:r>
      <w:r>
        <w:rPr>
          <w:rFonts w:ascii="Times New Roman" w:hAnsi="Times New Roman"/>
          <w:b w:val="false"/>
          <w:i w:val="false"/>
          <w:color w:val="000000"/>
          <w:sz w:val="22"/>
        </w:rPr>
        <w:t xml:space="preserve">shall mean payment to a recipient on behalf of a dependent relative as defined in Iowa Code section </w:t>
      </w:r>
      <w:hyperlink r:id="rId6">
        <w:r>
          <w:rPr>
            <w:rStyle w:val="Hyperlink"/>
            <w:rFonts w:ascii="Times New Roman" w:hAnsi="Times New Roman"/>
            <w:b w:val="false"/>
            <w:i w:val="false"/>
            <w:color w:val="000000"/>
            <w:sz w:val="22"/>
          </w:rPr>
          <w:t>249.3(3)</w:t>
        </w:r>
      </w:hyperlink>
      <w:r>
        <w:rPr>
          <w:rFonts w:ascii="Times New Roman" w:hAnsi="Times New Roman"/>
          <w:b w:val="false"/>
          <w:i w:val="false"/>
          <w:color w:val="000000"/>
          <w:sz w:val="22"/>
        </w:rPr>
        <w:t xml:space="preserve">. The payment shall be made in accordance with standards established by the department in rule </w:t>
      </w:r>
      <w:hyperlink r:id="rId7">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a protective living arrangement” </w:t>
      </w:r>
      <w:r>
        <w:rPr>
          <w:rFonts w:ascii="Times New Roman" w:hAnsi="Times New Roman"/>
          <w:b w:val="false"/>
          <w:i w:val="false"/>
          <w:color w:val="000000"/>
          <w:sz w:val="22"/>
        </w:rPr>
        <w:t xml:space="preserve">shall mean payment to a recipient living in a family life home. The payment shall be made in accordance with standards established by the department in rule </w:t>
      </w:r>
      <w:hyperlink r:id="rId8">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for residential care” </w:t>
      </w:r>
      <w:r>
        <w:rPr>
          <w:rFonts w:ascii="Times New Roman" w:hAnsi="Times New Roman"/>
          <w:b w:val="false"/>
          <w:i w:val="false"/>
          <w:color w:val="000000"/>
          <w:sz w:val="22"/>
        </w:rPr>
        <w:t xml:space="preserve">shall mean payment to a recipient living in a residential care facility who is determined to be in need of care and payment is made on a per diem basis. The payment shall be made in accordance with standards established by the department in rule </w:t>
      </w:r>
      <w:hyperlink r:id="rId9">
        <w:r>
          <w:rPr>
            <w:rStyle w:val="Hyperlink"/>
            <w:rFonts w:ascii="Times New Roman" w:hAnsi="Times New Roman"/>
            <w:b w:val="false"/>
            <w:i w:val="false"/>
            <w:color w:val="000000"/>
            <w:sz w:val="22"/>
          </w:rPr>
          <w:t>441—52.1</w:t>
        </w:r>
      </w:hyperlink>
      <w:r>
        <w:rPr>
          <w:rFonts w:ascii="Times New Roman" w:hAnsi="Times New Roman"/>
          <w:b w:val="false"/>
          <w:i w:val="false"/>
          <w:color w:val="000000"/>
          <w:sz w:val="22"/>
        </w:rPr>
        <w:t>(249).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0">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441—50.2</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50.2(1)</w:t>
      </w:r>
      <w:r>
        <w:rPr>
          <w:rFonts w:ascii="Times New Roman" w:hAnsi="Times New Roman"/>
          <w:b w:val="false"/>
          <w:i w:val="false"/>
          <w:color w:val="000000"/>
          <w:sz w:val="22"/>
        </w:rPr>
        <w:t> </w:t>
      </w:r>
      <w:r>
        <w:rPr>
          <w:rFonts w:ascii="Times New Roman" w:hAnsi="Times New Roman"/>
          <w:b w:val="false"/>
          <w:i w:val="false"/>
          <w:color w:val="000000"/>
          <w:sz w:val="22"/>
        </w:rPr>
        <w:t xml:space="preserve">In order to be eligible for state supplementary assistance, an aged, blind, or disabled person with need for a living arrangement as defined in Iowa Code section </w:t>
      </w:r>
      <w:hyperlink r:id="rId11">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shall be receiving supplemental security income benefits or shall meet all eligibility requirements for the benefits other than income, but have less income than the standards for the living arrangements as set forth in </w:t>
      </w:r>
      <w:hyperlink r:id="rId12">
        <w:r>
          <w:rPr>
            <w:rStyle w:val="Hyperlink"/>
            <w:rFonts w:ascii="Times New Roman" w:hAnsi="Times New Roman"/>
            <w:b w:val="false"/>
            <w:i w:val="false"/>
            <w:color w:val="000000"/>
            <w:sz w:val="22"/>
          </w:rPr>
          <w:t>441—Chapter 52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441—Chapter 177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Payments for mandatory supplementation, blind allowance, dependent relative allowance, and the family life home program shall be federally administered. Income excluded in determining eligibility for or the amount of a supplemental security income benefit shall be excluded in determining eligibility for or the amount of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Payments for in-home, health-related care and residential care shall be state administered. Income excluded in determining eligibility for or the amount of a supplemental security income benefit, except the $20 exclusion of any income, shall be excluded in determining eligibility for or the amount of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Payments for supplements for Medicare and Medicaid eligibles shall be state-administered. Income excluded in determining eligibility for the person’s Medicaid coverage group shall be excluded in determining eligibility for the state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50.2(2)</w:t>
      </w:r>
      <w:r>
        <w:rPr>
          <w:rFonts w:ascii="Times New Roman" w:hAnsi="Times New Roman"/>
          <w:b w:val="false"/>
          <w:i w:val="false"/>
          <w:color w:val="000000"/>
          <w:sz w:val="22"/>
        </w:rPr>
        <w:t> </w:t>
      </w:r>
      <w:r>
        <w:rPr>
          <w:rFonts w:ascii="Times New Roman" w:hAnsi="Times New Roman"/>
          <w:b w:val="false"/>
          <w:i w:val="false"/>
          <w:color w:val="000000"/>
          <w:sz w:val="22"/>
        </w:rPr>
        <w:t>Any person applying for payment for a protective living arrangement or payment for a dependent relative shall make application for supplemental security income at the Social Security Administration district office. The county office of the department of human services shall certify to the Social Security Administration as to the nature of the living arrangement or the status of the dependent.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50.2(3)</w:t>
      </w:r>
      <w:r>
        <w:rPr>
          <w:rFonts w:ascii="Times New Roman" w:hAnsi="Times New Roman"/>
          <w:b w:val="false"/>
          <w:i w:val="false"/>
          <w:color w:val="000000"/>
          <w:sz w:val="22"/>
        </w:rPr>
        <w:t> </w:t>
      </w:r>
      <w:r>
        <w:rPr>
          <w:rFonts w:ascii="Times New Roman" w:hAnsi="Times New Roman"/>
          <w:b w:val="false"/>
          <w:i w:val="false"/>
          <w:color w:val="000000"/>
          <w:sz w:val="22"/>
        </w:rPr>
        <w:t>Any person applying for payment for residential care, a dependent person allowance, payment for a protective living arrangement, or in-home health-related care shall make application with the department of human services.</w:t>
      </w:r>
    </w:p>
    <w:p>
      <w:pPr>
        <w:spacing w:before="0" w:after="0"/>
        <w:ind w:left="120"/>
        <w:jc w:val="both"/>
      </w:pPr>
      <w:r>
        <w:rPr>
          <w:rFonts w:ascii="Times New Roman" w:hAnsi="Times New Roman"/>
          <w:b w:val="false"/>
          <w:i w:val="false"/>
          <w:color w:val="000000"/>
          <w:sz w:val="22"/>
        </w:rPr>
        <w:t>The application shall be made on Form 470-5170 or 470-5170(S). The application shall be signed by the applicant or the authorized representative. Someone acting responsibly for an incapacitated, incompetent, or deceased person may sign the application on the person’s behalf.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wishing to do so shall have the opportunity to apply for assistance without delay.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may be assisted by an authorized representative, as defined in rule </w:t>
      </w:r>
      <w:hyperlink r:id="rId14">
        <w:r>
          <w:rPr>
            <w:rStyle w:val="Hyperlink"/>
            <w:rFonts w:ascii="Times New Roman" w:hAnsi="Times New Roman"/>
            <w:b w:val="false"/>
            <w:i w:val="false"/>
            <w:color w:val="000000"/>
            <w:sz w:val="22"/>
          </w:rPr>
          <w:t>441—76.1</w:t>
        </w:r>
      </w:hyperlink>
      <w:r>
        <w:rPr>
          <w:rFonts w:ascii="Times New Roman" w:hAnsi="Times New Roman"/>
          <w:b w:val="false"/>
          <w:i w:val="false"/>
          <w:color w:val="000000"/>
          <w:sz w:val="22"/>
        </w:rPr>
        <w:t xml:space="preserve">(249). If the applicant is unable to act on the applicant’s own behalf, a responsible person may act on the applicant’s behalf pursuant to rule </w:t>
      </w:r>
      <w:hyperlink r:id="rId15">
        <w:r>
          <w:rPr>
            <w:rStyle w:val="Hyperlink"/>
            <w:rFonts w:ascii="Times New Roman" w:hAnsi="Times New Roman"/>
            <w:b w:val="false"/>
            <w:i w:val="false"/>
            <w:color w:val="000000"/>
            <w:sz w:val="22"/>
          </w:rPr>
          <w:t>441—76.9</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shall notify the applicant in writing of additional information or verification that is required to establish eligibility for assistance. Failure of the applicant to supply the information or refusal to authorize the department to secure the information from other sources shall serve as a basis for denial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for Medicaid from a person who meets the requirements of rule </w:t>
      </w:r>
      <w:hyperlink r:id="rId16">
        <w:r>
          <w:rPr>
            <w:rStyle w:val="Hyperlink"/>
            <w:rFonts w:ascii="Times New Roman" w:hAnsi="Times New Roman"/>
            <w:b w:val="false"/>
            <w:i w:val="false"/>
            <w:color w:val="000000"/>
            <w:sz w:val="22"/>
          </w:rPr>
          <w:t>441—51.6</w:t>
        </w:r>
      </w:hyperlink>
      <w:r>
        <w:rPr>
          <w:rFonts w:ascii="Times New Roman" w:hAnsi="Times New Roman"/>
          <w:b w:val="false"/>
          <w:i w:val="false"/>
          <w:color w:val="000000"/>
          <w:sz w:val="22"/>
        </w:rPr>
        <w:t>(249) shall be considered as an application for the supplement for Medicare and Medicaid eligibles.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0544C</w:t>
      </w:r>
      <w:r>
        <w:rPr>
          <w:rFonts w:ascii="Times New Roman" w:hAnsi="Times New Roman"/>
          <w:b w:val="false"/>
          <w:i w:val="false"/>
          <w:color w:val="000000"/>
          <w:sz w:val="16"/>
        </w:rPr>
        <w:t>, IAB 1/9/13, effective 3/1/13</w:t>
      </w:r>
      <w:r>
        <w:rPr>
          <w:rFonts w:ascii="Times New Roman" w:hAnsi="Times New Roman"/>
          <w:b w:val="false"/>
          <w:i w:val="false"/>
          <w:color w:val="000000"/>
          <w:sz w:val="16"/>
        </w:rPr>
        <w:t xml:space="preserve">; </w:t>
      </w:r>
      <w:r>
        <w:rPr>
          <w:rFonts w:ascii="Times New Roman" w:hAnsi="Times New Roman"/>
          <w:b/>
          <w:i w:val="false"/>
          <w:color w:val="000000"/>
          <w:sz w:val="16"/>
        </w:rPr>
        <w:t>ARC 6773C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441—50.3</w:t>
      </w:r>
      <w:r>
        <w:rPr>
          <w:rFonts w:ascii="Times New Roman" w:hAnsi="Times New Roman"/>
          <w:b/>
          <w:i w:val="false"/>
          <w:color w:val="000000"/>
          <w:sz w:val="22"/>
        </w:rPr>
        <w:t xml:space="preserve">(249) </w:t>
      </w:r>
      <w:r>
        <w:rPr>
          <w:rFonts w:ascii="Times New Roman" w:hAnsi="Times New Roman"/>
          <w:b/>
          <w:i w:val="false"/>
          <w:color w:val="000000"/>
          <w:sz w:val="22"/>
        </w:rPr>
        <w:t xml:space="preserve">Approval of application and effective date of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a federally administered payment category when the applicant is not an SSI recipient shall be effective the month following the month that an application is filed or, if later, the month following the month that all eligibility criteria are met, pursuant to </w:t>
      </w:r>
      <w:r>
        <w:rPr>
          <w:rFonts w:ascii="Times New Roman" w:hAnsi="Times New Roman"/>
          <w:b w:val="false"/>
          <w:i w:val="false"/>
          <w:color w:val="000000"/>
          <w:sz w:val="22"/>
        </w:rPr>
        <w:t>42 U.S.C. 1382(c)(7)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Payment for a federally administered payment category when the applicant is an SSI recipient shall be effective as of the first day of the month in which an application is filed or the first day of the month in which all eligibility criteria are met, whichever is later, notwithstanding </w:t>
      </w:r>
      <w:r>
        <w:rPr>
          <w:rFonts w:ascii="Times New Roman" w:hAnsi="Times New Roman"/>
          <w:b w:val="false"/>
          <w:i w:val="false"/>
          <w:color w:val="000000"/>
          <w:sz w:val="22"/>
        </w:rPr>
        <w:t>42 U.S.C. 1382(c)(7)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residential care shall be effective as of the date that eligibility first exists, notwithstanding </w:t>
      </w:r>
      <w:r>
        <w:rPr>
          <w:rFonts w:ascii="Times New Roman" w:hAnsi="Times New Roman"/>
          <w:b w:val="false"/>
          <w:i w:val="false"/>
          <w:color w:val="000000"/>
          <w:sz w:val="22"/>
        </w:rPr>
        <w:t>42 U.S.C. 1382(c)(7)</w:t>
      </w:r>
      <w:r>
        <w:rPr>
          <w:rFonts w:ascii="Times New Roman" w:hAnsi="Times New Roman"/>
          <w:b w:val="false"/>
          <w:i w:val="false"/>
          <w:color w:val="000000"/>
          <w:sz w:val="22"/>
        </w:rPr>
        <w:t>, but in no case shall the effective date be earlier than 30 days prior to the date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50.3(3)</w:t>
      </w:r>
      <w:r>
        <w:rPr>
          <w:rFonts w:ascii="Times New Roman" w:hAnsi="Times New Roman"/>
          <w:b w:val="false"/>
          <w:i w:val="false"/>
          <w:color w:val="000000"/>
          <w:sz w:val="22"/>
        </w:rPr>
        <w:t> </w:t>
      </w:r>
      <w:r>
        <w:rPr>
          <w:rFonts w:ascii="Times New Roman" w:hAnsi="Times New Roman"/>
          <w:b w:val="false"/>
          <w:i w:val="false"/>
          <w:color w:val="000000"/>
          <w:sz w:val="22"/>
        </w:rPr>
        <w:t>The application for residential care shall be approved or denied within five working days after the Social Security Administration approves supplemental security income benefits. When supplemental security income benefits will not be received, the application shall be approved or denied within five working days from the date of establishment of all eligibility factors.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w:t>
      </w:r>
      <w:r>
        <w:rPr>
          <w:rFonts w:ascii="Times New Roman" w:hAnsi="Times New Roman"/>
          <w:b w:val="false"/>
          <w:i w:val="false"/>
          <w:color w:val="000000"/>
          <w:sz w:val="22"/>
        </w:rPr>
        <w:t> </w:t>
      </w:r>
      <w:r>
        <w:rPr>
          <w:rFonts w:ascii="Times New Roman" w:hAnsi="Times New Roman"/>
          <w:b w:val="false"/>
          <w:i w:val="false"/>
          <w:color w:val="000000"/>
          <w:sz w:val="22"/>
        </w:rPr>
        <w:t>Payment for the supplement for Medicare and Medicaid eligibles shall be effective retroactive to October 1, 2003, or to the first month when all eligibility requirements are met,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441—50.4</w:t>
      </w:r>
      <w:r>
        <w:rPr>
          <w:rFonts w:ascii="Times New Roman" w:hAnsi="Times New Roman"/>
          <w:b/>
          <w:i w:val="false"/>
          <w:color w:val="000000"/>
          <w:sz w:val="22"/>
        </w:rPr>
        <w:t xml:space="preserve">(249) </w:t>
      </w:r>
      <w:r>
        <w:rPr>
          <w:rFonts w:ascii="Times New Roman" w:hAnsi="Times New Roman"/>
          <w:b/>
          <w:i w:val="false"/>
          <w:color w:val="000000"/>
          <w:sz w:val="22"/>
        </w:rPr>
        <w:t xml:space="preserve">Reviews.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50.4(1)</w:t>
      </w:r>
      <w:r>
        <w:rPr>
          <w:rFonts w:ascii="Times New Roman" w:hAnsi="Times New Roman"/>
          <w:b w:val="false"/>
          <w:i w:val="false"/>
          <w:color w:val="000000"/>
          <w:sz w:val="22"/>
        </w:rPr>
        <w:t> </w:t>
      </w:r>
      <w:r>
        <w:rPr>
          <w:rFonts w:ascii="Times New Roman" w:hAnsi="Times New Roman"/>
          <w:b w:val="false"/>
          <w:i w:val="false"/>
          <w:color w:val="000000"/>
          <w:sz w:val="22"/>
        </w:rPr>
        <w:t>Any eligibility factor shall be reviewed whenever a change in circumstances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50.4(2)</w:t>
      </w:r>
      <w:r>
        <w:rPr>
          <w:rFonts w:ascii="Times New Roman" w:hAnsi="Times New Roman"/>
          <w:b w:val="false"/>
          <w:i w:val="false"/>
          <w:color w:val="000000"/>
          <w:sz w:val="22"/>
        </w:rPr>
        <w:t> </w:t>
      </w:r>
      <w:r>
        <w:rPr>
          <w:rFonts w:ascii="Times New Roman" w:hAnsi="Times New Roman"/>
          <w:b w:val="false"/>
          <w:i w:val="false"/>
          <w:color w:val="000000"/>
          <w:sz w:val="22"/>
        </w:rPr>
        <w:t>All eligibility factors shall be reviewed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50.4(3)</w:t>
      </w:r>
      <w:r>
        <w:rPr>
          <w:rFonts w:ascii="Times New Roman" w:hAnsi="Times New Roman"/>
          <w:b w:val="false"/>
          <w:i w:val="false"/>
          <w:color w:val="000000"/>
          <w:sz w:val="22"/>
        </w:rPr>
        <w:t> </w:t>
      </w:r>
      <w:r>
        <w:rPr>
          <w:rFonts w:ascii="Times New Roman" w:hAnsi="Times New Roman"/>
          <w:b w:val="false"/>
          <w:i w:val="false"/>
          <w:color w:val="000000"/>
          <w:sz w:val="22"/>
        </w:rPr>
        <w:t>For purposes of an annual review to be performed by the department, the client shall complete and return Form 470-5482, 470-5482(S), 470-5482(M), or 470-5482(MS).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441—50.5</w:t>
      </w:r>
      <w:r>
        <w:rPr>
          <w:rFonts w:ascii="Times New Roman" w:hAnsi="Times New Roman"/>
          <w:b/>
          <w:i w:val="false"/>
          <w:color w:val="000000"/>
          <w:sz w:val="22"/>
        </w:rPr>
        <w:t xml:space="preserve">(249) </w:t>
      </w:r>
      <w:r>
        <w:rPr>
          <w:rFonts w:ascii="Times New Roman" w:hAnsi="Times New Roman"/>
          <w:b/>
          <w:i w:val="false"/>
          <w:color w:val="000000"/>
          <w:sz w:val="22"/>
        </w:rPr>
        <w:t xml:space="preserve">Application under conditional benefits. </w:t>
      </w:r>
      <w:r>
        <w:rPr>
          <w:rFonts w:ascii="Times New Roman" w:hAnsi="Times New Roman"/>
          <w:b w:val="false"/>
          <w:i w:val="false"/>
          <w:color w:val="000000"/>
          <w:sz w:val="22"/>
        </w:rPr>
        <w:t>When the applicant or client is seeking state supplementary assistance (SSA) under the conditional benefit policy of the supplemental security income (SSI) program in accordance with 20 CFR 416.1242 as amended to March 15, 2022, the applicant or client shall be required to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50.5(1)</w:t>
      </w:r>
      <w:r>
        <w:rPr>
          <w:rFonts w:ascii="Times New Roman" w:hAnsi="Times New Roman"/>
          <w:b w:val="false"/>
          <w:i w:val="false"/>
          <w:color w:val="000000"/>
          <w:sz w:val="22"/>
        </w:rPr>
        <w:t> </w:t>
      </w:r>
      <w:r>
        <w:rPr>
          <w:rFonts w:ascii="Times New Roman" w:hAnsi="Times New Roman"/>
          <w:b w:val="false"/>
          <w:i w:val="false"/>
          <w:color w:val="000000"/>
          <w:sz w:val="22"/>
        </w:rPr>
        <w:t>Complete and return Form 470-2909.</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50.5(2)</w:t>
      </w:r>
      <w:r>
        <w:rPr>
          <w:rFonts w:ascii="Times New Roman" w:hAnsi="Times New Roman"/>
          <w:b w:val="false"/>
          <w:i w:val="false"/>
          <w:color w:val="000000"/>
          <w:sz w:val="22"/>
        </w:rPr>
        <w:t> </w:t>
      </w:r>
      <w:r>
        <w:rPr>
          <w:rFonts w:ascii="Times New Roman" w:hAnsi="Times New Roman"/>
          <w:b w:val="false"/>
          <w:i w:val="false"/>
          <w:color w:val="000000"/>
          <w:sz w:val="22"/>
        </w:rPr>
        <w:t>Complete and return Form 470-2908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personal property, every 30 days during the conditional benefits period.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real property, 35 days after conditional benefits are granted and every 60 days thereafter for nine months. If eligibility continues and the real property is not sold, the applicant or client shall complete the form every 90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50.5(3)</w:t>
      </w:r>
      <w:r>
        <w:rPr>
          <w:rFonts w:ascii="Times New Roman" w:hAnsi="Times New Roman"/>
          <w:b w:val="false"/>
          <w:i w:val="false"/>
          <w:color w:val="000000"/>
          <w:sz w:val="22"/>
        </w:rPr>
        <w:t> </w:t>
      </w:r>
      <w:r>
        <w:rPr>
          <w:rFonts w:ascii="Times New Roman" w:hAnsi="Times New Roman"/>
          <w:b w:val="false"/>
          <w:i w:val="false"/>
          <w:color w:val="000000"/>
          <w:sz w:val="22"/>
        </w:rPr>
        <w:t>Sign an agreement to repay the state supplementary assistance granted during the conditional period using Form 470-2835. The amount of repayment is limited to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amount by which the revised value of resources (resources counted at the beginning of the conditional period plus the net value of resources sold) minus both the resource limit and the amount that SSI recovers for conditional benefits.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state supplementary assistance actually paid in the conditional period, minus the amount that SSI recovers for conditional benefits.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0">
        <w:r>
          <w:rPr>
            <w:rStyle w:val="Hyperlink"/>
            <w:rFonts w:ascii="Times New Roman" w:hAnsi="Times New Roman"/>
            <w:b w:val="false"/>
            <w:i w:val="false"/>
            <w:color w:val="000000"/>
            <w:sz w:val="22"/>
          </w:rPr>
          <w:t>249.3</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249.4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6773C</w:t>
      </w:r>
      <w:r>
        <w:rPr>
          <w:rFonts w:ascii="Times New Roman" w:hAnsi="Times New Roman"/>
          <w:b w:val="false"/>
          <w:i w:val="false"/>
          <w:color w:val="000000"/>
          <w:sz w:val="16"/>
        </w:rPr>
        <w:t>, IAB 12/28/22, effective 2/1/23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2/19/76, Notice 1/12/76—published 3/8/76, effective 4/12/76]</w:t>
      </w:r>
    </w:p>
    <w:p>
      <w:pPr>
        <w:spacing w:before="0" w:after="0"/>
        <w:ind w:left="120"/>
        <w:jc w:val="center"/>
      </w:pPr>
      <w:r>
        <w:rPr>
          <w:rFonts w:ascii="Times New Roman" w:hAnsi="Times New Roman"/>
          <w:b w:val="false"/>
          <w:i w:val="false"/>
          <w:color w:val="000000"/>
          <w:sz w:val="21"/>
        </w:rPr>
        <w:t>[Filed 12/17/76, Notice 11/3/76—published 1/12/77, effective 3/1/77]</w:t>
      </w:r>
    </w:p>
    <w:p>
      <w:pPr>
        <w:spacing w:before="0" w:after="0"/>
        <w:ind w:left="120"/>
        <w:jc w:val="center"/>
      </w:pPr>
      <w:r>
        <w:rPr>
          <w:rFonts w:ascii="Times New Roman" w:hAnsi="Times New Roman"/>
          <w:b w:val="false"/>
          <w:i w:val="false"/>
          <w:color w:val="000000"/>
          <w:sz w:val="21"/>
        </w:rPr>
        <w:t>[Filed 3/27/78, Notice 2/8/78—published 4/19/78, effective 5/24/78]</w:t>
      </w:r>
    </w:p>
    <w:p>
      <w:pPr>
        <w:spacing w:before="0" w:after="0"/>
        <w:ind w:left="120"/>
        <w:jc w:val="center"/>
      </w:pPr>
      <w:r>
        <w:rPr>
          <w:rFonts w:ascii="Times New Roman" w:hAnsi="Times New Roman"/>
          <w:b w:val="false"/>
          <w:i w:val="false"/>
          <w:color w:val="000000"/>
          <w:sz w:val="21"/>
        </w:rPr>
        <w:t>[Filed 10/23/80, Notice 9/3/80—published 11/12/80, effective 12/17/80]</w:t>
      </w:r>
    </w:p>
    <w:p>
      <w:pPr>
        <w:spacing w:before="0" w:after="0"/>
        <w:ind w:left="120"/>
        <w:jc w:val="center"/>
      </w:pPr>
      <w:r>
        <w:rPr>
          <w:rFonts w:ascii="Times New Roman" w:hAnsi="Times New Roman"/>
          <w:b w:val="false"/>
          <w:i w:val="false"/>
          <w:color w:val="000000"/>
          <w:sz w:val="21"/>
        </w:rPr>
        <w:t>[Filed 4/23/81, Notice 2/18/81—published 5/13/81, effective 7/1/81]</w:t>
      </w:r>
    </w:p>
    <w:p>
      <w:pPr>
        <w:spacing w:before="0" w:after="0"/>
        <w:ind w:left="120"/>
        <w:jc w:val="center"/>
      </w:pPr>
      <w:r>
        <w:rPr>
          <w:rFonts w:ascii="Times New Roman" w:hAnsi="Times New Roman"/>
          <w:b w:val="false"/>
          <w:i w:val="false"/>
          <w:color w:val="000000"/>
          <w:sz w:val="21"/>
        </w:rPr>
        <w:t>[Filed 10/23/81, Notice 8/19/81—published 11/11/81, effective 1/1/82]</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5/31/84, Notice 4/11/84—published 6/20/84, effective 8/1/84]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8/28/87, Notice 6/17/87—published 9/23/87, effective 11/1/87]</w:t>
      </w:r>
    </w:p>
    <w:p>
      <w:pPr>
        <w:spacing w:before="0" w:after="0"/>
        <w:ind w:left="120"/>
        <w:jc w:val="center"/>
      </w:pPr>
      <w:r>
        <w:rPr>
          <w:rFonts w:ascii="Times New Roman" w:hAnsi="Times New Roman"/>
          <w:b w:val="false"/>
          <w:i w:val="false"/>
          <w:color w:val="000000"/>
          <w:sz w:val="21"/>
        </w:rPr>
        <w:t>[Filed 3/14/91, Notice 1/23/91—published 4/3/91, effective 6/1/91]</w:t>
      </w:r>
    </w:p>
    <w:p>
      <w:pPr>
        <w:spacing w:before="0" w:after="0"/>
        <w:ind w:left="120"/>
        <w:jc w:val="center"/>
      </w:pPr>
      <w:r>
        <w:rPr>
          <w:rFonts w:ascii="Times New Roman" w:hAnsi="Times New Roman"/>
          <w:b w:val="false"/>
          <w:i w:val="false"/>
          <w:color w:val="000000"/>
          <w:sz w:val="21"/>
        </w:rPr>
        <w:t>[Filed without Notice 9/18/91—published 10/16/91, effective 11/21/91]</w:t>
      </w:r>
    </w:p>
    <w:p>
      <w:pPr>
        <w:spacing w:before="0" w:after="0"/>
        <w:ind w:left="120"/>
        <w:jc w:val="center"/>
      </w:pPr>
      <w:r>
        <w:rPr>
          <w:rFonts w:ascii="Times New Roman" w:hAnsi="Times New Roman"/>
          <w:b w:val="false"/>
          <w:i w:val="false"/>
          <w:color w:val="000000"/>
          <w:sz w:val="21"/>
        </w:rPr>
        <w:t>[Filed emergency 10/10/91—published 10/30/91, effective 11/21/91]</w:t>
      </w:r>
    </w:p>
    <w:p>
      <w:pPr>
        <w:spacing w:before="0" w:after="0"/>
        <w:ind w:left="120"/>
        <w:jc w:val="center"/>
      </w:pPr>
      <w:r>
        <w:rPr>
          <w:rFonts w:ascii="Times New Roman" w:hAnsi="Times New Roman"/>
          <w:b w:val="false"/>
          <w:i w:val="false"/>
          <w:color w:val="000000"/>
          <w:sz w:val="21"/>
        </w:rPr>
        <w:t>[Filed 1/29/92, Notice 10/16/91—published 2/19/92, effective 3/25/92]</w:t>
      </w:r>
    </w:p>
    <w:p>
      <w:pPr>
        <w:spacing w:before="0" w:after="0"/>
        <w:ind w:left="120"/>
        <w:jc w:val="center"/>
      </w:pPr>
      <w:r>
        <w:rPr>
          <w:rFonts w:ascii="Times New Roman" w:hAnsi="Times New Roman"/>
          <w:b w:val="false"/>
          <w:i w:val="false"/>
          <w:color w:val="000000"/>
          <w:sz w:val="21"/>
        </w:rPr>
        <w:t>[Filed 2/13/92, Notice 12/25/91—published 3/4/92, effective 5/1/92]</w:t>
      </w:r>
    </w:p>
    <w:p>
      <w:pPr>
        <w:spacing w:before="0" w:after="0"/>
        <w:ind w:left="120"/>
        <w:jc w:val="center"/>
      </w:pPr>
      <w:r>
        <w:rPr>
          <w:rFonts w:ascii="Times New Roman" w:hAnsi="Times New Roman"/>
          <w:b w:val="false"/>
          <w:i w:val="false"/>
          <w:color w:val="000000"/>
          <w:sz w:val="21"/>
        </w:rPr>
        <w:t>[Filed 6/16/94, Notice 4/13/94—published 7/6/94, effective 9/1/94]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2/16/95, Notice 11/23/94—published 3/15/95, effective 5/1/95]</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10/10/01, Notice 8/22/01—published 10/31/01, effective 1/1/02]</w:t>
      </w:r>
    </w:p>
    <w:p>
      <w:pPr>
        <w:spacing w:before="0" w:after="0"/>
        <w:ind w:left="120"/>
        <w:jc w:val="center"/>
      </w:pPr>
      <w:r>
        <w:rPr>
          <w:rFonts w:ascii="Times New Roman" w:hAnsi="Times New Roman"/>
          <w:b w:val="false"/>
          <w:i w:val="false"/>
          <w:color w:val="000000"/>
          <w:sz w:val="21"/>
        </w:rPr>
        <w:t>[Filed emergency 8/12/04 after Notice 6/23/04—published 9/1/04, effective 8/12/04]</w:t>
      </w:r>
    </w:p>
    <w:p>
      <w:pPr>
        <w:spacing w:before="0" w:after="0"/>
        <w:ind w:left="120"/>
        <w:jc w:val="center"/>
      </w:pPr>
      <w:r>
        <w:rPr>
          <w:rFonts w:ascii="Times New Roman" w:hAnsi="Times New Roman"/>
          <w:b w:val="false"/>
          <w:i w:val="false"/>
          <w:color w:val="000000"/>
          <w:sz w:val="21"/>
        </w:rPr>
        <w:t>[Filed emergency 11/16/05—published 12/7/05, effective 12/1/05]</w:t>
      </w:r>
    </w:p>
    <w:p>
      <w:pPr>
        <w:spacing w:before="0" w:after="0"/>
        <w:ind w:left="120"/>
        <w:jc w:val="center"/>
      </w:pPr>
      <w:r>
        <w:rPr>
          <w:rFonts w:ascii="Times New Roman" w:hAnsi="Times New Roman"/>
          <w:b w:val="false"/>
          <w:i w:val="false"/>
          <w:color w:val="000000"/>
          <w:sz w:val="21"/>
        </w:rPr>
        <w:t>[Filed ARC 0544C</w:t>
      </w:r>
      <w:r>
        <w:rPr>
          <w:rFonts w:ascii="Times New Roman" w:hAnsi="Times New Roman"/>
          <w:b w:val="false"/>
          <w:i w:val="false"/>
          <w:color w:val="000000"/>
          <w:sz w:val="21"/>
        </w:rPr>
        <w:t xml:space="preserve"> (Notice ARC 0367C,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ARC 6773C</w:t>
      </w:r>
      <w:r>
        <w:rPr>
          <w:rFonts w:ascii="Times New Roman" w:hAnsi="Times New Roman"/>
          <w:b w:val="false"/>
          <w:i w:val="false"/>
          <w:color w:val="000000"/>
          <w:sz w:val="21"/>
        </w:rPr>
        <w:t xml:space="preserve"> (Notice ARC 6590C, IAB 10/5/22)</w:t>
      </w:r>
      <w:r>
        <w:rPr>
          <w:rFonts w:ascii="Times New Roman" w:hAnsi="Times New Roman"/>
          <w:b w:val="false"/>
          <w:i w:val="false"/>
          <w:color w:val="000000"/>
          <w:sz w:val="21"/>
        </w:rPr>
        <w:t>, IAB 12/28/22, effective 2/1/23]</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75.pdf" Type="http://schemas.openxmlformats.org/officeDocument/2006/relationships/hyperlink" Id="rId5"/>
    <Relationship TargetMode="External" Target="https://www.legis.iowa.gov/docs/ico/chapter/249.3.pdf" Type="http://schemas.openxmlformats.org/officeDocument/2006/relationships/hyperlink" Id="rId6"/>
    <Relationship TargetMode="External" Target="https://www.legis.iowa.gov/docs/iac/rule/441.52.1.pdf" Type="http://schemas.openxmlformats.org/officeDocument/2006/relationships/hyperlink" Id="rId7"/>
    <Relationship TargetMode="External" Target="https://www.legis.iowa.gov/docs/iac/rule/441.52.1.pdf" Type="http://schemas.openxmlformats.org/officeDocument/2006/relationships/hyperlink" Id="rId8"/>
    <Relationship TargetMode="External" Target="https://www.legis.iowa.gov/docs/iac/rule/441.52.1.pdf" Type="http://schemas.openxmlformats.org/officeDocument/2006/relationships/hyperlink" Id="rId9"/>
    <Relationship TargetMode="External" Target="https://www.legis.iowa.gov/docs/ico/chapter/249.3.pdf" Type="http://schemas.openxmlformats.org/officeDocument/2006/relationships/hyperlink" Id="rId10"/>
    <Relationship TargetMode="External" Target="https://www.legis.iowa.gov/docs/ico/chapter/249.3.pdf" Type="http://schemas.openxmlformats.org/officeDocument/2006/relationships/hyperlink" Id="rId11"/>
    <Relationship TargetMode="External" Target="https://www.legis.iowa.gov/docs/iac/chapter/441.52.pdf" Type="http://schemas.openxmlformats.org/officeDocument/2006/relationships/hyperlink" Id="rId12"/>
    <Relationship TargetMode="External" Target="https://www.legis.iowa.gov/docs/iac/chapter/441.177.pdf" Type="http://schemas.openxmlformats.org/officeDocument/2006/relationships/hyperlink" Id="rId13"/>
    <Relationship TargetMode="External" Target="https://www.legis.iowa.gov/docs/iac/rule/441.76.1.pdf" Type="http://schemas.openxmlformats.org/officeDocument/2006/relationships/hyperlink" Id="rId14"/>
    <Relationship TargetMode="External" Target="https://www.legis.iowa.gov/docs/iac/rule/441.76.9.pdf" Type="http://schemas.openxmlformats.org/officeDocument/2006/relationships/hyperlink" Id="rId15"/>
    <Relationship TargetMode="External" Target="https://www.legis.iowa.gov/docs/iac/rule/441.51.6.pdf" Type="http://schemas.openxmlformats.org/officeDocument/2006/relationships/hyperlink" Id="rId16"/>
    <Relationship TargetMode="External" Target="https://www.legis.iowa.gov/docs/ico/chapter/249.4.pdf" Type="http://schemas.openxmlformats.org/officeDocument/2006/relationships/hyperlink" Id="rId17"/>
    <Relationship TargetMode="External" Target="https://www.legis.iowa.gov/docs/ico/chapter/249.4.pdf" Type="http://schemas.openxmlformats.org/officeDocument/2006/relationships/hyperlink" Id="rId18"/>
    <Relationship TargetMode="External" Target="https://www.legis.iowa.gov/docs/ico/chapter/249.4.pdf" Type="http://schemas.openxmlformats.org/officeDocument/2006/relationships/hyperlink" Id="rId19"/>
    <Relationship TargetMode="External" Target="https://www.legis.iowa.gov/docs/ico/chapter/249.3.pdf" Type="http://schemas.openxmlformats.org/officeDocument/2006/relationships/hyperlink" Id="rId20"/>
    <Relationship TargetMode="External" Target="https://www.legis.iowa.gov/docs/ico/chapter/249.4.pdf" Type="http://schemas.openxmlformats.org/officeDocument/2006/relationships/hyperlink" Id="rId21"/>
    <Relationship TargetMode="External" Target="https://www.legis.iowa.gov/docs/ico/chapter/249A.4.pdf" Type="http://schemas.openxmlformats.org/officeDocument/2006/relationships/hyperlink" Id="rId2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