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center"/>
      </w:pPr>
      <w:r>
        <w:rPr>
          <w:rFonts w:ascii="Times New Roman" w:hAnsi="Times New Roman"/>
          <w:b w:val="false"/>
          <w:i w:val="false"/>
          <w:color w:val="000000"/>
          <w:sz w:val="14"/>
        </w:rPr>
        <w:t>[Ch 5, 1973 IDR, renumbered as [770] Ch 79]</w:t>
      </w:r>
    </w:p>
    <w:p>
      <w:pPr>
        <w:spacing w:before="0" w:after="0"/>
        <w:ind w:left="120"/>
        <w:jc w:val="center"/>
      </w:pPr>
      <w:r>
        <w:rPr>
          <w:rFonts w:ascii="Times New Roman" w:hAnsi="Times New Roman"/>
          <w:b w:val="false"/>
          <w:i w:val="false"/>
          <w:color w:val="000000"/>
          <w:sz w:val="14"/>
        </w:rPr>
        <w:t>[Prior to 7/1/83, Social Services[770] Ch 5]</w:t>
      </w:r>
    </w:p>
    <w:p>
      <w:pPr>
        <w:spacing w:before="0" w:after="0"/>
        <w:ind w:left="120"/>
        <w:jc w:val="center"/>
      </w:pPr>
      <w:r>
        <w:rPr>
          <w:rFonts w:ascii="Times New Roman" w:hAnsi="Times New Roman"/>
          <w:b w:val="false"/>
          <w:i w:val="false"/>
          <w:color w:val="000000"/>
          <w:sz w:val="14"/>
        </w:rPr>
        <w:t>[Prior to 2/11/87, Human Services[498]]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left"/>
      </w:pPr>
      <w:r>
        <w:rPr>
          <w:rFonts w:ascii="Times New Roman" w:hAnsi="Times New Roman"/>
          <w:b w:val="false"/>
          <w:i w:val="false"/>
          <w:color w:val="000000"/>
          <w:sz w:val="22"/>
        </w:rPr>
        <w:t xml:space="preserve">The department adopts, with the following exceptions and amendments, the Uniform Rules on Agency Procedure relating to declaratory orders,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 Every instance that lists “designate agency” shall be read as the department of health and human services.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441—5.1</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r>
        <w:rPr>
          <w:rFonts w:ascii="Times New Roman" w:hAnsi="Times New Roman"/>
          <w:b w:val="false"/>
          <w:i w:val="false"/>
          <w:color w:val="000000"/>
          <w:sz w:val="22"/>
        </w:rPr>
        <w:t>In lieu of the words “designate office” insert “compliance division, at the department’s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petition. </w:t>
      </w:r>
      <w:r>
        <w:rPr>
          <w:rFonts w:ascii="Times New Roman" w:hAnsi="Times New Roman"/>
          <w:b w:val="false"/>
          <w:i w:val="false"/>
          <w:color w:val="000000"/>
          <w:sz w:val="22"/>
        </w:rPr>
        <w:t>The department shall have 15 days after receipt to give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441—5.3</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Nondiscretionary intervention. </w:t>
      </w:r>
      <w:r>
        <w:rPr>
          <w:rFonts w:ascii="Times New Roman" w:hAnsi="Times New Roman"/>
          <w:b w:val="false"/>
          <w:i w:val="false"/>
          <w:color w:val="000000"/>
          <w:sz w:val="22"/>
        </w:rPr>
        <w:t>Fifteen days shall be the time frame for a person to file for an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Filing and form of petition for intervention. </w:t>
      </w:r>
      <w:r>
        <w:rPr>
          <w:rFonts w:ascii="Times New Roman" w:hAnsi="Times New Roman"/>
          <w:b w:val="false"/>
          <w:i w:val="false"/>
          <w:color w:val="000000"/>
          <w:sz w:val="22"/>
        </w:rPr>
        <w:t>In lieu of the words “designate office” insert “compliance division, at the department’s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441—5.5</w:t>
      </w:r>
      <w:r>
        <w:rPr>
          <w:rFonts w:ascii="Times New Roman" w:hAnsi="Times New Roman"/>
          <w:b/>
          <w:i w:val="false"/>
          <w:color w:val="000000"/>
          <w:sz w:val="22"/>
        </w:rPr>
        <w:t xml:space="preserve">(17A) </w:t>
      </w:r>
      <w:r>
        <w:rPr>
          <w:rFonts w:ascii="Times New Roman" w:hAnsi="Times New Roman"/>
          <w:b/>
          <w:i w:val="false"/>
          <w:color w:val="000000"/>
          <w:sz w:val="22"/>
        </w:rPr>
        <w:t xml:space="preserve">Inquiries. </w:t>
      </w:r>
      <w:r>
        <w:rPr>
          <w:rFonts w:ascii="Times New Roman" w:hAnsi="Times New Roman"/>
          <w:b w:val="false"/>
          <w:i w:val="false"/>
          <w:color w:val="000000"/>
          <w:sz w:val="22"/>
        </w:rPr>
        <w:t xml:space="preserve">Inquiries concerning the status of a declaratory order proceeding may be made to the compliance division at the department’s address or at </w:t>
      </w:r>
      <w:hyperlink r:id="rId6">
        <w:r>
          <w:rPr>
            <w:rStyle w:val="Hyperlink"/>
            <w:rFonts w:ascii="Times New Roman" w:hAnsi="Times New Roman"/>
            <w:b w:val="false"/>
            <w:i w:val="false"/>
            <w:color w:val="000000"/>
            <w:sz w:val="22"/>
            <w:u w:val="single"/>
          </w:rPr>
          <w:t>compliancerules@idph.iowa.gov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441—5.6</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In lieu of the words “specific office and address” insert “compliance division, at the department’s address or </w:t>
      </w:r>
      <w:hyperlink r:id="rId7">
        <w:r>
          <w:rPr>
            <w:rStyle w:val="Hyperlink"/>
            <w:rFonts w:ascii="Times New Roman" w:hAnsi="Times New Roman"/>
            <w:b w:val="false"/>
            <w:i w:val="false"/>
            <w:color w:val="000000"/>
            <w:sz w:val="22"/>
            <w:u w:val="single"/>
          </w:rPr>
          <w:t>compliancerules@idph.iowa.gov</w:t>
        </w:r>
      </w:hyperlink>
      <w:r>
        <w:rPr>
          <w:rFonts w:ascii="Times New Roman" w:hAnsi="Times New Roman"/>
          <w:b w:val="false"/>
          <w:i w:val="false"/>
          <w:color w:val="000000"/>
          <w:sz w:val="22"/>
        </w:rPr>
        <w:t>” and in lieu of “agency name” insert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by X.12(17A) of the contested cases segment of the uniform rules on agency procedure published on the Iowa general assembly’s website at </w:t>
      </w:r>
      <w:hyperlink r:id="rId8">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441—5.8</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action. </w:t>
      </w:r>
      <w:r>
        <w:rPr>
          <w:rFonts w:ascii="Times New Roman" w:hAnsi="Times New Roman"/>
          <w:b w:val="false"/>
          <w:i w:val="false"/>
          <w:color w:val="000000"/>
          <w:sz w:val="22"/>
        </w:rPr>
        <w:t xml:space="preserve">Within 30 days after receipt of a petition for a declaratory order, the department shall take action on the petition as required by Iowa Code section </w:t>
      </w:r>
      <w:hyperlink r:id="rId9">
        <w:r>
          <w:rPr>
            <w:rStyle w:val="Hyperlink"/>
            <w:rFonts w:ascii="Times New Roman" w:hAnsi="Times New Roman"/>
            <w:b w:val="false"/>
            <w:i w:val="false"/>
            <w:color w:val="000000"/>
            <w:sz w:val="22"/>
          </w:rPr>
          <w:t>17A.9(5)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color w:val="000000"/>
          <w:sz w:val="22"/>
        </w:rPr>
        <w:t xml:space="preserve">Date of issuance of order. </w:t>
      </w:r>
      <w:r>
        <w:rPr>
          <w:rFonts w:ascii="Times New Roman" w:hAnsi="Times New Roman"/>
          <w:b w:val="false"/>
          <w:i w:val="false"/>
          <w:color w:val="000000"/>
          <w:sz w:val="22"/>
        </w:rPr>
        <w:t xml:space="preserve">The date of issuance of an order or of a refusal to issue an order is the date of mailing of the order or refusal or date of delivery if service is by other means unless another date is specified in the order.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9/19/75, Notice 8/11/75—published 10/6/75, effective 11/10/75]</w:t>
      </w:r>
    </w:p>
    <w:p>
      <w:pPr>
        <w:spacing w:before="0" w:after="0"/>
        <w:ind w:left="120"/>
        <w:jc w:val="center"/>
      </w:pPr>
      <w:r>
        <w:rPr>
          <w:rFonts w:ascii="Times New Roman" w:hAnsi="Times New Roman"/>
          <w:b w:val="false"/>
          <w:i w:val="false"/>
          <w:color w:val="000000"/>
          <w:sz w:val="21"/>
        </w:rPr>
        <w:t>[Filed without Notice 5/8/78—published 5/31/78, effective 7/5/78]</w:t>
      </w:r>
    </w:p>
    <w:p>
      <w:pPr>
        <w:spacing w:before="0" w:after="0"/>
        <w:ind w:left="120"/>
        <w:jc w:val="center"/>
      </w:pPr>
      <w:r>
        <w:rPr>
          <w:rFonts w:ascii="Times New Roman" w:hAnsi="Times New Roman"/>
          <w:b w:val="false"/>
          <w:i w:val="false"/>
          <w:color w:val="000000"/>
          <w:sz w:val="21"/>
        </w:rPr>
        <w:t>[Filed without Notice 3/14/79—published 4/4/79, effective 5/9/79]</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 12/31/86—published 3/25/87, effective 5/1/87]</w:t>
      </w:r>
    </w:p>
    <w:p>
      <w:pPr>
        <w:spacing w:before="0" w:after="0"/>
        <w:ind w:left="120"/>
        <w:jc w:val="center"/>
      </w:pPr>
      <w:r>
        <w:rPr>
          <w:rFonts w:ascii="Times New Roman" w:hAnsi="Times New Roman"/>
          <w:b w:val="false"/>
          <w:i w:val="false"/>
          <w:color w:val="000000"/>
          <w:sz w:val="21"/>
        </w:rPr>
        <w:t>[Filed 12/13/90, Notice 10/31/90—published 1/9/91, effective 3/1/91]</w:t>
      </w:r>
    </w:p>
    <w:p>
      <w:pPr>
        <w:spacing w:before="0" w:after="0"/>
        <w:ind w:left="120"/>
        <w:jc w:val="center"/>
      </w:pPr>
      <w:r>
        <w:rPr>
          <w:rFonts w:ascii="Times New Roman" w:hAnsi="Times New Roman"/>
          <w:b w:val="false"/>
          <w:i w:val="false"/>
          <w:color w:val="000000"/>
          <w:sz w:val="21"/>
        </w:rPr>
        <w:t>[Filed 3/10/99, Notice 1/13/99—published 4/7/99, effective 7/1/99]</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ARC 6439C</w:t>
      </w:r>
      <w:r>
        <w:rPr>
          <w:rFonts w:ascii="Times New Roman" w:hAnsi="Times New Roman"/>
          <w:b w:val="false"/>
          <w:i w:val="false"/>
          <w:color w:val="000000"/>
          <w:sz w:val="21"/>
        </w:rPr>
        <w:t xml:space="preserve"> (Notice ARC 6328C, IAB 5/18/22)</w:t>
      </w:r>
      <w:r>
        <w:rPr>
          <w:rFonts w:ascii="Times New Roman" w:hAnsi="Times New Roman"/>
          <w:b w:val="false"/>
          <w:i w:val="false"/>
          <w:color w:val="000000"/>
          <w:sz w:val="21"/>
        </w:rPr>
        <w:t>, IAB 8/10/22, effective 10/1/22]</w:t>
      </w:r>
    </w:p>
    <w:p>
      <w:pPr>
        <w:spacing w:before="0" w:after="0"/>
        <w:ind w:left="120"/>
        <w:jc w:val="center"/>
      </w:pPr>
      <w:r>
        <w:rPr>
          <w:rFonts w:ascii="Times New Roman" w:hAnsi="Times New Roman"/>
          <w:b w:val="false"/>
          <w:i w:val="false"/>
          <w:color w:val="000000"/>
          <w:sz w:val="21"/>
        </w:rPr>
        <w:t>[Filed ARC 8045C</w:t>
      </w:r>
      <w:r>
        <w:rPr>
          <w:rFonts w:ascii="Times New Roman" w:hAnsi="Times New Roman"/>
          <w:b w:val="false"/>
          <w:i w:val="false"/>
          <w:color w:val="000000"/>
          <w:sz w:val="21"/>
        </w:rPr>
        <w:t xml:space="preserve"> (Notice ARC 7358C, IAB 1/24/24)</w:t>
      </w:r>
      <w:r>
        <w:rPr>
          <w:rFonts w:ascii="Times New Roman" w:hAnsi="Times New Roman"/>
          <w:b w:val="false"/>
          <w:i w:val="false"/>
          <w:color w:val="000000"/>
          <w:sz w:val="21"/>
        </w:rPr>
        <w:t>, IAB 5/29/24, effective 7/3/24]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mailto:compliancerules@idph.iowa.gov" Type="http://schemas.openxmlformats.org/officeDocument/2006/relationships/hyperlink" Id="rId6"/>
    <Relationship TargetMode="External" Target="mailto:compliancerules@idph.iowa.gov" Type="http://schemas.openxmlformats.org/officeDocument/2006/relationships/hyperlink" Id="rId7"/>
    <Relationship TargetMode="External" Target="http://www.legis.iowa.gov/DOCS/Rules/Current/UniformRules.pdf" Type="http://schemas.openxmlformats.org/officeDocument/2006/relationships/hyperlink" Id="rId8"/>
    <Relationship TargetMode="External" Target="https://www.legis.iowa.gov/docs/ico/chapter/17A.9.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