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DIVERSION INITIATIVES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PROMOTING AWARENESS OF THE BENEFITS OF A HEALTHY MARRIAGE</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These rules implement the Iowa promoting awareness of the benefits of a healthy marriage program. This program uses federal funds from the Temporary Assistance to Needy Families (TANF) block grant to provide information to certain households about the benefits of a healthy and stable marriage. Eligibility for this program also establishes categorical eligibility for the Iowa supplemental nutrition assistance program (SNAP) under </w:t>
      </w:r>
      <w:hyperlink r:id="rId5">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9172B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9350B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441—47.1</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 xml:space="preserve">Eligibility for the promoting awareness of the benefits of a healthy marriage program is always determined in conjunction with determination of eligibility for SNAP under </w:t>
      </w:r>
      <w:hyperlink r:id="rId6">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There is no separate application for the program. Eligibility for the program is determined whenever the department determines a household’s eligibility for SNAP.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There is no asset test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47.1(3)</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The household’s gross countable monthly income determined according to rule </w:t>
      </w:r>
      <w:hyperlink r:id="rId7">
        <w:r>
          <w:rPr>
            <w:rStyle w:val="Hyperlink"/>
            <w:rFonts w:ascii="Times New Roman" w:hAnsi="Times New Roman"/>
            <w:b w:val="false"/>
            <w:i w:val="false"/>
            <w:color w:val="000000"/>
            <w:sz w:val="22"/>
          </w:rPr>
          <w:t>441—65.29</w:t>
        </w:r>
      </w:hyperlink>
      <w:r>
        <w:rPr>
          <w:rFonts w:ascii="Times New Roman" w:hAnsi="Times New Roman"/>
          <w:b w:val="false"/>
          <w:i w:val="false"/>
          <w:color w:val="000000"/>
          <w:sz w:val="22"/>
        </w:rPr>
        <w:t>(234) must be less than or equal to 160 percent of the current federal poverty guidelines for the household size. The income eligibility limits as described in this subrule are revised each October 1 to reflect the annual adjustment to the federal poverty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47.1(4)</w:t>
      </w:r>
      <w:r>
        <w:rPr>
          <w:rFonts w:ascii="Times New Roman" w:hAnsi="Times New Roman"/>
          <w:b w:val="false"/>
          <w:i w:val="false"/>
          <w:color w:val="000000"/>
          <w:sz w:val="22"/>
        </w:rPr>
        <w:t> </w:t>
      </w:r>
      <w:r>
        <w:rPr>
          <w:rFonts w:ascii="Times New Roman" w:hAnsi="Times New Roman"/>
          <w:b w:val="false"/>
          <w:i/>
          <w:color w:val="000000"/>
          <w:sz w:val="22"/>
        </w:rPr>
        <w:t xml:space="preserve">Otherwise eligible for SNAP. </w:t>
      </w:r>
      <w:r>
        <w:rPr>
          <w:rFonts w:ascii="Times New Roman" w:hAnsi="Times New Roman"/>
          <w:b w:val="false"/>
          <w:i w:val="false"/>
          <w:color w:val="000000"/>
          <w:sz w:val="22"/>
        </w:rPr>
        <w:t>The household must meet all eligibility criteria for SNAP except as provided in this rule. A household that includes a member who is currently disqualified from SNAP due to an intentional program violation is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47.1(5)</w:t>
      </w:r>
      <w:r>
        <w:rPr>
          <w:rFonts w:ascii="Times New Roman" w:hAnsi="Times New Roman"/>
          <w:b w:val="false"/>
          <w:i w:val="false"/>
          <w:color w:val="000000"/>
          <w:sz w:val="22"/>
        </w:rPr>
        <w:t> </w:t>
      </w:r>
      <w:r>
        <w:rPr>
          <w:rFonts w:ascii="Times New Roman" w:hAnsi="Times New Roman"/>
          <w:b w:val="false"/>
          <w:i/>
          <w:color w:val="000000"/>
          <w:sz w:val="22"/>
        </w:rPr>
        <w:t xml:space="preserve">Minimum SNAP benefit. </w:t>
      </w:r>
      <w:r>
        <w:rPr>
          <w:rFonts w:ascii="Times New Roman" w:hAnsi="Times New Roman"/>
          <w:b w:val="false"/>
          <w:i w:val="false"/>
          <w:color w:val="000000"/>
          <w:sz w:val="22"/>
        </w:rPr>
        <w:t>The household must be eligible for a monthly SNAP benefit greater than zero. Households with a monthly SNAP benefit of zero are not eligible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9172B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9350B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w:t>
      </w:r>
      <w:r>
        <w:rPr>
          <w:rFonts w:ascii="Times New Roman" w:hAnsi="Times New Roman"/>
          <w:b/>
          <w:i w:val="false"/>
          <w:color w:val="000000"/>
          <w:sz w:val="22"/>
        </w:rPr>
        <w:t xml:space="preserve">(234) </w:t>
      </w:r>
      <w:r>
        <w:rPr>
          <w:rFonts w:ascii="Times New Roman" w:hAnsi="Times New Roman"/>
          <w:b/>
          <w:i w:val="false"/>
          <w:color w:val="000000"/>
          <w:sz w:val="22"/>
        </w:rPr>
        <w:t xml:space="preserve">Notice and eligibility period. </w:t>
      </w:r>
      <w:r>
        <w:rPr>
          <w:rFonts w:ascii="Times New Roman" w:hAnsi="Times New Roman"/>
          <w:b w:val="false"/>
          <w:i w:val="false"/>
          <w:color w:val="000000"/>
          <w:sz w:val="22"/>
        </w:rPr>
        <w:t xml:space="preserve">A household that meets all of the eligibility criteria in rule </w:t>
      </w:r>
      <w:hyperlink r:id="rId8">
        <w:r>
          <w:rPr>
            <w:rStyle w:val="Hyperlink"/>
            <w:rFonts w:ascii="Times New Roman" w:hAnsi="Times New Roman"/>
            <w:b w:val="false"/>
            <w:i w:val="false"/>
            <w:color w:val="000000"/>
            <w:sz w:val="22"/>
          </w:rPr>
          <w:t>441—47.1</w:t>
        </w:r>
      </w:hyperlink>
      <w:r>
        <w:rPr>
          <w:rFonts w:ascii="Times New Roman" w:hAnsi="Times New Roman"/>
          <w:b w:val="false"/>
          <w:i w:val="false"/>
          <w:color w:val="000000"/>
          <w:sz w:val="22"/>
        </w:rPr>
        <w:t>(234) shall receive written notice of its eligibility for the promoting awareness of the benefits of a healthy marriage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47.2(1)</w:t>
      </w:r>
      <w:r>
        <w:rPr>
          <w:rFonts w:ascii="Times New Roman" w:hAnsi="Times New Roman"/>
          <w:b w:val="false"/>
          <w:i w:val="false"/>
          <w:color w:val="000000"/>
          <w:sz w:val="22"/>
        </w:rPr>
        <w:t> </w:t>
      </w:r>
      <w:r>
        <w:rPr>
          <w:rFonts w:ascii="Times New Roman" w:hAnsi="Times New Roman"/>
          <w:b w:val="false"/>
          <w:i/>
          <w:color w:val="000000"/>
          <w:sz w:val="22"/>
        </w:rPr>
        <w:t xml:space="preserve">Written information. </w:t>
      </w:r>
      <w:r>
        <w:rPr>
          <w:rFonts w:ascii="Times New Roman" w:hAnsi="Times New Roman"/>
          <w:b w:val="false"/>
          <w:i w:val="false"/>
          <w:color w:val="000000"/>
          <w:sz w:val="22"/>
        </w:rPr>
        <w:t>Households determined eligible for the program shall receive written information about the benefits of a healthy and stable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w:t>
      </w:r>
      <w:r>
        <w:rPr>
          <w:rFonts w:ascii="Times New Roman" w:hAnsi="Times New Roman"/>
          <w:b w:val="false"/>
          <w:i w:val="false"/>
          <w:color w:val="000000"/>
          <w:sz w:val="22"/>
        </w:rPr>
        <w:t> </w:t>
      </w:r>
      <w:r>
        <w:rPr>
          <w:rFonts w:ascii="Times New Roman" w:hAnsi="Times New Roman"/>
          <w:b w:val="false"/>
          <w:i/>
          <w:color w:val="000000"/>
          <w:sz w:val="22"/>
        </w:rPr>
        <w:t xml:space="preserve">Eligibility period. </w:t>
      </w:r>
      <w:r>
        <w:rPr>
          <w:rFonts w:ascii="Times New Roman" w:hAnsi="Times New Roman"/>
          <w:b w:val="false"/>
          <w:i w:val="false"/>
          <w:color w:val="000000"/>
          <w:sz w:val="22"/>
        </w:rPr>
        <w:t>A household that is determined eligible for the program shall remain eligible for the program until the earlier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 fails to meet the eligibility criteria under rule </w:t>
      </w:r>
      <w:hyperlink r:id="rId9">
        <w:r>
          <w:rPr>
            <w:rStyle w:val="Hyperlink"/>
            <w:rFonts w:ascii="Times New Roman" w:hAnsi="Times New Roman"/>
            <w:b w:val="false"/>
            <w:i w:val="false"/>
            <w:color w:val="000000"/>
            <w:sz w:val="22"/>
          </w:rPr>
          <w:t>441—47.1</w:t>
        </w:r>
      </w:hyperlink>
      <w:r>
        <w:rPr>
          <w:rFonts w:ascii="Times New Roman" w:hAnsi="Times New Roman"/>
          <w:b w:val="false"/>
          <w:i w:val="false"/>
          <w:color w:val="000000"/>
          <w:sz w:val="22"/>
        </w:rPr>
        <w:t xml:space="preserve">(234),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SNAP certification period under </w:t>
      </w:r>
      <w:hyperlink r:id="rId10">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xml:space="preserve"> 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9172B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9350B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441—47.3</w:t>
      </w:r>
      <w:r>
        <w:rPr>
          <w:rFonts w:ascii="Times New Roman" w:hAnsi="Times New Roman"/>
          <w:b w:val="false"/>
          <w:i w:val="false"/>
          <w:color w:val="000000"/>
          <w:sz w:val="22"/>
        </w:rPr>
        <w:t xml:space="preserve"> to </w:t>
      </w:r>
      <w:r>
        <w:rPr>
          <w:rFonts w:ascii="Times New Roman" w:hAnsi="Times New Roman"/>
          <w:b/>
          <w:i w:val="false"/>
          <w:color w:val="000000"/>
          <w:sz w:val="22"/>
        </w:rPr>
        <w:t>47.20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FAMILY SELF-SUFFICIENCY GRANTS PROGRAM</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These rules define and structure the family self-sufficiency grants (FSSG) program provided through the PROMISE JOBS program. The purpose of the FSSG program is to provide immediate and short-term assistance to PROMISE JOBS participant families which will remove barriers related to obtaining or retaining employment. Removing the barriers to self-sufficiency might reduce the length of time a family is dependent on the family investment program (FIP). Family self-sufficiency grants shall be available for payment to families or on behalf of specific families.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responsible administrator”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the bureau of refugee services (BRS), the administrator of the department service area with the oversight for the bureau of refugee services, or the administrator’s designee.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Iowa workforce development (IWD), the administrator of the department of workforce development’s division of workforce development center administration,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of refugee services” </w:t>
      </w:r>
      <w:r>
        <w:rPr>
          <w:rFonts w:ascii="Times New Roman" w:hAnsi="Times New Roman"/>
          <w:b w:val="false"/>
          <w:i w:val="false"/>
          <w:color w:val="000000"/>
          <w:sz w:val="22"/>
        </w:rPr>
        <w:t xml:space="preserve">or </w:t>
      </w:r>
      <w:r>
        <w:rPr>
          <w:rFonts w:ascii="Times New Roman" w:hAnsi="Times New Roman"/>
          <w:b w:val="false"/>
          <w:i/>
          <w:color w:val="000000"/>
          <w:sz w:val="22"/>
        </w:rPr>
        <w:t>“BRS”</w:t>
      </w:r>
      <w:r>
        <w:rPr>
          <w:rFonts w:ascii="Times New Roman" w:hAnsi="Times New Roman"/>
          <w:b w:val="false"/>
          <w:i w:val="false"/>
          <w:color w:val="000000"/>
          <w:sz w:val="22"/>
        </w:rPr>
        <w:t xml:space="preserve"> means a unit of the department of human services that provides PROMISE JOBS services to refugees who have not obtained United States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w:t>
      </w:r>
      <w:r>
        <w:rPr>
          <w:rFonts w:ascii="Times New Roman" w:hAnsi="Times New Roman"/>
          <w:b w:val="false"/>
          <w:i w:val="false"/>
          <w:color w:val="000000"/>
          <w:sz w:val="22"/>
        </w:rPr>
        <w:t>means anyone expressing an interest in the family self-sufficiency grants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division administrator” </w:t>
      </w:r>
      <w:r>
        <w:rPr>
          <w:rFonts w:ascii="Times New Roman" w:hAnsi="Times New Roman"/>
          <w:b w:val="false"/>
          <w:i w:val="false"/>
          <w:color w:val="000000"/>
          <w:sz w:val="22"/>
        </w:rPr>
        <w:t>means the administrator of the department of human services division of adult, children and family services,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 xml:space="preserve">means “assistance unit” as defined at rule </w:t>
      </w:r>
      <w:hyperlink r:id="rId12">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“FIP” </w:t>
      </w:r>
      <w:r>
        <w:rPr>
          <w:rFonts w:ascii="Times New Roman" w:hAnsi="Times New Roman"/>
          <w:b w:val="false"/>
          <w:i w:val="false"/>
          <w:color w:val="000000"/>
          <w:sz w:val="22"/>
        </w:rPr>
        <w:t xml:space="preserve">means the cash grant program provided by </w:t>
      </w:r>
      <w:hyperlink r:id="rId13">
        <w:r>
          <w:rPr>
            <w:rStyle w:val="Hyperlink"/>
            <w:rFonts w:ascii="Times New Roman" w:hAnsi="Times New Roman"/>
            <w:b w:val="false"/>
            <w:i w:val="false"/>
            <w:color w:val="000000"/>
            <w:sz w:val="22"/>
          </w:rPr>
          <w:t>441—Chapters 40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designed to sustain Iowa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self-sufficiency grants” </w:t>
      </w:r>
      <w:r>
        <w:rPr>
          <w:rFonts w:ascii="Times New Roman" w:hAnsi="Times New Roman"/>
          <w:b w:val="false"/>
          <w:i w:val="false"/>
          <w:color w:val="000000"/>
          <w:sz w:val="22"/>
        </w:rPr>
        <w:t>means the payments made to specific PROMISE JOBS participants, to vendors on behalf of specific PROMISE JOBS participants, or for services to specific PROMISE JOBS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short-term assistance” </w:t>
      </w:r>
      <w:r>
        <w:rPr>
          <w:rFonts w:ascii="Times New Roman" w:hAnsi="Times New Roman"/>
          <w:b w:val="false"/>
          <w:i w:val="false"/>
          <w:color w:val="000000"/>
          <w:sz w:val="22"/>
        </w:rPr>
        <w:t>means that assistance provided under this division shall be authorized upon determination of need and that it shall not occur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workforce development (IWD)” </w:t>
      </w:r>
      <w:r>
        <w:rPr>
          <w:rFonts w:ascii="Times New Roman" w:hAnsi="Times New Roman"/>
          <w:b w:val="false"/>
          <w:i w:val="false"/>
          <w:color w:val="000000"/>
          <w:sz w:val="22"/>
        </w:rPr>
        <w:t>means the agency that develops and administers employment, placement and training services in Iowa and is contracted by the department to administer PROMISE JOBS services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“IWD service delivery area” </w:t>
      </w:r>
      <w:r>
        <w:rPr>
          <w:rFonts w:ascii="Times New Roman" w:hAnsi="Times New Roman"/>
          <w:b w:val="false"/>
          <w:i w:val="false"/>
          <w:color w:val="000000"/>
          <w:sz w:val="22"/>
        </w:rPr>
        <w:t>means the Iowa workforce development service delivery areas designated to provide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plan for family self-sufficiency grants” </w:t>
      </w:r>
      <w:r>
        <w:rPr>
          <w:rFonts w:ascii="Times New Roman" w:hAnsi="Times New Roman"/>
          <w:b w:val="false"/>
          <w:i w:val="false"/>
          <w:color w:val="000000"/>
          <w:sz w:val="22"/>
        </w:rPr>
        <w:t xml:space="preserve">means the written policies and procedures for administering the grants for families as set forth in the plan developed by the PROMISE JOBS IWD service delivery area or BRS as described in rule </w:t>
      </w:r>
      <w:hyperlink r:id="rId15">
        <w:r>
          <w:rPr>
            <w:rStyle w:val="Hyperlink"/>
            <w:rFonts w:ascii="Times New Roman" w:hAnsi="Times New Roman"/>
            <w:b w:val="false"/>
            <w:i w:val="false"/>
            <w:color w:val="000000"/>
            <w:sz w:val="22"/>
          </w:rPr>
          <w:t>441—47.26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anyone receiving assistance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agreement” </w:t>
      </w:r>
      <w:r>
        <w:rPr>
          <w:rFonts w:ascii="Times New Roman" w:hAnsi="Times New Roman"/>
          <w:b w:val="false"/>
          <w:i w:val="false"/>
          <w:color w:val="000000"/>
          <w:sz w:val="22"/>
        </w:rPr>
        <w:t>means the agreement between the division of adult, children and family services and the division of field support regarding delivery of PROMISE JOBS services to refugees.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contract” </w:t>
      </w:r>
      <w:r>
        <w:rPr>
          <w:rFonts w:ascii="Times New Roman" w:hAnsi="Times New Roman"/>
          <w:b w:val="false"/>
          <w:i w:val="false"/>
          <w:color w:val="000000"/>
          <w:sz w:val="22"/>
        </w:rPr>
        <w:t>means the agreement between the department and Iowa workforce development regarding delivery of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participant” </w:t>
      </w:r>
      <w:r>
        <w:rPr>
          <w:rFonts w:ascii="Times New Roman" w:hAnsi="Times New Roman"/>
          <w:b w:val="false"/>
          <w:i w:val="false"/>
          <w:color w:val="000000"/>
          <w:sz w:val="22"/>
        </w:rPr>
        <w:t>means any person receiving services through PROMISE JOBS. A PROMISE JOBS participant must be a member of an eligible FIP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means the department’s work and training program as described in </w:t>
      </w:r>
      <w:hyperlink r:id="rId16">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441—47.22</w:t>
      </w:r>
      <w:r>
        <w:rPr>
          <w:rFonts w:ascii="Times New Roman" w:hAnsi="Times New Roman"/>
          <w:b/>
          <w:i w:val="false"/>
          <w:color w:val="000000"/>
          <w:sz w:val="22"/>
        </w:rPr>
        <w:t xml:space="preserve">(239B) </w:t>
      </w:r>
      <w:r>
        <w:rPr>
          <w:rFonts w:ascii="Times New Roman" w:hAnsi="Times New Roman"/>
          <w:b/>
          <w:i w:val="false"/>
          <w:color w:val="000000"/>
          <w:sz w:val="22"/>
        </w:rPr>
        <w:t xml:space="preserve">Availability of the family self-sufficiency grants program. </w:t>
      </w:r>
      <w:r>
        <w:rPr>
          <w:rFonts w:ascii="Times New Roman" w:hAnsi="Times New Roman"/>
          <w:b w:val="false"/>
          <w:i w:val="false"/>
          <w:color w:val="000000"/>
          <w:sz w:val="22"/>
        </w:rPr>
        <w:t>The family self-sufficiency grants program shall be available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47.22(1)</w:t>
      </w:r>
      <w:r>
        <w:rPr>
          <w:rFonts w:ascii="Times New Roman" w:hAnsi="Times New Roman"/>
          <w:b w:val="false"/>
          <w:i w:val="false"/>
          <w:color w:val="000000"/>
          <w:sz w:val="22"/>
        </w:rPr>
        <w:t> </w:t>
      </w:r>
      <w:r>
        <w:rPr>
          <w:rFonts w:ascii="Times New Roman" w:hAnsi="Times New Roman"/>
          <w:b w:val="false"/>
          <w:i w:val="false"/>
          <w:color w:val="000000"/>
          <w:sz w:val="22"/>
        </w:rPr>
        <w:t>The program shall be available for use by the IWD service delivery areas. Under the PROMISE JOBS contract, Iowa workforce development (IWD) shall allocate the funds available for authorization to each of the service delivery areas based on the allocation standards used for PROMISE JOBS service delivery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47.22(2)</w:t>
      </w:r>
      <w:r>
        <w:rPr>
          <w:rFonts w:ascii="Times New Roman" w:hAnsi="Times New Roman"/>
          <w:b w:val="false"/>
          <w:i w:val="false"/>
          <w:color w:val="000000"/>
          <w:sz w:val="22"/>
        </w:rPr>
        <w:t> </w:t>
      </w:r>
      <w:r>
        <w:rPr>
          <w:rFonts w:ascii="Times New Roman" w:hAnsi="Times New Roman"/>
          <w:b w:val="false"/>
          <w:i w:val="false"/>
          <w:color w:val="000000"/>
          <w:sz w:val="22"/>
        </w:rPr>
        <w:t>The program shall be available for use by the bureau of refugee services (BRS) for PROMISE JOBS participants who are refugees who have not obtained United States citizenship, as delineated in the PROMISE JOBS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47.22(3)</w:t>
      </w:r>
      <w:r>
        <w:rPr>
          <w:rFonts w:ascii="Times New Roman" w:hAnsi="Times New Roman"/>
          <w:b w:val="false"/>
          <w:i w:val="false"/>
          <w:color w:val="000000"/>
          <w:sz w:val="22"/>
        </w:rPr>
        <w:t> </w:t>
      </w:r>
      <w:r>
        <w:rPr>
          <w:rFonts w:ascii="Times New Roman" w:hAnsi="Times New Roman"/>
          <w:b w:val="false"/>
          <w:i w:val="false"/>
          <w:color w:val="000000"/>
          <w:sz w:val="22"/>
        </w:rPr>
        <w:t>The division of funds between IWD and BRS will be negotiated based on the number of PROMISE JOBS families receiving services from each agency and history of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47.22(4)</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the funds which are released through the PROMISE JOBS expense allowance authorization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441—47.23</w:t>
      </w:r>
      <w:r>
        <w:rPr>
          <w:rFonts w:ascii="Times New Roman" w:hAnsi="Times New Roman"/>
          <w:b/>
          <w:i w:val="false"/>
          <w:color w:val="000000"/>
          <w:sz w:val="22"/>
        </w:rPr>
        <w:t xml:space="preserve">(239B) </w:t>
      </w:r>
      <w:r>
        <w:rPr>
          <w:rFonts w:ascii="Times New Roman" w:hAnsi="Times New Roman"/>
          <w:b/>
          <w:i w:val="false"/>
          <w:color w:val="000000"/>
          <w:sz w:val="22"/>
        </w:rPr>
        <w:t xml:space="preserve">General criteria. </w:t>
      </w:r>
      <w:r>
        <w:rPr>
          <w:rFonts w:ascii="Times New Roman" w:hAnsi="Times New Roman"/>
          <w:b w:val="false"/>
          <w:i w:val="false"/>
          <w:color w:val="000000"/>
          <w:sz w:val="22"/>
        </w:rPr>
        <w:t>Family self-sufficiency grants candidates shall be PROMISE JOBS participants. Participation in the family self-sufficiency grants program is voluntary and shall be based on an informed decision by the family. Further, candidates must have identifiable barriers to obtaining or retaining employment that can be substantially addressed through the assistance offered by family self-sufficiency grants.</w:t>
      </w:r>
    </w:p>
    <w:p>
      <w:pPr>
        <w:spacing w:before="0" w:after="0"/>
        <w:ind w:left="120"/>
        <w:jc w:val="both"/>
      </w:pPr>
      <w:r>
        <w:rPr>
          <w:rFonts w:ascii="Times New Roman" w:hAnsi="Times New Roman"/>
          <w:b/>
          <w:i w:val="false"/>
          <w:color w:val="000000"/>
          <w:sz w:val="22"/>
        </w:rPr>
        <w:t>441—47.24</w:t>
      </w:r>
      <w:r>
        <w:rPr>
          <w:rFonts w:ascii="Times New Roman" w:hAnsi="Times New Roman"/>
          <w:b/>
          <w:i w:val="false"/>
          <w:color w:val="000000"/>
          <w:sz w:val="22"/>
        </w:rPr>
        <w:t xml:space="preserve">(239B) </w:t>
      </w:r>
      <w:r>
        <w:rPr>
          <w:rFonts w:ascii="Times New Roman" w:hAnsi="Times New Roman"/>
          <w:b/>
          <w:i w:val="false"/>
          <w:color w:val="000000"/>
          <w:sz w:val="22"/>
        </w:rPr>
        <w:t xml:space="preserve">Assistance available in family self-sufficiency grants. </w:t>
      </w:r>
      <w:r>
        <w:rPr>
          <w:rFonts w:ascii="Times New Roman" w:hAnsi="Times New Roman"/>
          <w:b w:val="false"/>
          <w:i w:val="false"/>
          <w:color w:val="000000"/>
          <w:sz w:val="22"/>
        </w:rPr>
        <w:t>Family self-sufficiency grants shall be authorized for removing an identified barrier to self-sufficiency when it can be reasonably anticipated that the assistance will enable PROMISE JOBS participant families to obtain or retain employment in the two full calendar months following the date of authorization of payment. For example, if a payment is authorized on August 20, it should be anticipated that the participant can find employment in September or October.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47.24(1)</w:t>
      </w:r>
      <w:r>
        <w:rPr>
          <w:rFonts w:ascii="Times New Roman" w:hAnsi="Times New Roman"/>
          <w:b w:val="false"/>
          <w:i w:val="false"/>
          <w:color w:val="000000"/>
          <w:sz w:val="22"/>
        </w:rPr>
        <w:t> </w:t>
      </w:r>
      <w:r>
        <w:rPr>
          <w:rFonts w:ascii="Times New Roman" w:hAnsi="Times New Roman"/>
          <w:b w:val="false"/>
          <w:i/>
          <w:color w:val="000000"/>
          <w:sz w:val="22"/>
        </w:rPr>
        <w:t xml:space="preserve">Employment does not occur. </w:t>
      </w:r>
      <w:r>
        <w:rPr>
          <w:rFonts w:ascii="Times New Roman" w:hAnsi="Times New Roman"/>
          <w:b w:val="false"/>
          <w:i w:val="false"/>
          <w:color w:val="000000"/>
          <w:sz w:val="22"/>
        </w:rPr>
        <w:t>If employment does not occur in the anticipated two-calendar-month period or if the participant loses employment in spite of the self-sufficiency grant, no penalty is incurred and no overpayment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47.24(2)</w:t>
      </w:r>
      <w:r>
        <w:rPr>
          <w:rFonts w:ascii="Times New Roman" w:hAnsi="Times New Roman"/>
          <w:b w:val="false"/>
          <w:i w:val="false"/>
          <w:color w:val="000000"/>
          <w:sz w:val="22"/>
        </w:rPr>
        <w:t> </w:t>
      </w:r>
      <w:r>
        <w:rPr>
          <w:rFonts w:ascii="Times New Roman" w:hAnsi="Times New Roman"/>
          <w:b w:val="false"/>
          <w:i/>
          <w:color w:val="000000"/>
          <w:sz w:val="22"/>
        </w:rPr>
        <w:t xml:space="preserve">Types of assistance. </w:t>
      </w:r>
      <w:r>
        <w:rPr>
          <w:rFonts w:ascii="Times New Roman" w:hAnsi="Times New Roman"/>
          <w:b w:val="false"/>
          <w:i w:val="false"/>
          <w:color w:val="000000"/>
          <w:sz w:val="22"/>
        </w:rPr>
        <w:t>The department, in conjunction with IWD and BRS, shall determine those barriers to self-sufficiency which can be considered for family self-sufficiency grants such as, but not limited to, auto maintenance or repair, licensing fees, child care, and referral to other resources, including those necessary to address questions of domestic violence. The IWD service delivery areas and BRS shall have the opportunity to adjust the list of approvable barriers to self-sufficiency based on local resources and circumstances. These adjustments shall be approved by the department division administrator and the appropriate responsible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47.24(3)</w:t>
      </w:r>
      <w:r>
        <w:rPr>
          <w:rFonts w:ascii="Times New Roman" w:hAnsi="Times New Roman"/>
          <w:b w:val="false"/>
          <w:i w:val="false"/>
          <w:color w:val="000000"/>
          <w:sz w:val="22"/>
        </w:rPr>
        <w:t> </w:t>
      </w:r>
      <w:r>
        <w:rPr>
          <w:rFonts w:ascii="Times New Roman" w:hAnsi="Times New Roman"/>
          <w:b w:val="false"/>
          <w:i/>
          <w:color w:val="000000"/>
          <w:sz w:val="22"/>
        </w:rPr>
        <w:t xml:space="preserve">Limit on assistance. </w:t>
      </w:r>
      <w:r>
        <w:rPr>
          <w:rFonts w:ascii="Times New Roman" w:hAnsi="Times New Roman"/>
          <w:b w:val="false"/>
          <w:i w:val="false"/>
          <w:color w:val="000000"/>
          <w:sz w:val="22"/>
        </w:rPr>
        <w:t>The total payment limit per family is $1,000 per year. A year for a family shall be the 12 fiscal months following the date of authorization of the initial payment for the family. A fiscal month begins and ends in different calendar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47.24(4)</w:t>
      </w:r>
      <w:r>
        <w:rPr>
          <w:rFonts w:ascii="Times New Roman" w:hAnsi="Times New Roman"/>
          <w:b w:val="false"/>
          <w:i w:val="false"/>
          <w:color w:val="000000"/>
          <w:sz w:val="22"/>
        </w:rPr>
        <w:t> </w:t>
      </w:r>
      <w:r>
        <w:rPr>
          <w:rFonts w:ascii="Times New Roman" w:hAnsi="Times New Roman"/>
          <w:b w:val="false"/>
          <w:i/>
          <w:color w:val="000000"/>
          <w:sz w:val="22"/>
        </w:rPr>
        <w:t xml:space="preserve">Frequency of assistance. </w:t>
      </w:r>
      <w:r>
        <w:rPr>
          <w:rFonts w:ascii="Times New Roman" w:hAnsi="Times New Roman"/>
          <w:b w:val="false"/>
          <w:i w:val="false"/>
          <w:color w:val="000000"/>
          <w:sz w:val="22"/>
        </w:rPr>
        <w:t>Family self-sufficiency grants are intended to provide immediate and short-term assistance and must meet the criteria in this rule. While a family may be a candidate more than once and may receive payments in consecutive months in some circumstances, payments shall not be established as regular or ongoing.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47.24(5)</w:t>
      </w:r>
      <w:r>
        <w:rPr>
          <w:rFonts w:ascii="Times New Roman" w:hAnsi="Times New Roman"/>
          <w:b w:val="false"/>
          <w:i w:val="false"/>
          <w:color w:val="000000"/>
          <w:sz w:val="22"/>
        </w:rPr>
        <w:t> </w:t>
      </w:r>
      <w:r>
        <w:rPr>
          <w:rFonts w:ascii="Times New Roman" w:hAnsi="Times New Roman"/>
          <w:b w:val="false"/>
          <w:i/>
          <w:color w:val="000000"/>
          <w:sz w:val="22"/>
        </w:rPr>
        <w:t xml:space="preserve">Supplanting. </w:t>
      </w:r>
      <w:r>
        <w:rPr>
          <w:rFonts w:ascii="Times New Roman" w:hAnsi="Times New Roman"/>
          <w:b w:val="false"/>
          <w:i w:val="false"/>
          <w:color w:val="000000"/>
          <w:sz w:val="22"/>
        </w:rPr>
        <w:t>Family self-sufficiency grants shall not be used for services already available through the department, PROMISE JOBS, or other local resources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47.24(6)</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the family investment agreement. </w:t>
      </w:r>
      <w:r>
        <w:rPr>
          <w:rFonts w:ascii="Times New Roman" w:hAnsi="Times New Roman"/>
          <w:b w:val="false"/>
          <w:i w:val="false"/>
          <w:color w:val="000000"/>
          <w:sz w:val="22"/>
        </w:rPr>
        <w:t>Family self-sufficiency grants are separate from the PROMISE JOBS family investment agreement process. While the family investment agreement must be honored at all times and renegotiated and amended if family circumstances require it, no family shall be considered to be choosing the limited benefit plan if the family chooses not to participate in the family self-sufficiency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47.24(7)</w:t>
      </w:r>
      <w:r>
        <w:rPr>
          <w:rFonts w:ascii="Times New Roman" w:hAnsi="Times New Roman"/>
          <w:b w:val="false"/>
          <w:i w:val="false"/>
          <w:color w:val="000000"/>
          <w:sz w:val="22"/>
        </w:rPr>
        <w:t> </w:t>
      </w:r>
      <w:r>
        <w:rPr>
          <w:rFonts w:ascii="Times New Roman" w:hAnsi="Times New Roman"/>
          <w:b w:val="false"/>
          <w:i/>
          <w:color w:val="000000"/>
          <w:sz w:val="22"/>
        </w:rPr>
        <w:t xml:space="preserve">Issuing payments. </w:t>
      </w:r>
      <w:r>
        <w:rPr>
          <w:rFonts w:ascii="Times New Roman" w:hAnsi="Times New Roman"/>
          <w:b w:val="false"/>
          <w:i w:val="false"/>
          <w:color w:val="000000"/>
          <w:sz w:val="22"/>
        </w:rPr>
        <w:t>Family self-sufficiency grants are PROMISE JOBS benefits and shall be authorized through the PROMISE JOBS expense allowance system. Payments may be issued to the participants or to a vendor for support services provided to the family. The department division administrator in conjunction with the appropriate responsible administrator shall have discretion in determining method of payment. The IWD service delivery area or BRS shall have the opportunity to adjust these payment options in an individual case based on circumstances and needs of the family with the approval of the department division administrator and the appropriate responsible administrator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441—47.25</w:t>
      </w:r>
      <w:r>
        <w:rPr>
          <w:rFonts w:ascii="Times New Roman" w:hAnsi="Times New Roman"/>
          <w:b/>
          <w:i w:val="false"/>
          <w:color w:val="000000"/>
          <w:sz w:val="22"/>
        </w:rPr>
        <w:t xml:space="preserve">(239B) </w:t>
      </w:r>
      <w:r>
        <w:rPr>
          <w:rFonts w:ascii="Times New Roman" w:hAnsi="Times New Roman"/>
          <w:b/>
          <w:i w:val="false"/>
          <w:color w:val="000000"/>
          <w:sz w:val="22"/>
        </w:rPr>
        <w:t xml:space="preserve">Application, notification,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47.25(1)</w:t>
      </w:r>
      <w:r>
        <w:rPr>
          <w:rFonts w:ascii="Times New Roman" w:hAnsi="Times New Roman"/>
          <w:b w:val="false"/>
          <w:i w:val="false"/>
          <w:color w:val="000000"/>
          <w:sz w:val="22"/>
        </w:rPr>
        <w:t> </w:t>
      </w:r>
      <w:r>
        <w:rPr>
          <w:rFonts w:ascii="Times New Roman" w:hAnsi="Times New Roman"/>
          <w:b w:val="false"/>
          <w:i/>
          <w:color w:val="000000"/>
          <w:sz w:val="22"/>
        </w:rPr>
        <w:t xml:space="preserve">Application elements. </w:t>
      </w:r>
      <w:r>
        <w:rPr>
          <w:rFonts w:ascii="Times New Roman" w:hAnsi="Times New Roman"/>
          <w:b w:val="false"/>
          <w:i w:val="false"/>
          <w:color w:val="000000"/>
          <w:sz w:val="22"/>
        </w:rPr>
        <w:t>Each IWD service delivery area shall use the established application form to be completed by the PROMISE JOBS participant and the PROMISE JOBS worker when the participant asks to be a candidate for a family self-sufficiency grant. The application form shall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self-sufficiency grants and the expectations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family and the person representing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description of the barrier to self-sufficiency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of how removing the barrier is related to obtaining or retaining employment, meeting the criteria from rule </w:t>
      </w:r>
      <w:hyperlink r:id="rId17">
        <w:r>
          <w:rPr>
            <w:rStyle w:val="Hyperlink"/>
            <w:rFonts w:ascii="Times New Roman" w:hAnsi="Times New Roman"/>
            <w:b w:val="false"/>
            <w:i w:val="false"/>
            <w:color w:val="000000"/>
            <w:sz w:val="22"/>
          </w:rPr>
          <w:t>441—47.24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Demonstration of why the other department, PROMISE JOBS, or community resources cannot deal with the barrier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cost of removing the barrier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47.25(2)</w:t>
      </w:r>
      <w:r>
        <w:rPr>
          <w:rFonts w:ascii="Times New Roman" w:hAnsi="Times New Roman"/>
          <w:b w:val="false"/>
          <w:i w:val="false"/>
          <w:color w:val="000000"/>
          <w:sz w:val="22"/>
        </w:rPr>
        <w:t> </w:t>
      </w:r>
      <w:r>
        <w:rPr>
          <w:rFonts w:ascii="Times New Roman" w:hAnsi="Times New Roman"/>
          <w:b w:val="false"/>
          <w:i/>
          <w:color w:val="000000"/>
          <w:sz w:val="22"/>
        </w:rPr>
        <w:t xml:space="preserve">Notification process. </w:t>
      </w:r>
      <w:r>
        <w:rPr>
          <w:rFonts w:ascii="Times New Roman" w:hAnsi="Times New Roman"/>
          <w:b w:val="false"/>
          <w:i w:val="false"/>
          <w:color w:val="000000"/>
          <w:sz w:val="22"/>
        </w:rPr>
        <w:t>PROMISE JOBS shall use Form 470-0602, Notice of Decision: Services, to notify the candidate of the PROMISE JOBS decision regarding the family self-sufficiency grant. Decisions shall be in accordance with policies of this division and the local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approval, the form shall indicate the amount of the benefit that will be issued to the candidate or paid to a vendor, or the service that will be provided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denial, the form shall indicate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47.25(3)</w:t>
      </w:r>
      <w:r>
        <w:rPr>
          <w:rFonts w:ascii="Times New Roman" w:hAnsi="Times New Roman"/>
          <w:b w:val="false"/>
          <w:i w:val="false"/>
          <w:color w:val="000000"/>
          <w:sz w:val="22"/>
        </w:rPr>
        <w:t> </w:t>
      </w:r>
      <w:r>
        <w:rPr>
          <w:rFonts w:ascii="Times New Roman" w:hAnsi="Times New Roman"/>
          <w:b w:val="false"/>
          <w:i/>
          <w:color w:val="000000"/>
          <w:sz w:val="22"/>
        </w:rPr>
        <w:t xml:space="preserve">Appealable actions. </w:t>
      </w:r>
      <w:r>
        <w:rPr>
          <w:rFonts w:ascii="Times New Roman" w:hAnsi="Times New Roman"/>
          <w:b w:val="false"/>
          <w:i w:val="false"/>
          <w:color w:val="000000"/>
          <w:sz w:val="22"/>
        </w:rPr>
        <w:t xml:space="preserve">The PROMISE JOBS decisions on family self-sufficiency grants may be appealed pursuant to </w:t>
      </w:r>
      <w:hyperlink r:id="rId1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Copies of the local plan as described at rule </w:t>
      </w:r>
      <w:hyperlink r:id="rId19">
        <w:r>
          <w:rPr>
            <w:rStyle w:val="Hyperlink"/>
            <w:rFonts w:ascii="Times New Roman" w:hAnsi="Times New Roman"/>
            <w:b w:val="false"/>
            <w:i w:val="false"/>
            <w:color w:val="000000"/>
            <w:sz w:val="22"/>
          </w:rPr>
          <w:t>441—47.26</w:t>
        </w:r>
      </w:hyperlink>
      <w:r>
        <w:rPr>
          <w:rFonts w:ascii="Times New Roman" w:hAnsi="Times New Roman"/>
          <w:b w:val="false"/>
          <w:i w:val="false"/>
          <w:color w:val="000000"/>
          <w:sz w:val="22"/>
        </w:rPr>
        <w:t>(239B) shall be included with the appeal summary.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47.25(4)</w:t>
      </w:r>
      <w:r>
        <w:rPr>
          <w:rFonts w:ascii="Times New Roman" w:hAnsi="Times New Roman"/>
          <w:b w:val="false"/>
          <w:i w:val="false"/>
          <w:color w:val="000000"/>
          <w:sz w:val="22"/>
        </w:rPr>
        <w:t> </w:t>
      </w:r>
      <w:r>
        <w:rPr>
          <w:rFonts w:ascii="Times New Roman" w:hAnsi="Times New Roman"/>
          <w:b w:val="false"/>
          <w:i/>
          <w:color w:val="000000"/>
          <w:sz w:val="22"/>
        </w:rPr>
        <w:t xml:space="preserve">Nonappealable actions. </w:t>
      </w:r>
      <w:r>
        <w:rPr>
          <w:rFonts w:ascii="Times New Roman" w:hAnsi="Times New Roman"/>
          <w:b w:val="false"/>
          <w:i w:val="false"/>
          <w:color w:val="000000"/>
          <w:sz w:val="22"/>
        </w:rPr>
        <w:t>PROMISE JOBS participants shall not be entitled to an appeal hearing if the sole basis for denying, terminating or limiting assistance from family self-sufficiency grants is that self-sufficiency grant funds have been reduced, exhausted, eliminated, or otherwise encumbered.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441—47.26</w:t>
      </w:r>
      <w:r>
        <w:rPr>
          <w:rFonts w:ascii="Times New Roman" w:hAnsi="Times New Roman"/>
          <w:b/>
          <w:i w:val="false"/>
          <w:color w:val="000000"/>
          <w:sz w:val="22"/>
        </w:rPr>
        <w:t xml:space="preserve">(239B) </w:t>
      </w:r>
      <w:r>
        <w:rPr>
          <w:rFonts w:ascii="Times New Roman" w:hAnsi="Times New Roman"/>
          <w:b/>
          <w:i w:val="false"/>
          <w:color w:val="000000"/>
          <w:sz w:val="22"/>
        </w:rPr>
        <w:t xml:space="preserve">Approved local plans for family self-sufficiency grants. </w:t>
      </w:r>
      <w:r>
        <w:rPr>
          <w:rFonts w:ascii="Times New Roman" w:hAnsi="Times New Roman"/>
          <w:b w:val="false"/>
          <w:i w:val="false"/>
          <w:color w:val="000000"/>
          <w:sz w:val="22"/>
        </w:rPr>
        <w:t>Each IWD service delivery area shall create and provide to IWD the written policies and procedures for administering family self-sufficiency grants. BRS shall create and provide to the department the written policy and procedures for administering family self-sufficiency grants. The plan shall be reviewed for required elements and quality of service to ensure that it meets the purpose of the program and approved by the department division administrator and the appropriate responsible administrator. The written policies and procedures shall be available to the public at county offices, PROMISE JOBS offices, and IWD. At a minimum, these policies and procedures shall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47.26(1)</w:t>
      </w:r>
      <w:r>
        <w:rPr>
          <w:rFonts w:ascii="Times New Roman" w:hAnsi="Times New Roman"/>
          <w:b w:val="false"/>
          <w:i w:val="false"/>
          <w:color w:val="000000"/>
          <w:sz w:val="22"/>
        </w:rPr>
        <w:t> </w:t>
      </w:r>
      <w:r>
        <w:rPr>
          <w:rFonts w:ascii="Times New Roman" w:hAnsi="Times New Roman"/>
          <w:b w:val="false"/>
          <w:i/>
          <w:color w:val="000000"/>
          <w:sz w:val="22"/>
        </w:rPr>
        <w:t xml:space="preserve">A plan overview. </w:t>
      </w:r>
      <w:r>
        <w:rPr>
          <w:rFonts w:ascii="Times New Roman" w:hAnsi="Times New Roman"/>
          <w:b w:val="false"/>
          <w:i w:val="false"/>
          <w:color w:val="000000"/>
          <w:sz w:val="22"/>
        </w:rPr>
        <w:t>The plan overview shall contain a general description detailing: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types of services or assistance which will be excluded from consideration for family self-sufficiency grants by the IWD service delivery area or BRS.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determinations will be made that the service or assistance requested meets the program’s objective of helping the family obtain or retain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How determinations will be made that the proposed family self-sufficiency grant is not supplanting as required at subrule </w:t>
      </w:r>
      <w:hyperlink r:id="rId20">
        <w:r>
          <w:rPr>
            <w:rStyle w:val="Hyperlink"/>
            <w:rFonts w:ascii="Times New Roman" w:hAnsi="Times New Roman"/>
            <w:b w:val="false"/>
            <w:i w:val="false"/>
            <w:color w:val="000000"/>
            <w:sz w:val="22"/>
          </w:rPr>
          <w:t>47.24(5)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established and any maximum (and minimum, if any) values of payments of the services established by the IWD service delivery area or BRS.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procedures or standards for documenting barriers, using written notification policies found at </w:t>
      </w:r>
      <w:hyperlink r:id="rId21">
        <w:r>
          <w:rPr>
            <w:rStyle w:val="Hyperlink"/>
            <w:rFonts w:ascii="Times New Roman" w:hAnsi="Times New Roman"/>
            <w:b w:val="false"/>
            <w:i w:val="false"/>
            <w:color w:val="000000"/>
            <w:sz w:val="22"/>
          </w:rPr>
          <w:t>441—subrule 93.10(1)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procedures or standards for documenting employment attempts if not already tracked by PROMISE JOBS procedures, using policies found at rule </w:t>
      </w:r>
      <w:hyperlink r:id="rId22">
        <w:r>
          <w:rPr>
            <w:rStyle w:val="Hyperlink"/>
            <w:rFonts w:ascii="Times New Roman" w:hAnsi="Times New Roman"/>
            <w:b w:val="false"/>
            <w:i w:val="false"/>
            <w:color w:val="000000"/>
            <w:sz w:val="22"/>
          </w:rPr>
          <w:t>441—93.10</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How applications will be processed timely to address barriers to obtaining or retaining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Follow-up procedures on participant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for tracking of family self-sufficiency grant authorizations in order to stay within the amount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How staff will be trained to administer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47.26(2)</w:t>
      </w:r>
      <w:r>
        <w:rPr>
          <w:rFonts w:ascii="Times New Roman" w:hAnsi="Times New Roman"/>
          <w:b w:val="false"/>
          <w:i w:val="false"/>
          <w:color w:val="000000"/>
          <w:sz w:val="22"/>
        </w:rPr>
        <w:t> </w:t>
      </w:r>
      <w:r>
        <w:rPr>
          <w:rFonts w:ascii="Times New Roman" w:hAnsi="Times New Roman"/>
          <w:b w:val="false"/>
          <w:i/>
          <w:color w:val="000000"/>
          <w:sz w:val="22"/>
        </w:rPr>
        <w:t xml:space="preserve">Intake and eligibility determination. </w:t>
      </w:r>
      <w:r>
        <w:rPr>
          <w:rFonts w:ascii="Times New Roman" w:hAnsi="Times New Roman"/>
          <w:b w:val="false"/>
          <w:i w:val="false"/>
          <w:color w:val="000000"/>
          <w:sz w:val="22"/>
        </w:rPr>
        <w:t>The policies and procedures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families most likely to benefit from self-sufficiency grant assistance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families can apply for self-sufficiency grant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families will be informed of the availability of self-sufficiency grant assistance, its voluntary nature, and how the program works.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6440C</w:t>
      </w:r>
      <w:r>
        <w:rPr>
          <w:rFonts w:ascii="Times New Roman" w:hAnsi="Times New Roman"/>
          <w:b w:val="false"/>
          <w:i w:val="false"/>
          <w:color w:val="000000"/>
          <w:sz w:val="16"/>
        </w:rPr>
        <w:t>, IAB 8/10/22, effective 10/1/22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441—47.27</w:t>
      </w:r>
      <w:r>
        <w:rPr>
          <w:rFonts w:ascii="Times New Roman" w:hAnsi="Times New Roman"/>
          <w:b/>
          <w:i w:val="false"/>
          <w:color w:val="000000"/>
          <w:sz w:val="22"/>
        </w:rPr>
        <w:t xml:space="preserve">(239B) </w:t>
      </w:r>
      <w:r>
        <w:rPr>
          <w:rFonts w:ascii="Times New Roman" w:hAnsi="Times New Roman"/>
          <w:b/>
          <w:i w:val="false"/>
          <w:color w:val="000000"/>
          <w:sz w:val="22"/>
        </w:rPr>
        <w:t xml:space="preserve">Evaluation of family self-sufficiency grants. </w:t>
      </w:r>
      <w:r>
        <w:rPr>
          <w:rFonts w:ascii="Times New Roman" w:hAnsi="Times New Roman"/>
          <w:b w:val="false"/>
          <w:i w:val="false"/>
          <w:color w:val="000000"/>
          <w:sz w:val="22"/>
        </w:rPr>
        <w:t>The department, in conjunction with IWD and BRS, shall develop an evaluation plan. The evaluation plan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Describe tracking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the plan for evaluation (e.g., what elements will be used to create significant data regarding outcomes).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how measurable results will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Identify any support needed to conduct an evaluation (e.g., what assistance is needed from the department and IWD).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Describe which aspects of the project were successful and which were not.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441—47.28</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FSSG overpayments. </w:t>
      </w:r>
      <w:r>
        <w:rPr>
          <w:rFonts w:ascii="Times New Roman" w:hAnsi="Times New Roman"/>
          <w:b w:val="false"/>
          <w:i w:val="false"/>
          <w:color w:val="000000"/>
          <w:sz w:val="22"/>
        </w:rPr>
        <w:t xml:space="preserve">An overpayment exists when an item(s) for which the funds were awarded was not purchased, a duplicate payment was issued or when, according to receipts, the item(s) purchased costs less than the funds received. For purposes of overpayment and recovery, an FSSG payment is considered a PROMISE JOBS expense payment and is subject to rule </w:t>
      </w:r>
      <w:hyperlink r:id="rId23">
        <w:r>
          <w:rPr>
            <w:rStyle w:val="Hyperlink"/>
            <w:rFonts w:ascii="Times New Roman" w:hAnsi="Times New Roman"/>
            <w:b w:val="false"/>
            <w:i w:val="false"/>
            <w:color w:val="000000"/>
            <w:sz w:val="22"/>
          </w:rPr>
          <w:t>441—93.12</w:t>
        </w:r>
      </w:hyperlink>
      <w:r>
        <w:rPr>
          <w:rFonts w:ascii="Times New Roman" w:hAnsi="Times New Roman"/>
          <w:b w:val="false"/>
          <w:i w:val="false"/>
          <w:color w:val="000000"/>
          <w:sz w:val="22"/>
        </w:rPr>
        <w:t>(239B), recovery of PROMISE JOBS expense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1147C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239B.11</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PILOT COMMUNITY SELF-SUFFICIENCY GRANTS PROGRAM</w:t>
      </w:r>
    </w:p>
    <w:p>
      <w:pPr>
        <w:spacing w:before="0" w:after="0"/>
        <w:ind w:left="120"/>
        <w:jc w:val="left"/>
      </w:pP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12/10/03</w:t>
      </w:r>
      <w:r>
        <w:rPr>
          <w:rFonts w:ascii="Times New Roman" w:hAnsi="Times New Roman"/>
          <w:b w:val="false"/>
          <w:i w:val="false"/>
          <w:color w:val="000000"/>
          <w:sz w:val="22"/>
        </w:rPr>
        <w:t>, effective 1/1/04</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PILOT POST-FIP DIVERSION PROGRAM</w:t>
      </w:r>
    </w:p>
    <w:p>
      <w:pPr>
        <w:spacing w:before="0" w:after="0"/>
        <w:ind w:left="120"/>
        <w:jc w:val="left"/>
      </w:pP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12/10/03</w:t>
      </w:r>
      <w:r>
        <w:rPr>
          <w:rFonts w:ascii="Times New Roman" w:hAnsi="Times New Roman"/>
          <w:b w:val="false"/>
          <w:i w:val="false"/>
          <w:color w:val="000000"/>
          <w:sz w:val="22"/>
        </w:rPr>
        <w:t>, effective 1/1/04</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emergency 11/19/03 after Notice 10/1/03—published 12/10/03, effective 1/1/04]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8259B</w:t>
      </w:r>
      <w:r>
        <w:rPr>
          <w:rFonts w:ascii="Times New Roman" w:hAnsi="Times New Roman"/>
          <w:b w:val="false"/>
          <w:i w:val="false"/>
          <w:color w:val="000000"/>
          <w:sz w:val="21"/>
        </w:rPr>
        <w:t xml:space="preserve"> (Notice ARC 8064B,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9172B</w:t>
      </w:r>
      <w:r>
        <w:rPr>
          <w:rFonts w:ascii="Times New Roman" w:hAnsi="Times New Roman"/>
          <w:b w:val="false"/>
          <w:i w:val="false"/>
          <w:color w:val="000000"/>
          <w:sz w:val="21"/>
        </w:rPr>
        <w:t xml:space="preserve"> (Notice ARC 9019B,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9350B</w:t>
      </w:r>
      <w:r>
        <w:rPr>
          <w:rFonts w:ascii="Times New Roman" w:hAnsi="Times New Roman"/>
          <w:b w:val="false"/>
          <w:i w:val="false"/>
          <w:color w:val="000000"/>
          <w:sz w:val="21"/>
        </w:rPr>
        <w:t xml:space="preserve"> (Notice ARC 9225B, IAB 11/17/10)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1147C</w:t>
      </w:r>
      <w:r>
        <w:rPr>
          <w:rFonts w:ascii="Times New Roman" w:hAnsi="Times New Roman"/>
          <w:b w:val="false"/>
          <w:i w:val="false"/>
          <w:color w:val="000000"/>
          <w:sz w:val="21"/>
        </w:rPr>
        <w:t xml:space="preserve"> (Notice ARC 0913C,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6440C</w:t>
      </w:r>
      <w:r>
        <w:rPr>
          <w:rFonts w:ascii="Times New Roman" w:hAnsi="Times New Roman"/>
          <w:b w:val="false"/>
          <w:i w:val="false"/>
          <w:color w:val="000000"/>
          <w:sz w:val="21"/>
        </w:rPr>
        <w:t xml:space="preserve"> (Notice ARC 6327C, IAB 5/18/22)</w:t>
      </w:r>
      <w:r>
        <w:rPr>
          <w:rFonts w:ascii="Times New Roman" w:hAnsi="Times New Roman"/>
          <w:b w:val="false"/>
          <w:i w:val="false"/>
          <w:color w:val="000000"/>
          <w:sz w:val="21"/>
        </w:rPr>
        <w:t>, IAB 8/10/22, effective 10/1/22]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65.pdf" Type="http://schemas.openxmlformats.org/officeDocument/2006/relationships/hyperlink" Id="rId5"/>
    <Relationship TargetMode="External" Target="https://www.legis.iowa.gov/docs/iac/chapter/441.65.pdf" Type="http://schemas.openxmlformats.org/officeDocument/2006/relationships/hyperlink" Id="rId6"/>
    <Relationship TargetMode="External" Target="https://www.legis.iowa.gov/docs/iac/rule/441.65.29.pdf" Type="http://schemas.openxmlformats.org/officeDocument/2006/relationships/hyperlink" Id="rId7"/>
    <Relationship TargetMode="External" Target="https://www.legis.iowa.gov/docs/iac/rule/441.47.1.pdf" Type="http://schemas.openxmlformats.org/officeDocument/2006/relationships/hyperlink" Id="rId8"/>
    <Relationship TargetMode="External" Target="https://www.legis.iowa.gov/docs/iac/rule/441.47.1.pdf" Type="http://schemas.openxmlformats.org/officeDocument/2006/relationships/hyperlink" Id="rId9"/>
    <Relationship TargetMode="External" Target="https://www.legis.iowa.gov/docs/iac/chapter/441.65.pdf" Type="http://schemas.openxmlformats.org/officeDocument/2006/relationships/hyperlink" Id="rId10"/>
    <Relationship TargetMode="External" Target="https://www.legis.iowa.gov/docs/ico/chapter/234.6.pdf" Type="http://schemas.openxmlformats.org/officeDocument/2006/relationships/hyperlink" Id="rId11"/>
    <Relationship TargetMode="External" Target="https://www.legis.iowa.gov/docs/iac/rule/441.40.21.pdf" Type="http://schemas.openxmlformats.org/officeDocument/2006/relationships/hyperlink" Id="rId12"/>
    <Relationship TargetMode="External" Target="https://www.legis.iowa.gov/docs/iac/chapter/441.40.pdf" Type="http://schemas.openxmlformats.org/officeDocument/2006/relationships/hyperlink" Id="rId13"/>
    <Relationship TargetMode="External" Target="https://www.legis.iowa.gov/docs/iac/chapter/441.41.pdf" Type="http://schemas.openxmlformats.org/officeDocument/2006/relationships/hyperlink" Id="rId14"/>
    <Relationship TargetMode="External" Target="https://www.legis.iowa.gov/docs/iac/rule/441.47.26.pdf" Type="http://schemas.openxmlformats.org/officeDocument/2006/relationships/hyperlink" Id="rId15"/>
    <Relationship TargetMode="External" Target="https://www.legis.iowa.gov/docs/iac/chapter/441.93.pdf" Type="http://schemas.openxmlformats.org/officeDocument/2006/relationships/hyperlink" Id="rId16"/>
    <Relationship TargetMode="External" Target="https://www.legis.iowa.gov/docs/iac/rule/441.47.24.pdf" Type="http://schemas.openxmlformats.org/officeDocument/2006/relationships/hyperlink" Id="rId17"/>
    <Relationship TargetMode="External" Target="https://www.legis.iowa.gov/docs/iac/chapter/441.7.pdf" Type="http://schemas.openxmlformats.org/officeDocument/2006/relationships/hyperlink" Id="rId18"/>
    <Relationship TargetMode="External" Target="https://www.legis.iowa.gov/docs/iac/rule/441.47.26.pdf" Type="http://schemas.openxmlformats.org/officeDocument/2006/relationships/hyperlink" Id="rId19"/>
    <Relationship TargetMode="External" Target="https://www.legis.iowa.gov/docs/iac/rule/441.47.24.pdf" Type="http://schemas.openxmlformats.org/officeDocument/2006/relationships/hyperlink" Id="rId20"/>
    <Relationship TargetMode="External" Target="https://www.legis.iowa.gov/docs/iac/rule/441.93.10.pdf" Type="http://schemas.openxmlformats.org/officeDocument/2006/relationships/hyperlink" Id="rId21"/>
    <Relationship TargetMode="External" Target="https://www.legis.iowa.gov/docs/iac/rule/441.93.10.pdf" Type="http://schemas.openxmlformats.org/officeDocument/2006/relationships/hyperlink" Id="rId22"/>
    <Relationship TargetMode="External" Target="https://www.legis.iowa.gov/docs/iac/rule/441.93.12.pdf" Type="http://schemas.openxmlformats.org/officeDocument/2006/relationships/hyperlink" Id="rId23"/>
    <Relationship TargetMode="External" Target="https://www.legis.iowa.gov/docs/ico/chapter/239B.11.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