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w:t>
      </w:r>
    </w:p>
    <w:p>
      <w:pPr>
        <w:spacing w:before="0" w:after="0"/>
        <w:ind w:left="120"/>
        <w:jc w:val="center"/>
      </w:pPr>
      <w:r>
        <w:rPr>
          <w:rFonts w:ascii="Times New Roman" w:hAnsi="Times New Roman"/>
          <w:b w:val="false"/>
          <w:i w:val="false"/>
          <w:color w:val="000000"/>
          <w:sz w:val="21"/>
        </w:rPr>
        <w:t>PAYMENT</w:t>
      </w:r>
    </w:p>
    <w:p>
      <w:pPr>
        <w:spacing w:before="0" w:after="0"/>
        <w:ind w:left="120"/>
        <w:jc w:val="center"/>
      </w:pPr>
      <w:r>
        <w:rPr>
          <w:rFonts w:ascii="Times New Roman" w:hAnsi="Times New Roman"/>
          <w:b w:val="false"/>
          <w:i w:val="false"/>
          <w:color w:val="000000"/>
          <w:sz w:val="14"/>
        </w:rPr>
        <w:t>[Ch 45, January 1974 IDR Supplement, renumbered as [770] Ch 42]</w:t>
      </w:r>
    </w:p>
    <w:p>
      <w:pPr>
        <w:spacing w:before="0" w:after="0"/>
        <w:ind w:left="120"/>
        <w:jc w:val="center"/>
      </w:pPr>
      <w:r>
        <w:rPr>
          <w:rFonts w:ascii="Times New Roman" w:hAnsi="Times New Roman"/>
          <w:b w:val="false"/>
          <w:i w:val="false"/>
          <w:color w:val="000000"/>
          <w:sz w:val="14"/>
        </w:rPr>
        <w:t>[Prior to 7/1/83, Social Services[770] Ch 45]</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FAMILY INVESTMENT PROGRAM—CONTROL GROUP</w:t>
      </w:r>
    </w:p>
    <w:p>
      <w:pPr>
        <w:spacing w:before="0" w:after="0"/>
        <w:ind w:left="120"/>
        <w:jc w:val="center"/>
      </w:pPr>
      <w:r>
        <w:rPr>
          <w:rFonts w:ascii="Times New Roman" w:hAnsi="Times New Roman"/>
          <w:b w:val="false"/>
          <w:i w:val="false"/>
          <w:color w:val="000000"/>
          <w:sz w:val="14"/>
        </w:rPr>
        <w:t>[Rescinded IAB 2/12/97, effective 3/1/97]</w:t>
      </w:r>
    </w:p>
    <w:p>
      <w:pPr>
        <w:spacing w:before="210" w:after="0"/>
        <w:ind w:left="120"/>
        <w:jc w:val="both"/>
      </w:pPr>
      <w:r>
        <w:rPr>
          <w:rFonts w:ascii="Times New Roman" w:hAnsi="Times New Roman"/>
          <w:b/>
          <w:i w:val="false"/>
          <w:color w:val="000000"/>
          <w:sz w:val="22"/>
        </w:rPr>
        <w:t>441—45.1</w:t>
      </w:r>
      <w:r>
        <w:rPr>
          <w:rFonts w:ascii="Times New Roman" w:hAnsi="Times New Roman"/>
          <w:b w:val="false"/>
          <w:i w:val="false"/>
          <w:color w:val="000000"/>
          <w:sz w:val="22"/>
        </w:rPr>
        <w:t xml:space="preserve"> to </w:t>
      </w:r>
      <w:r>
        <w:rPr>
          <w:rFonts w:ascii="Times New Roman" w:hAnsi="Times New Roman"/>
          <w:b/>
          <w:i w:val="false"/>
          <w:color w:val="000000"/>
          <w:sz w:val="22"/>
        </w:rPr>
        <w:t>45.20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FAMILY INVESTMENT PROGRAM—TREATMENT GROUP</w:t>
      </w:r>
    </w:p>
    <w:p>
      <w:pPr>
        <w:spacing w:before="0" w:after="0"/>
        <w:ind w:left="120"/>
        <w:jc w:val="center"/>
      </w:pPr>
      <w:r>
        <w:rPr>
          <w:rFonts w:ascii="Times New Roman" w:hAnsi="Times New Roman"/>
          <w:b w:val="false"/>
          <w:i w:val="false"/>
          <w:color w:val="000000"/>
          <w:sz w:val="14"/>
        </w:rPr>
        <w:t xml:space="preserve">[Prior to 10/13/93, </w:t>
      </w:r>
      <w:hyperlink r:id="rId5">
        <w:r>
          <w:rPr>
            <w:rStyle w:val="Hyperlink"/>
            <w:rFonts w:ascii="Times New Roman" w:hAnsi="Times New Roman"/>
            <w:b w:val="false"/>
            <w:i w:val="false"/>
            <w:color w:val="000000"/>
            <w:sz w:val="14"/>
          </w:rPr>
          <w:t>441—45.1</w:t>
        </w:r>
      </w:hyperlink>
      <w:r>
        <w:rPr>
          <w:rFonts w:ascii="Times New Roman" w:hAnsi="Times New Roman"/>
          <w:b w:val="false"/>
          <w:i w:val="false"/>
          <w:color w:val="000000"/>
          <w:sz w:val="14"/>
        </w:rPr>
        <w:t xml:space="preserve">(239) to </w:t>
      </w:r>
      <w:hyperlink r:id="rId6">
        <w:r>
          <w:rPr>
            <w:rStyle w:val="Hyperlink"/>
            <w:rFonts w:ascii="Times New Roman" w:hAnsi="Times New Roman"/>
            <w:b w:val="false"/>
            <w:i w:val="false"/>
            <w:color w:val="000000"/>
            <w:sz w:val="14"/>
          </w:rPr>
          <w:t>45.7</w:t>
        </w:r>
      </w:hyperlink>
      <w:r>
        <w:rPr>
          <w:rFonts w:ascii="Times New Roman" w:hAnsi="Times New Roman"/>
          <w:b w:val="false"/>
          <w:i w:val="false"/>
          <w:color w:val="000000"/>
          <w:sz w:val="14"/>
        </w:rPr>
        <w:t>(239)]</w:t>
      </w:r>
    </w:p>
    <w:p>
      <w:pPr>
        <w:spacing w:before="0" w:after="0"/>
        <w:ind w:left="120"/>
        <w:jc w:val="both"/>
      </w:pPr>
      <w:r>
        <w:rPr>
          <w:rFonts w:ascii="Times New Roman" w:hAnsi="Times New Roman"/>
          <w:b/>
          <w:i w:val="false"/>
          <w:color w:val="000000"/>
          <w:sz w:val="22"/>
        </w:rPr>
        <w:t>441—45.21</w:t>
      </w:r>
      <w:r>
        <w:rPr>
          <w:rFonts w:ascii="Times New Roman" w:hAnsi="Times New Roman"/>
          <w:b/>
          <w:i w:val="false"/>
          <w:color w:val="000000"/>
          <w:sz w:val="22"/>
        </w:rPr>
        <w:t xml:space="preserve">(239B) </w:t>
      </w:r>
      <w:r>
        <w:rPr>
          <w:rFonts w:ascii="Times New Roman" w:hAnsi="Times New Roman"/>
          <w:b/>
          <w:i w:val="false"/>
          <w:color w:val="000000"/>
          <w:sz w:val="22"/>
        </w:rPr>
        <w:t xml:space="preserve">Issuing payment. </w:t>
      </w:r>
      <w:r>
        <w:rPr>
          <w:rFonts w:ascii="Times New Roman" w:hAnsi="Times New Roman"/>
          <w:b w:val="false"/>
          <w:i w:val="false"/>
          <w:color w:val="000000"/>
          <w:sz w:val="22"/>
        </w:rPr>
        <w:t xml:space="preserve">The department may issue assistance payments under the family investment program (FIP):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By electronic access card,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direct deposit to the recipient’s own account in a financial institution,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By warrant.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45.21(1)</w:t>
      </w:r>
      <w:r>
        <w:rPr>
          <w:rFonts w:ascii="Times New Roman" w:hAnsi="Times New Roman"/>
          <w:b w:val="false"/>
          <w:i w:val="false"/>
          <w:color w:val="000000"/>
          <w:sz w:val="22"/>
        </w:rPr>
        <w:t> </w:t>
      </w:r>
      <w:r>
        <w:rPr>
          <w:rFonts w:ascii="Times New Roman" w:hAnsi="Times New Roman"/>
          <w:b w:val="false"/>
          <w:i/>
          <w:color w:val="000000"/>
          <w:sz w:val="22"/>
        </w:rPr>
        <w:t xml:space="preserve">Electronic access card. </w:t>
      </w:r>
      <w:r>
        <w:rPr>
          <w:rFonts w:ascii="Times New Roman" w:hAnsi="Times New Roman"/>
          <w:b w:val="false"/>
          <w:i w:val="false"/>
          <w:color w:val="000000"/>
          <w:sz w:val="22"/>
        </w:rPr>
        <w:t>The department shall make payments available through an electronic access card issued to the payee except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recipient requests direct deposit;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determines it is not practicable to issue the payment by electronic access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45.21(2)</w:t>
      </w:r>
      <w:r>
        <w:rPr>
          <w:rFonts w:ascii="Times New Roman" w:hAnsi="Times New Roman"/>
          <w:b w:val="false"/>
          <w:i w:val="false"/>
          <w:color w:val="000000"/>
          <w:sz w:val="22"/>
        </w:rPr>
        <w:t> </w:t>
      </w:r>
      <w:r>
        <w:rPr>
          <w:rFonts w:ascii="Times New Roman" w:hAnsi="Times New Roman"/>
          <w:b w:val="false"/>
          <w:i/>
          <w:color w:val="000000"/>
          <w:sz w:val="22"/>
        </w:rPr>
        <w:t xml:space="preserve">Direct deposit. </w:t>
      </w:r>
      <w:r>
        <w:rPr>
          <w:rFonts w:ascii="Times New Roman" w:hAnsi="Times New Roman"/>
          <w:b w:val="false"/>
          <w:i w:val="false"/>
          <w:color w:val="000000"/>
          <w:sz w:val="22"/>
        </w:rPr>
        <w:t>The department shall issue payments by direct deposit to the recipient’s own account in a financial institution if the recipient completes Form 470-0261, Agreement for Automatic Deposit, to request direct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45.21(3)</w:t>
      </w:r>
      <w:r>
        <w:rPr>
          <w:rFonts w:ascii="Times New Roman" w:hAnsi="Times New Roman"/>
          <w:b w:val="false"/>
          <w:i w:val="false"/>
          <w:color w:val="000000"/>
          <w:sz w:val="22"/>
        </w:rPr>
        <w:t> </w:t>
      </w:r>
      <w:r>
        <w:rPr>
          <w:rFonts w:ascii="Times New Roman" w:hAnsi="Times New Roman"/>
          <w:b w:val="false"/>
          <w:i/>
          <w:color w:val="000000"/>
          <w:sz w:val="22"/>
        </w:rPr>
        <w:t xml:space="preserve">Warrant. </w:t>
      </w:r>
      <w:r>
        <w:rPr>
          <w:rFonts w:ascii="Times New Roman" w:hAnsi="Times New Roman"/>
          <w:b w:val="false"/>
          <w:i w:val="false"/>
          <w:color w:val="000000"/>
          <w:sz w:val="22"/>
        </w:rPr>
        <w:t>The department shall issue payments by warrant when the recipient has not requested direct deposit and the department determines it is not practicable to issue payment by electronic access card. These circumstances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one-time payment is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payee is a representative payee, conservator, or guardian who is not part of the FIP assistance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payee is unable to provide a social security number or an individual taxpayer identification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8005B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8204B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441—45.22</w:t>
      </w:r>
      <w:r>
        <w:rPr>
          <w:rFonts w:ascii="Times New Roman" w:hAnsi="Times New Roman"/>
          <w:b/>
          <w:i w:val="false"/>
          <w:color w:val="000000"/>
          <w:sz w:val="22"/>
        </w:rPr>
        <w:t xml:space="preserve">(239B) </w:t>
      </w:r>
      <w:r>
        <w:rPr>
          <w:rFonts w:ascii="Times New Roman" w:hAnsi="Times New Roman"/>
          <w:b/>
          <w:i w:val="false"/>
          <w:color w:val="000000"/>
          <w:sz w:val="22"/>
        </w:rPr>
        <w:t xml:space="preserve">Return. </w:t>
      </w:r>
      <w:r>
        <w:rPr>
          <w:rFonts w:ascii="Times New Roman" w:hAnsi="Times New Roman"/>
          <w:b w:val="false"/>
          <w:i w:val="false"/>
          <w:color w:val="000000"/>
          <w:sz w:val="22"/>
        </w:rPr>
        <w:t>Assistance warrants are not forwardable. When warrants cannot be delivered by the post office, they shall be returned to the department.</w:t>
      </w:r>
    </w:p>
    <w:p>
      <w:pPr>
        <w:spacing w:before="0" w:after="0"/>
        <w:ind w:left="120"/>
        <w:jc w:val="both"/>
      </w:pPr>
      <w:r>
        <w:rPr>
          <w:rFonts w:ascii="Times New Roman" w:hAnsi="Times New Roman"/>
          <w:b/>
          <w:i w:val="false"/>
          <w:color w:val="000000"/>
          <w:sz w:val="22"/>
        </w:rPr>
        <w:t>441—45.23</w:t>
      </w:r>
      <w:r>
        <w:rPr>
          <w:rFonts w:ascii="Times New Roman" w:hAnsi="Times New Roman"/>
          <w:b/>
          <w:i w:val="false"/>
          <w:color w:val="000000"/>
          <w:sz w:val="22"/>
        </w:rPr>
        <w:t xml:space="preserve">(239B) </w:t>
      </w:r>
      <w:r>
        <w:rPr>
          <w:rFonts w:ascii="Times New Roman" w:hAnsi="Times New Roman"/>
          <w:b/>
          <w:i w:val="false"/>
          <w:color w:val="000000"/>
          <w:sz w:val="22"/>
        </w:rPr>
        <w:t xml:space="preserve">Held warrants. </w:t>
      </w:r>
      <w:r>
        <w:rPr>
          <w:rFonts w:ascii="Times New Roman" w:hAnsi="Times New Roman"/>
          <w:b w:val="false"/>
          <w:i w:val="false"/>
          <w:color w:val="000000"/>
          <w:sz w:val="22"/>
        </w:rPr>
        <w:t>A warrant may be held by the department only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45.23(1)</w:t>
      </w:r>
      <w:r>
        <w:rPr>
          <w:rFonts w:ascii="Times New Roman" w:hAnsi="Times New Roman"/>
          <w:b w:val="false"/>
          <w:i w:val="false"/>
          <w:color w:val="000000"/>
          <w:sz w:val="22"/>
        </w:rPr>
        <w:t> </w:t>
      </w:r>
      <w:r>
        <w:rPr>
          <w:rFonts w:ascii="Times New Roman" w:hAnsi="Times New Roman"/>
          <w:b w:val="false"/>
          <w:i w:val="false"/>
          <w:color w:val="000000"/>
          <w:sz w:val="22"/>
        </w:rPr>
        <w:t>The recipient’s whereabouts is unknown.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45.23(2)</w:t>
      </w:r>
      <w:r>
        <w:rPr>
          <w:rFonts w:ascii="Times New Roman" w:hAnsi="Times New Roman"/>
          <w:b w:val="false"/>
          <w:i w:val="false"/>
          <w:color w:val="000000"/>
          <w:sz w:val="22"/>
        </w:rPr>
        <w:t> </w:t>
      </w:r>
      <w:r>
        <w:rPr>
          <w:rFonts w:ascii="Times New Roman" w:hAnsi="Times New Roman"/>
          <w:b w:val="false"/>
          <w:i w:val="false"/>
          <w:color w:val="000000"/>
          <w:sz w:val="22"/>
        </w:rPr>
        <w:t>The recipient is not in the home due to an emergency and it is not known who will be serving as emergency payee.</w:t>
      </w:r>
    </w:p>
    <w:p>
      <w:pPr>
        <w:spacing w:before="0" w:after="0"/>
        <w:ind w:left="120"/>
        <w:jc w:val="both"/>
      </w:pPr>
      <w:r>
        <w:rPr>
          <w:rFonts w:ascii="Times New Roman" w:hAnsi="Times New Roman"/>
          <w:b/>
          <w:i w:val="false"/>
          <w:color w:val="000000"/>
          <w:sz w:val="22"/>
        </w:rPr>
        <w:t>441—45.24</w:t>
      </w:r>
      <w:r>
        <w:rPr>
          <w:rFonts w:ascii="Times New Roman" w:hAnsi="Times New Roman"/>
          <w:b/>
          <w:i w:val="false"/>
          <w:color w:val="000000"/>
          <w:sz w:val="22"/>
        </w:rPr>
        <w:t xml:space="preserve">(239B) </w:t>
      </w:r>
      <w:r>
        <w:rPr>
          <w:rFonts w:ascii="Times New Roman" w:hAnsi="Times New Roman"/>
          <w:b/>
          <w:i w:val="false"/>
          <w:color w:val="000000"/>
          <w:sz w:val="22"/>
        </w:rPr>
        <w:t xml:space="preserve">Underpayment. </w:t>
      </w:r>
      <w:r>
        <w:rPr>
          <w:rFonts w:ascii="Times New Roman" w:hAnsi="Times New Roman"/>
          <w:b w:val="false"/>
          <w:i w:val="false"/>
          <w:color w:val="000000"/>
          <w:sz w:val="22"/>
        </w:rPr>
        <w:t>A corrective payment shall be made when the recipient receives a payment in an amount less than that for which the recipient was eligible due to an administrative or client error or the recipient reports the completion of the federal tax return requiring repayment to Internal Revenue Service of excess advance earned income credit payments received in the prior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45.24(1)</w:t>
      </w:r>
      <w:r>
        <w:rPr>
          <w:rFonts w:ascii="Times New Roman" w:hAnsi="Times New Roman"/>
          <w:b w:val="false"/>
          <w:i w:val="false"/>
          <w:color w:val="000000"/>
          <w:sz w:val="22"/>
        </w:rPr>
        <w:t> </w:t>
      </w:r>
      <w:r>
        <w:rPr>
          <w:rFonts w:ascii="Times New Roman" w:hAnsi="Times New Roman"/>
          <w:b w:val="false"/>
          <w:i w:val="false"/>
          <w:color w:val="000000"/>
          <w:sz w:val="22"/>
        </w:rPr>
        <w:t>Attribution of underpayments.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underpayment may be attributed to the department as a result of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Misfiling or loss of forms or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Errors in typing or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Computer input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Mathematical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Failure to certify assistance in the correct amount when all essential information was available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Failure to make prompt revisions in grants following changes in policies requiring the changes as of a specific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underpayment may be attributed to the client as a result of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reported in error, oral or written, regarding the client’s income, resources, or other circumstances which may affect eligibility or the amount of assistance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timely report changes in income, resources, or other circumstances which may affect eligibility or the amount of assistance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12/11/02</w:t>
      </w:r>
      <w:r>
        <w:rPr>
          <w:rFonts w:ascii="Times New Roman" w:hAnsi="Times New Roman"/>
          <w:b w:val="false"/>
          <w:i w:val="false"/>
          <w:color w:val="000000"/>
          <w:sz w:val="22"/>
        </w:rPr>
        <w:t>, effective 2/1/03.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45.24(2)</w:t>
      </w:r>
      <w:r>
        <w:rPr>
          <w:rFonts w:ascii="Times New Roman" w:hAnsi="Times New Roman"/>
          <w:b w:val="false"/>
          <w:i w:val="false"/>
          <w:color w:val="000000"/>
          <w:sz w:val="22"/>
        </w:rPr>
        <w:t> </w:t>
      </w:r>
      <w:r>
        <w:rPr>
          <w:rFonts w:ascii="Times New Roman" w:hAnsi="Times New Roman"/>
          <w:b w:val="false"/>
          <w:i w:val="false"/>
          <w:color w:val="000000"/>
          <w:sz w:val="22"/>
        </w:rPr>
        <w:t>Conditions under which a retroactive corrective payment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Retroactive corrective payments shall be made for all underpayments.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retroactive corrective payment for which the recipient is eligible shall first be applied to any unpaid overpayment before the balance, if any, is paid to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Retroactive corrective payments shall be made for underpayments discovered on and after October 1, 1981, regardless of when the underpayment occurred. Recipients and former applicants and recipients are responsible for supplying any information needed to determine the amount of an underpayment.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45.24(3)</w:t>
      </w:r>
      <w:r>
        <w:rPr>
          <w:rFonts w:ascii="Times New Roman" w:hAnsi="Times New Roman"/>
          <w:b w:val="false"/>
          <w:i w:val="false"/>
          <w:color w:val="000000"/>
          <w:sz w:val="22"/>
        </w:rPr>
        <w:t> </w:t>
      </w:r>
      <w:r>
        <w:rPr>
          <w:rFonts w:ascii="Times New Roman" w:hAnsi="Times New Roman"/>
          <w:b w:val="false"/>
          <w:i w:val="false"/>
          <w:color w:val="000000"/>
          <w:sz w:val="22"/>
        </w:rPr>
        <w:t>The amount of the corrective payment to the recipient for repayment to Internal Revenue Service of excess advance earned income credit payments shall be computed on the basis of the earnings considered in determining the family investment program grant for the prior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45.24(4)</w:t>
      </w:r>
      <w:r>
        <w:rPr>
          <w:rFonts w:ascii="Times New Roman" w:hAnsi="Times New Roman"/>
          <w:b w:val="false"/>
          <w:i w:val="false"/>
          <w:color w:val="000000"/>
          <w:sz w:val="22"/>
        </w:rPr>
        <w:t> </w:t>
      </w:r>
      <w:r>
        <w:rPr>
          <w:rFonts w:ascii="Times New Roman" w:hAnsi="Times New Roman"/>
          <w:b w:val="false"/>
          <w:i w:val="false"/>
          <w:color w:val="000000"/>
          <w:sz w:val="22"/>
        </w:rPr>
        <w:t>A retroactive corrective payment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Exempt from consideration as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Exempt from consideration as a resource in the month received and the following month.</w:t>
      </w:r>
    </w:p>
    <w:p>
      <w:pPr>
        <w:spacing w:before="210" w:after="0"/>
        <w:ind w:left="120"/>
        <w:jc w:val="both"/>
      </w:pPr>
      <w:r>
        <w:rPr>
          <w:rFonts w:ascii="Times New Roman" w:hAnsi="Times New Roman"/>
          <w:b/>
          <w:i w:val="false"/>
          <w:color w:val="000000"/>
          <w:sz w:val="22"/>
        </w:rPr>
        <w:t>441—45.25</w:t>
      </w:r>
      <w:r>
        <w:rPr>
          <w:rFonts w:ascii="Times New Roman" w:hAnsi="Times New Roman"/>
          <w:b/>
          <w:i w:val="false"/>
          <w:color w:val="000000"/>
          <w:sz w:val="22"/>
        </w:rPr>
        <w:t xml:space="preserve">(239B) </w:t>
      </w:r>
      <w:r>
        <w:rPr>
          <w:rFonts w:ascii="Times New Roman" w:hAnsi="Times New Roman"/>
          <w:b/>
          <w:i w:val="false"/>
          <w:color w:val="000000"/>
          <w:sz w:val="22"/>
        </w:rPr>
        <w:t xml:space="preserve">Deceased payees. </w:t>
      </w:r>
      <w:r>
        <w:rPr>
          <w:rFonts w:ascii="Times New Roman" w:hAnsi="Times New Roman"/>
          <w:b w:val="false"/>
          <w:i w:val="false"/>
          <w:color w:val="000000"/>
          <w:sz w:val="22"/>
        </w:rPr>
        <w:t>A retroactive corrective payment shall be made for deceased payees only when the payment was approved by the department before the recipient’s death. Payment for a special need shall be made only when the payment is entered on the automated benefit calculation system before the effective date of cancellation.</w:t>
      </w:r>
    </w:p>
    <w:p>
      <w:pPr>
        <w:spacing w:before="210" w:after="0"/>
        <w:ind w:left="120"/>
        <w:jc w:val="both"/>
      </w:pPr>
      <w:r>
        <w:rPr>
          <w:rFonts w:ascii="Times New Roman" w:hAnsi="Times New Roman"/>
          <w:b/>
          <w:i w:val="false"/>
          <w:color w:val="000000"/>
          <w:sz w:val="22"/>
        </w:rPr>
        <w:t>441—45.26</w:t>
      </w:r>
      <w:r>
        <w:rPr>
          <w:rFonts w:ascii="Times New Roman" w:hAnsi="Times New Roman"/>
          <w:b/>
          <w:i w:val="false"/>
          <w:color w:val="000000"/>
          <w:sz w:val="22"/>
        </w:rPr>
        <w:t xml:space="preserve">(239B) </w:t>
      </w:r>
      <w:r>
        <w:rPr>
          <w:rFonts w:ascii="Times New Roman" w:hAnsi="Times New Roman"/>
          <w:b/>
          <w:i w:val="false"/>
          <w:color w:val="000000"/>
          <w:sz w:val="22"/>
        </w:rPr>
        <w:t xml:space="preserve">Limitation on payment. </w:t>
      </w:r>
      <w:r>
        <w:rPr>
          <w:rFonts w:ascii="Times New Roman" w:hAnsi="Times New Roman"/>
          <w:b w:val="false"/>
          <w:i w:val="false"/>
          <w:color w:val="000000"/>
          <w:sz w:val="22"/>
        </w:rPr>
        <w:t>A payment shall be made to an eligible recipient only when the amount of the assistance is $10 or more.</w:t>
      </w:r>
    </w:p>
    <w:p>
      <w:pPr>
        <w:spacing w:before="210" w:after="0"/>
        <w:ind w:left="120"/>
        <w:jc w:val="both"/>
      </w:pPr>
      <w:r>
        <w:rPr>
          <w:rFonts w:ascii="Times New Roman" w:hAnsi="Times New Roman"/>
          <w:b/>
          <w:i w:val="false"/>
          <w:color w:val="000000"/>
          <w:sz w:val="22"/>
        </w:rPr>
        <w:t>441—45.27</w:t>
      </w:r>
      <w:r>
        <w:rPr>
          <w:rFonts w:ascii="Times New Roman" w:hAnsi="Times New Roman"/>
          <w:b/>
          <w:i w:val="false"/>
          <w:color w:val="000000"/>
          <w:sz w:val="22"/>
        </w:rPr>
        <w:t xml:space="preserve">(239B) </w:t>
      </w:r>
      <w:r>
        <w:rPr>
          <w:rFonts w:ascii="Times New Roman" w:hAnsi="Times New Roman"/>
          <w:b/>
          <w:i w:val="false"/>
          <w:color w:val="000000"/>
          <w:sz w:val="22"/>
        </w:rPr>
        <w:t xml:space="preserve">Rounding of need standard and payment amount. </w:t>
      </w:r>
      <w:r>
        <w:rPr>
          <w:rFonts w:ascii="Times New Roman" w:hAnsi="Times New Roman"/>
          <w:b w:val="false"/>
          <w:i w:val="false"/>
          <w:color w:val="000000"/>
          <w:sz w:val="22"/>
        </w:rPr>
        <w:t>The need standard and monthly payment amount must be rounded down to the next whole dollar when the result of determining the standard of need or the payment amount is not a whole dollar.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239B.2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239B.3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239B.7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1/4/79, Notice 11/29/78—published 1/24/79, effective 3/1/79]</w:t>
      </w:r>
    </w:p>
    <w:p>
      <w:pPr>
        <w:spacing w:before="0" w:after="0"/>
        <w:ind w:left="120"/>
        <w:jc w:val="center"/>
      </w:pPr>
      <w:r>
        <w:rPr>
          <w:rFonts w:ascii="Times New Roman" w:hAnsi="Times New Roman"/>
          <w:b w:val="false"/>
          <w:i w:val="false"/>
          <w:color w:val="000000"/>
          <w:sz w:val="21"/>
        </w:rPr>
        <w:t>[Filed emergency 9/25/81—published 10/14/81, effective 10/1/81]</w:t>
      </w:r>
    </w:p>
    <w:p>
      <w:pPr>
        <w:spacing w:before="0" w:after="0"/>
        <w:ind w:left="120"/>
        <w:jc w:val="center"/>
      </w:pPr>
      <w:r>
        <w:rPr>
          <w:rFonts w:ascii="Times New Roman" w:hAnsi="Times New Roman"/>
          <w:b w:val="false"/>
          <w:i w:val="false"/>
          <w:color w:val="000000"/>
          <w:sz w:val="21"/>
        </w:rPr>
        <w:t>[Filed emergency 10/23/81—published 11/11/81, effective 11/1/81]</w:t>
      </w:r>
    </w:p>
    <w:p>
      <w:pPr>
        <w:spacing w:before="0" w:after="0"/>
        <w:ind w:left="120"/>
        <w:jc w:val="center"/>
      </w:pPr>
      <w:r>
        <w:rPr>
          <w:rFonts w:ascii="Times New Roman" w:hAnsi="Times New Roman"/>
          <w:b w:val="false"/>
          <w:i w:val="false"/>
          <w:color w:val="000000"/>
          <w:sz w:val="21"/>
        </w:rPr>
        <w:t>[Filed emergency 9/23/82—published 10/13/82, effective 10/1/82]</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after Notice 1/21/85, Notice 11/7/84—published 2/13/85, effective 2/1/85]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2/17/88, Notice 12/30/87—published 3/9/88, effective 6/1/88]</w:t>
      </w:r>
    </w:p>
    <w:p>
      <w:pPr>
        <w:spacing w:before="0" w:after="0"/>
        <w:ind w:left="120"/>
        <w:jc w:val="center"/>
      </w:pPr>
      <w:r>
        <w:rPr>
          <w:rFonts w:ascii="Times New Roman" w:hAnsi="Times New Roman"/>
          <w:b w:val="false"/>
          <w:i w:val="false"/>
          <w:color w:val="000000"/>
          <w:sz w:val="21"/>
        </w:rPr>
        <w:t>[Filed 4/13/89, Notice 3/8/89—published 5/3/89, effective 7/1/89]</w:t>
      </w:r>
    </w:p>
    <w:p>
      <w:pPr>
        <w:spacing w:before="0" w:after="0"/>
        <w:ind w:left="120"/>
        <w:jc w:val="center"/>
      </w:pPr>
      <w:r>
        <w:rPr>
          <w:rFonts w:ascii="Times New Roman" w:hAnsi="Times New Roman"/>
          <w:b w:val="false"/>
          <w:i w:val="false"/>
          <w:color w:val="000000"/>
          <w:sz w:val="21"/>
        </w:rPr>
        <w:t>[Filed emergency after Notice 9/15/89, Notice 8/9/89—published 10/4/89, effective 10/1/89]</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emergency 1/15/97—published 2/12/97, effective 3/1/97]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11/18/02, Notice 10/2/02—published 12/11/02, effective 2/1/03]</w:t>
      </w:r>
    </w:p>
    <w:p>
      <w:pPr>
        <w:spacing w:before="0" w:after="0"/>
        <w:ind w:left="120"/>
        <w:jc w:val="center"/>
      </w:pPr>
      <w:r>
        <w:rPr>
          <w:rFonts w:ascii="Times New Roman" w:hAnsi="Times New Roman"/>
          <w:b w:val="false"/>
          <w:i w:val="false"/>
          <w:color w:val="000000"/>
          <w:sz w:val="21"/>
        </w:rPr>
        <w:t>[Filed 8/12/05, Notice 6/8/05—published 8/31/05, effective 11/1/05]</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Without Notice ARC 8005B, IAB 7/29/09, effective 10/1/09]</w:t>
      </w:r>
    </w:p>
    <w:p>
      <w:pPr>
        <w:spacing w:before="0" w:after="0"/>
        <w:ind w:left="120"/>
        <w:jc w:val="center"/>
      </w:pPr>
      <w:r>
        <w:rPr>
          <w:rFonts w:ascii="Times New Roman" w:hAnsi="Times New Roman"/>
          <w:b w:val="false"/>
          <w:i w:val="false"/>
          <w:color w:val="000000"/>
          <w:sz w:val="21"/>
        </w:rPr>
        <w:t>[Filed ARC 8204B</w:t>
      </w:r>
      <w:r>
        <w:rPr>
          <w:rFonts w:ascii="Times New Roman" w:hAnsi="Times New Roman"/>
          <w:b w:val="false"/>
          <w:i w:val="false"/>
          <w:color w:val="000000"/>
          <w:sz w:val="21"/>
        </w:rPr>
        <w:t xml:space="preserve"> (Notice ARC 8006B, IAB 7/29/09)</w:t>
      </w:r>
      <w:r>
        <w:rPr>
          <w:rFonts w:ascii="Times New Roman" w:hAnsi="Times New Roman"/>
          <w:b w:val="false"/>
          <w:i w:val="false"/>
          <w:color w:val="000000"/>
          <w:sz w:val="21"/>
        </w:rPr>
        <w:t>, IAB 10/7/09, effective 11/11/09]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45.1.pdf" Type="http://schemas.openxmlformats.org/officeDocument/2006/relationships/hyperlink" Id="rId5"/>
    <Relationship TargetMode="External" Target="https://www.legis.iowa.gov/docs/iac/rule/441.45.7.pdf" Type="http://schemas.openxmlformats.org/officeDocument/2006/relationships/hyperlink" Id="rId6"/>
    <Relationship TargetMode="External" Target="https://www.legis.iowa.gov/docs/ico/chapter/239B.2.pdf" Type="http://schemas.openxmlformats.org/officeDocument/2006/relationships/hyperlink" Id="rId7"/>
    <Relationship TargetMode="External" Target="https://www.legis.iowa.gov/docs/ico/chapter/239B.3.pdf" Type="http://schemas.openxmlformats.org/officeDocument/2006/relationships/hyperlink" Id="rId8"/>
    <Relationship TargetMode="External" Target="https://www.legis.iowa.gov/docs/ico/chapter/239B.7.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