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ALTERNATE PAYEES</w:t>
      </w:r>
    </w:p>
    <w:p>
      <w:pPr>
        <w:spacing w:before="0" w:after="0"/>
        <w:ind w:left="120"/>
        <w:jc w:val="center"/>
      </w:pPr>
      <w:r>
        <w:rPr>
          <w:rFonts w:ascii="Times New Roman" w:hAnsi="Times New Roman"/>
          <w:b w:val="false"/>
          <w:i w:val="false"/>
          <w:color w:val="000000"/>
          <w:sz w:val="14"/>
        </w:rPr>
        <w:t>[Prior to 7/1/83, Social Services[770] Ch 43]</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FAMILY INVESTMENT PROGRAM—CONTROL GROUP</w:t>
      </w:r>
    </w:p>
    <w:p>
      <w:pPr>
        <w:spacing w:before="0" w:after="0"/>
        <w:ind w:left="120"/>
        <w:jc w:val="center"/>
      </w:pPr>
      <w:r>
        <w:rPr>
          <w:rFonts w:ascii="Times New Roman" w:hAnsi="Times New Roman"/>
          <w:b w:val="false"/>
          <w:i w:val="false"/>
          <w:color w:val="000000"/>
          <w:sz w:val="14"/>
        </w:rPr>
        <w:t>[Rescinded IAB 2/12/97, effective 3/1/97]</w:t>
      </w:r>
    </w:p>
    <w:p>
      <w:pPr>
        <w:spacing w:before="210" w:after="0"/>
        <w:ind w:left="120"/>
        <w:jc w:val="both"/>
      </w:pPr>
      <w:r>
        <w:rPr>
          <w:rFonts w:ascii="Times New Roman" w:hAnsi="Times New Roman"/>
          <w:b/>
          <w:i w:val="false"/>
          <w:color w:val="000000"/>
          <w:sz w:val="22"/>
        </w:rPr>
        <w:t>441—43.1</w:t>
      </w:r>
      <w:r>
        <w:rPr>
          <w:rFonts w:ascii="Times New Roman" w:hAnsi="Times New Roman"/>
          <w:b w:val="false"/>
          <w:i w:val="false"/>
          <w:color w:val="000000"/>
          <w:sz w:val="22"/>
        </w:rPr>
        <w:t xml:space="preserve"> to </w:t>
      </w:r>
      <w:r>
        <w:rPr>
          <w:rFonts w:ascii="Times New Roman" w:hAnsi="Times New Roman"/>
          <w:b/>
          <w:i w:val="false"/>
          <w:color w:val="000000"/>
          <w:sz w:val="22"/>
        </w:rPr>
        <w:t>43.20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FAMILY INVESTMENT PROGRAM—TREATMENT GROUP</w:t>
      </w:r>
    </w:p>
    <w:p>
      <w:pPr>
        <w:spacing w:before="0" w:after="0"/>
        <w:ind w:left="120"/>
        <w:jc w:val="center"/>
      </w:pPr>
      <w:r>
        <w:rPr>
          <w:rFonts w:ascii="Times New Roman" w:hAnsi="Times New Roman"/>
          <w:b w:val="false"/>
          <w:i w:val="false"/>
          <w:color w:val="000000"/>
          <w:sz w:val="14"/>
        </w:rPr>
        <w:t xml:space="preserve">[Prior to 10/13/93, </w:t>
      </w:r>
      <w:hyperlink r:id="rId5">
        <w:r>
          <w:rPr>
            <w:rStyle w:val="Hyperlink"/>
            <w:rFonts w:ascii="Times New Roman" w:hAnsi="Times New Roman"/>
            <w:b w:val="false"/>
            <w:i w:val="false"/>
            <w:color w:val="000000"/>
            <w:sz w:val="14"/>
          </w:rPr>
          <w:t>441—43.1</w:t>
        </w:r>
      </w:hyperlink>
      <w:r>
        <w:rPr>
          <w:rFonts w:ascii="Times New Roman" w:hAnsi="Times New Roman"/>
          <w:b w:val="false"/>
          <w:i w:val="false"/>
          <w:color w:val="000000"/>
          <w:sz w:val="14"/>
        </w:rPr>
        <w:t xml:space="preserve">(239) to </w:t>
      </w:r>
      <w:hyperlink r:id="rId6">
        <w:r>
          <w:rPr>
            <w:rStyle w:val="Hyperlink"/>
            <w:rFonts w:ascii="Times New Roman" w:hAnsi="Times New Roman"/>
            <w:b w:val="false"/>
            <w:i w:val="false"/>
            <w:color w:val="000000"/>
            <w:sz w:val="14"/>
          </w:rPr>
          <w:t>43.4</w:t>
        </w:r>
      </w:hyperlink>
      <w:r>
        <w:rPr>
          <w:rFonts w:ascii="Times New Roman" w:hAnsi="Times New Roman"/>
          <w:b w:val="false"/>
          <w:i w:val="false"/>
          <w:color w:val="000000"/>
          <w:sz w:val="14"/>
        </w:rPr>
        <w:t>(239)]</w:t>
      </w:r>
    </w:p>
    <w:p>
      <w:pPr>
        <w:spacing w:before="0" w:after="0"/>
        <w:ind w:left="120"/>
        <w:jc w:val="both"/>
      </w:pPr>
      <w:r>
        <w:rPr>
          <w:rFonts w:ascii="Times New Roman" w:hAnsi="Times New Roman"/>
          <w:b/>
          <w:i w:val="false"/>
          <w:color w:val="000000"/>
          <w:sz w:val="22"/>
        </w:rPr>
        <w:t>441—43.21</w:t>
      </w:r>
      <w:r>
        <w:rPr>
          <w:rFonts w:ascii="Times New Roman" w:hAnsi="Times New Roman"/>
          <w:b/>
          <w:i w:val="false"/>
          <w:color w:val="000000"/>
          <w:sz w:val="22"/>
        </w:rPr>
        <w:t xml:space="preserve">(239B) </w:t>
      </w:r>
      <w:r>
        <w:rPr>
          <w:rFonts w:ascii="Times New Roman" w:hAnsi="Times New Roman"/>
          <w:b/>
          <w:i w:val="false"/>
          <w:color w:val="000000"/>
          <w:sz w:val="22"/>
        </w:rPr>
        <w:t xml:space="preserve">Conservatorship or guardianship.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43.21(1)</w:t>
      </w:r>
      <w:r>
        <w:rPr>
          <w:rFonts w:ascii="Times New Roman" w:hAnsi="Times New Roman"/>
          <w:b w:val="false"/>
          <w:i w:val="false"/>
          <w:color w:val="000000"/>
          <w:sz w:val="22"/>
        </w:rPr>
        <w:t> </w:t>
      </w:r>
      <w:r>
        <w:rPr>
          <w:rFonts w:ascii="Times New Roman" w:hAnsi="Times New Roman"/>
          <w:b w:val="false"/>
          <w:i w:val="false"/>
          <w:color w:val="000000"/>
          <w:sz w:val="22"/>
        </w:rPr>
        <w:t>When application is filed for the family investment program by a person under conservatorship or guardianship, a copy of the court order shall be secured by the department. Assistance payments shall be made to the conservator or guardian to be allocated for the support and care of the dependent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8/31/05</w:t>
      </w:r>
      <w:r>
        <w:rPr>
          <w:rFonts w:ascii="Times New Roman" w:hAnsi="Times New Roman"/>
          <w:b w:val="false"/>
          <w:i w:val="false"/>
          <w:color w:val="000000"/>
          <w:sz w:val="22"/>
        </w:rPr>
        <w:t>, effective 11/1/05.</w:t>
      </w:r>
    </w:p>
    <w:p>
      <w:pPr>
        <w:spacing w:before="210" w:after="0"/>
        <w:ind w:left="120"/>
        <w:jc w:val="both"/>
      </w:pPr>
      <w:r>
        <w:rPr>
          <w:rFonts w:ascii="Times New Roman" w:hAnsi="Times New Roman"/>
          <w:b/>
          <w:i w:val="false"/>
          <w:color w:val="000000"/>
          <w:sz w:val="22"/>
        </w:rPr>
        <w:t>441—43.22</w:t>
      </w:r>
      <w:r>
        <w:rPr>
          <w:rFonts w:ascii="Times New Roman" w:hAnsi="Times New Roman"/>
          <w:b/>
          <w:i w:val="false"/>
          <w:color w:val="000000"/>
          <w:sz w:val="22"/>
        </w:rPr>
        <w:t xml:space="preserve">(239B) </w:t>
      </w:r>
      <w:r>
        <w:rPr>
          <w:rFonts w:ascii="Times New Roman" w:hAnsi="Times New Roman"/>
          <w:b/>
          <w:i w:val="false"/>
          <w:color w:val="000000"/>
          <w:sz w:val="22"/>
        </w:rPr>
        <w:t xml:space="preserve">Protective payments.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8/31/05</w:t>
      </w:r>
      <w:r>
        <w:rPr>
          <w:rFonts w:ascii="Times New Roman" w:hAnsi="Times New Roman"/>
          <w:b w:val="false"/>
          <w:i w:val="false"/>
          <w:color w:val="000000"/>
          <w:sz w:val="22"/>
        </w:rPr>
        <w:t>, effective 11/1/05.</w:t>
      </w:r>
    </w:p>
    <w:p>
      <w:pPr>
        <w:spacing w:before="210" w:after="0"/>
        <w:ind w:left="120"/>
        <w:jc w:val="both"/>
      </w:pPr>
      <w:r>
        <w:rPr>
          <w:rFonts w:ascii="Times New Roman" w:hAnsi="Times New Roman"/>
          <w:b/>
          <w:i w:val="false"/>
          <w:color w:val="000000"/>
          <w:sz w:val="22"/>
        </w:rPr>
        <w:t>441—43.23</w:t>
      </w:r>
      <w:r>
        <w:rPr>
          <w:rFonts w:ascii="Times New Roman" w:hAnsi="Times New Roman"/>
          <w:b/>
          <w:i w:val="false"/>
          <w:color w:val="000000"/>
          <w:sz w:val="22"/>
        </w:rPr>
        <w:t xml:space="preserve">(239B) </w:t>
      </w:r>
      <w:r>
        <w:rPr>
          <w:rFonts w:ascii="Times New Roman" w:hAnsi="Times New Roman"/>
          <w:b/>
          <w:i w:val="false"/>
          <w:color w:val="000000"/>
          <w:sz w:val="22"/>
        </w:rPr>
        <w:t xml:space="preserve">Vendor payments.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8/31/05</w:t>
      </w:r>
      <w:r>
        <w:rPr>
          <w:rFonts w:ascii="Times New Roman" w:hAnsi="Times New Roman"/>
          <w:b w:val="false"/>
          <w:i w:val="false"/>
          <w:color w:val="000000"/>
          <w:sz w:val="22"/>
        </w:rPr>
        <w:t>, effective 11/1/05.</w:t>
      </w:r>
    </w:p>
    <w:p>
      <w:pPr>
        <w:spacing w:before="210" w:after="0"/>
        <w:ind w:left="120"/>
        <w:jc w:val="both"/>
      </w:pPr>
      <w:r>
        <w:rPr>
          <w:rFonts w:ascii="Times New Roman" w:hAnsi="Times New Roman"/>
          <w:b/>
          <w:i w:val="false"/>
          <w:color w:val="000000"/>
          <w:sz w:val="22"/>
        </w:rPr>
        <w:t>441—43.24</w:t>
      </w:r>
      <w:r>
        <w:rPr>
          <w:rFonts w:ascii="Times New Roman" w:hAnsi="Times New Roman"/>
          <w:b/>
          <w:i w:val="false"/>
          <w:color w:val="000000"/>
          <w:sz w:val="22"/>
        </w:rPr>
        <w:t xml:space="preserve">(239B) </w:t>
      </w:r>
      <w:r>
        <w:rPr>
          <w:rFonts w:ascii="Times New Roman" w:hAnsi="Times New Roman"/>
          <w:b/>
          <w:i w:val="false"/>
          <w:color w:val="000000"/>
          <w:sz w:val="22"/>
        </w:rPr>
        <w:t xml:space="preserve">Emergency payee. </w:t>
      </w:r>
      <w:r>
        <w:rPr>
          <w:rFonts w:ascii="Times New Roman" w:hAnsi="Times New Roman"/>
          <w:b w:val="false"/>
          <w:i w:val="false"/>
          <w:color w:val="000000"/>
          <w:sz w:val="22"/>
        </w:rPr>
        <w:t>Payments may be made to persons acting for relatives who have been receiving assistance for a child in emergency situations that deprive the child of the relatives’ care. These payments shall be made for a temporary period, not to exceed three months, to allow time to make and implement plans for the child’s continuing care and support.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239B.13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without Notice 7/20/77—published 8/10/77, effective 9/14/77]</w:t>
      </w:r>
    </w:p>
    <w:p>
      <w:pPr>
        <w:spacing w:before="0" w:after="0"/>
        <w:ind w:left="120"/>
        <w:jc w:val="center"/>
      </w:pPr>
      <w:r>
        <w:rPr>
          <w:rFonts w:ascii="Times New Roman" w:hAnsi="Times New Roman"/>
          <w:b w:val="false"/>
          <w:i w:val="false"/>
          <w:color w:val="000000"/>
          <w:sz w:val="21"/>
        </w:rPr>
        <w:t>[Filed 1/4/79, Notice 11/29/78—published 1/24/79, effective 3/1/79]</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4/13/89, Notice 3/8/89—published 5/3/89, effective 7/1/89]</w:t>
      </w:r>
    </w:p>
    <w:p>
      <w:pPr>
        <w:spacing w:before="0" w:after="0"/>
        <w:ind w:left="120"/>
        <w:jc w:val="center"/>
      </w:pPr>
      <w:r>
        <w:rPr>
          <w:rFonts w:ascii="Times New Roman" w:hAnsi="Times New Roman"/>
          <w:b w:val="false"/>
          <w:i w:val="false"/>
          <w:color w:val="000000"/>
          <w:sz w:val="21"/>
        </w:rPr>
        <w:t>[Filed emergency 6/29/89 after Notice 5/3/89—published 7/26/89, effective 7/1/89]</w:t>
      </w:r>
    </w:p>
    <w:p>
      <w:pPr>
        <w:spacing w:before="0" w:after="0"/>
        <w:ind w:left="120"/>
        <w:jc w:val="center"/>
      </w:pPr>
      <w:r>
        <w:rPr>
          <w:rFonts w:ascii="Times New Roman" w:hAnsi="Times New Roman"/>
          <w:b w:val="false"/>
          <w:i w:val="false"/>
          <w:color w:val="000000"/>
          <w:sz w:val="21"/>
        </w:rPr>
        <w:t>[Filed 12/15/89, Notice 7/26/89—published 1/10/90, effective 3/1/90]</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emergency 11/12/93—published 12/8/93, effective 1/1/94]</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2/10/94, Notice 12/8/93—published 3/2/94, effective 5/1/94]</w:t>
      </w:r>
    </w:p>
    <w:p>
      <w:pPr>
        <w:spacing w:before="0" w:after="0"/>
        <w:ind w:left="120"/>
        <w:jc w:val="center"/>
      </w:pPr>
      <w:r>
        <w:rPr>
          <w:rFonts w:ascii="Times New Roman" w:hAnsi="Times New Roman"/>
          <w:b w:val="false"/>
          <w:i w:val="false"/>
          <w:color w:val="000000"/>
          <w:sz w:val="21"/>
        </w:rPr>
        <w:t>[Filed emergency 1/15/97—published 2/12/97,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11/12/97, Notice 9/10/97—published 12/3/97, effective 3/1/98]</w:t>
      </w:r>
    </w:p>
    <w:p>
      <w:pPr>
        <w:spacing w:before="0" w:after="0"/>
        <w:ind w:left="120"/>
        <w:jc w:val="center"/>
      </w:pPr>
      <w:r>
        <w:rPr>
          <w:rFonts w:ascii="Times New Roman" w:hAnsi="Times New Roman"/>
          <w:b w:val="false"/>
          <w:i w:val="false"/>
          <w:color w:val="000000"/>
          <w:sz w:val="21"/>
        </w:rPr>
        <w:t>[Filed 9/12/00, Notice 7/12/00—published 10/4/00, effective 12/1/00]</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3.1.pdf" Type="http://schemas.openxmlformats.org/officeDocument/2006/relationships/hyperlink" Id="rId5"/>
    <Relationship TargetMode="External" Target="https://www.legis.iowa.gov/docs/iac/rule/441.43.4.pdf" Type="http://schemas.openxmlformats.org/officeDocument/2006/relationships/hyperlink" Id="rId6"/>
    <Relationship TargetMode="External" Target="https://www.legis.iowa.gov/docs/ico/chapter/239B.13.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