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PETITIONS FOR RULEMAKING</w:t>
      </w:r>
    </w:p>
    <w:p>
      <w:pPr>
        <w:spacing w:before="0" w:after="0"/>
        <w:ind w:left="120"/>
        <w:jc w:val="center"/>
      </w:pPr>
      <w:r>
        <w:rPr>
          <w:rFonts w:ascii="Times New Roman" w:hAnsi="Times New Roman"/>
          <w:b w:val="false"/>
          <w:i w:val="false"/>
          <w:color w:val="000000"/>
          <w:sz w:val="14"/>
        </w:rPr>
        <w:t>[Ch 4, 1974 IDR, renumbered as [770] Ch 78]</w:t>
      </w:r>
    </w:p>
    <w:p>
      <w:pPr>
        <w:spacing w:before="0" w:after="0"/>
        <w:ind w:left="120"/>
        <w:jc w:val="center"/>
      </w:pPr>
      <w:r>
        <w:rPr>
          <w:rFonts w:ascii="Times New Roman" w:hAnsi="Times New Roman"/>
          <w:b w:val="false"/>
          <w:i w:val="false"/>
          <w:color w:val="000000"/>
          <w:sz w:val="14"/>
        </w:rPr>
        <w:t>[Prior to 7/1/83, Social Services[770] Ch 4]</w:t>
      </w:r>
    </w:p>
    <w:p>
      <w:pPr>
        <w:spacing w:before="0" w:after="0"/>
        <w:ind w:left="120"/>
        <w:jc w:val="center"/>
      </w:pPr>
      <w:r>
        <w:rPr>
          <w:rFonts w:ascii="Times New Roman" w:hAnsi="Times New Roman"/>
          <w:b w:val="false"/>
          <w:i w:val="false"/>
          <w:color w:val="000000"/>
          <w:sz w:val="14"/>
        </w:rPr>
        <w:t>[Prior to 2/11/87, Human Services[498]]</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7/3/29</w:t>
      </w:r>
    </w:p>
    <w:p>
      <w:pPr>
        <w:spacing w:before="0" w:after="0"/>
        <w:ind w:left="120"/>
        <w:jc w:val="left"/>
      </w:pPr>
      <w:r>
        <w:rPr>
          <w:rFonts w:ascii="Times New Roman" w:hAnsi="Times New Roman"/>
          <w:b w:val="false"/>
          <w:i w:val="false"/>
          <w:color w:val="000000"/>
          <w:sz w:val="22"/>
        </w:rPr>
        <w:t xml:space="preserve">The department adopts, with the following exceptions and amendments, the Uniform Rules on Agency Procedure relating to petitions for rulemaking, which are published at </w:t>
      </w:r>
      <w:hyperlink r:id="rId5">
        <w:r>
          <w:rPr>
            <w:rStyle w:val="Hyperlink"/>
            <w:rFonts w:ascii="Times New Roman" w:hAnsi="Times New Roman"/>
            <w:b w:val="false"/>
            <w:i w:val="false"/>
            <w:color w:val="000000"/>
            <w:sz w:val="22"/>
            <w:u w:val="single"/>
          </w:rPr>
          <w:t>www.legis.iowa.gov/docs/Rules/Current/UniformRules.pdf</w:t>
        </w:r>
      </w:hyperlink>
      <w:r>
        <w:rPr>
          <w:rFonts w:ascii="Times New Roman" w:hAnsi="Times New Roman"/>
          <w:b w:val="false"/>
          <w:i w:val="false"/>
          <w:color w:val="000000"/>
          <w:sz w:val="22"/>
        </w:rPr>
        <w:t xml:space="preserve"> on the general assembly’s website.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rulemaking. </w:t>
      </w:r>
      <w:r>
        <w:rPr>
          <w:rFonts w:ascii="Times New Roman" w:hAnsi="Times New Roman"/>
          <w:b w:val="false"/>
          <w:i w:val="false"/>
          <w:color w:val="000000"/>
          <w:sz w:val="22"/>
        </w:rPr>
        <w:t xml:space="preserve">In lieu of the words “designate office” insert “Compliance Division, Iowa Department of Health and Human Services, Lucas State Office Building, 321 E. 12th Street, Des Moines, Iowa 50319” and in lieu of the words “AGENCY NAME,” the heading on the petition should read “THE DEPARTMENT OF HEALTH AND HUMAN SERVICES”.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441—4.3</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 xml:space="preserve">Inquiries concerning the status of a petition may be made to the compliance division at the department’s address or at </w:t>
      </w:r>
      <w:hyperlink r:id="rId6">
        <w:r>
          <w:rPr>
            <w:rStyle w:val="Hyperlink"/>
            <w:rFonts w:ascii="Times New Roman" w:hAnsi="Times New Roman"/>
            <w:b w:val="false"/>
            <w:i w:val="false"/>
            <w:color w:val="000000"/>
            <w:sz w:val="22"/>
            <w:u w:val="single"/>
          </w:rPr>
          <w:t>compliancerules@idph.iowa.gov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9/19/75, Notice 8/11/75—published 10/6/75, effective 11/10/75]</w:t>
      </w:r>
    </w:p>
    <w:p>
      <w:pPr>
        <w:spacing w:before="0" w:after="0"/>
        <w:ind w:left="120"/>
        <w:jc w:val="center"/>
      </w:pPr>
      <w:r>
        <w:rPr>
          <w:rFonts w:ascii="Times New Roman" w:hAnsi="Times New Roman"/>
          <w:b w:val="false"/>
          <w:i w:val="false"/>
          <w:color w:val="000000"/>
          <w:sz w:val="21"/>
        </w:rPr>
        <w:t>[Filed without Notice 5/8/78—published 5/31/78, effective 7/5/78]</w:t>
      </w:r>
    </w:p>
    <w:p>
      <w:pPr>
        <w:spacing w:before="0" w:after="0"/>
        <w:ind w:left="120"/>
        <w:jc w:val="center"/>
      </w:pPr>
      <w:r>
        <w:rPr>
          <w:rFonts w:ascii="Times New Roman" w:hAnsi="Times New Roman"/>
          <w:b w:val="false"/>
          <w:i w:val="false"/>
          <w:color w:val="000000"/>
          <w:sz w:val="21"/>
        </w:rPr>
        <w:t>[Filed without Notice 3/14/79—published 4/4/79, effective 5/9/79]</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3/3/87, Notice 12/31/86—published 3/25/87, effective 5/1/87]</w:t>
      </w:r>
    </w:p>
    <w:p>
      <w:pPr>
        <w:spacing w:before="0" w:after="0"/>
        <w:ind w:left="120"/>
        <w:jc w:val="center"/>
      </w:pPr>
      <w:r>
        <w:rPr>
          <w:rFonts w:ascii="Times New Roman" w:hAnsi="Times New Roman"/>
          <w:b w:val="false"/>
          <w:i w:val="false"/>
          <w:color w:val="000000"/>
          <w:sz w:val="21"/>
        </w:rPr>
        <w:t>[Filed 12/13/90, Notice 10/31/90—published 1/9/91, effective 3/1/91]</w:t>
      </w:r>
    </w:p>
    <w:p>
      <w:pPr>
        <w:spacing w:before="0" w:after="0"/>
        <w:ind w:left="120"/>
        <w:jc w:val="center"/>
      </w:pPr>
      <w:r>
        <w:rPr>
          <w:rFonts w:ascii="Times New Roman" w:hAnsi="Times New Roman"/>
          <w:b w:val="false"/>
          <w:i w:val="false"/>
          <w:color w:val="000000"/>
          <w:sz w:val="21"/>
        </w:rPr>
        <w:t>[Filed 3/10/99, Notice 1/13/99—published 4/7/99, effective 7/1/99]</w:t>
      </w:r>
    </w:p>
    <w:p>
      <w:pPr>
        <w:spacing w:before="0" w:after="0"/>
        <w:ind w:left="120"/>
        <w:jc w:val="center"/>
      </w:pPr>
      <w:r>
        <w:rPr>
          <w:rFonts w:ascii="Times New Roman" w:hAnsi="Times New Roman"/>
          <w:b w:val="false"/>
          <w:i w:val="false"/>
          <w:color w:val="000000"/>
          <w:sz w:val="21"/>
        </w:rPr>
        <w:t>[Filed 2/14/02, Notice 1/9/02—published 3/6/02, effective 5/1/02]</w:t>
      </w:r>
    </w:p>
    <w:p>
      <w:pPr>
        <w:spacing w:before="0" w:after="0"/>
        <w:ind w:left="120"/>
        <w:jc w:val="center"/>
      </w:pPr>
      <w:r>
        <w:rPr>
          <w:rFonts w:ascii="Times New Roman" w:hAnsi="Times New Roman"/>
          <w:b w:val="false"/>
          <w:i w:val="false"/>
          <w:color w:val="000000"/>
          <w:sz w:val="21"/>
        </w:rPr>
        <w:t>[Filed ARC 6347C</w:t>
      </w:r>
      <w:r>
        <w:rPr>
          <w:rFonts w:ascii="Times New Roman" w:hAnsi="Times New Roman"/>
          <w:b w:val="false"/>
          <w:i w:val="false"/>
          <w:color w:val="000000"/>
          <w:sz w:val="21"/>
        </w:rPr>
        <w:t xml:space="preserve"> (Notice ARC 6252C, IAB 3/23/22)</w:t>
      </w:r>
      <w:r>
        <w:rPr>
          <w:rFonts w:ascii="Times New Roman" w:hAnsi="Times New Roman"/>
          <w:b w:val="false"/>
          <w:i w:val="false"/>
          <w:color w:val="000000"/>
          <w:sz w:val="21"/>
        </w:rPr>
        <w:t>, IAB 6/15/22, effective 8/1/22]</w:t>
      </w:r>
    </w:p>
    <w:p>
      <w:pPr>
        <w:spacing w:before="0" w:after="0"/>
        <w:ind w:left="120"/>
        <w:jc w:val="center"/>
      </w:pPr>
      <w:r>
        <w:rPr>
          <w:rFonts w:ascii="Times New Roman" w:hAnsi="Times New Roman"/>
          <w:b w:val="false"/>
          <w:i w:val="false"/>
          <w:color w:val="000000"/>
          <w:sz w:val="21"/>
        </w:rPr>
        <w:t>[Filed ARC 8045C</w:t>
      </w:r>
      <w:r>
        <w:rPr>
          <w:rFonts w:ascii="Times New Roman" w:hAnsi="Times New Roman"/>
          <w:b w:val="false"/>
          <w:i w:val="false"/>
          <w:color w:val="000000"/>
          <w:sz w:val="21"/>
        </w:rPr>
        <w:t xml:space="preserve"> (Notice ARC 7358C, IAB 1/24/24)</w:t>
      </w:r>
      <w:r>
        <w:rPr>
          <w:rFonts w:ascii="Times New Roman" w:hAnsi="Times New Roman"/>
          <w:b w:val="false"/>
          <w:i w:val="false"/>
          <w:color w:val="000000"/>
          <w:sz w:val="21"/>
        </w:rPr>
        <w:t>, IAB 5/29/24, effective 7/3/24]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legis.iowa.gov/docs/Rules/Current/UniformRules.pdf" Type="http://schemas.openxmlformats.org/officeDocument/2006/relationships/hyperlink" Id="rId5"/>
    <Relationship TargetMode="External" Target="mailto:compliancerules@idph.iowa.gov"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