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ALTERNATIVE DIAGNOSTIC FACILITIES</w:t>
      </w:r>
    </w:p>
    <w:p>
      <w:pPr>
        <w:spacing w:before="0" w:after="0"/>
        <w:ind w:left="120"/>
        <w:jc w:val="center"/>
      </w:pPr>
      <w:r>
        <w:rPr>
          <w:rFonts w:ascii="Times New Roman" w:hAnsi="Times New Roman"/>
          <w:b w:val="false"/>
          <w:i w:val="false"/>
          <w:color w:val="000000"/>
          <w:sz w:val="14"/>
        </w:rPr>
        <w:t>[Prior to 8/18/82, Mental Health Advisory Council[566] Ch 2]</w:t>
      </w:r>
    </w:p>
    <w:p>
      <w:pPr>
        <w:spacing w:before="0" w:after="0"/>
        <w:ind w:left="120"/>
        <w:jc w:val="center"/>
      </w:pPr>
      <w:r>
        <w:rPr>
          <w:rFonts w:ascii="Times New Roman" w:hAnsi="Times New Roman"/>
          <w:b w:val="false"/>
          <w:i w:val="false"/>
          <w:color w:val="000000"/>
          <w:sz w:val="14"/>
        </w:rPr>
        <w:t>[Prior to 7/1/83, Social Services[770] Ch 34]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441—34.1</w:t>
      </w:r>
      <w:r>
        <w:rPr>
          <w:rFonts w:ascii="Times New Roman" w:hAnsi="Times New Roman"/>
          <w:b/>
          <w:i w:val="false"/>
          <w:color w:val="000000"/>
          <w:sz w:val="22"/>
        </w:rPr>
        <w:t xml:space="preserve">(225C)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indicated, the following definitions shall apply to the specific terms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“Alternative diagnostic facility” </w:t>
      </w:r>
      <w:r>
        <w:rPr>
          <w:rFonts w:ascii="Times New Roman" w:hAnsi="Times New Roman"/>
          <w:b w:val="false"/>
          <w:i w:val="false"/>
          <w:color w:val="000000"/>
          <w:sz w:val="22"/>
        </w:rPr>
        <w:t xml:space="preserve">means any organization or individual designated by the county board of supervisors to implement the preliminary diagnostic evaluation policy (Iowa Code section </w:t>
      </w:r>
      <w:hyperlink r:id="rId5">
        <w:r>
          <w:rPr>
            <w:rStyle w:val="Hyperlink"/>
            <w:rFonts w:ascii="Times New Roman" w:hAnsi="Times New Roman"/>
            <w:b w:val="false"/>
            <w:i w:val="false"/>
            <w:color w:val="000000"/>
            <w:sz w:val="22"/>
          </w:rPr>
          <w:t>225C.14</w:t>
        </w:r>
      </w:hyperlink>
      <w:r>
        <w:rPr>
          <w:rFonts w:ascii="Times New Roman" w:hAnsi="Times New Roman"/>
          <w:b w:val="false"/>
          <w:i w:val="false"/>
          <w:color w:val="000000"/>
          <w:sz w:val="22"/>
        </w:rPr>
        <w:t>) when a county is not served by a community mental health center capable of the diagnostic evaluations. An alternative diagnostic facility may be the outpatient service of a state mental health institute or any organization or individual able to furnish the requisite skills and to meet the standards set forth in this chapter by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professional” </w:t>
      </w:r>
      <w:r>
        <w:rPr>
          <w:rFonts w:ascii="Times New Roman" w:hAnsi="Times New Roman"/>
          <w:b w:val="false"/>
          <w:i w:val="false"/>
          <w:color w:val="000000"/>
          <w:sz w:val="22"/>
        </w:rPr>
        <w:t>means an individual who has either of the following qualifications: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meets all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Holds at least a master’s degree in a mental health field, including, but not limited to, psychology, counseling, guidance, nursing, or social work; or is an advanced registered nurse practitioner, a physician assistant, or a physician and surgeon; or is an osteopathic physician and surgeon.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Holds a current Iowa license if practicing in a field covered by an Iowa licensure law.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Has at least two years of postdegree clinical experience, supervised by another mental health professional, in assessing mental health needs and problems and in providing appropriate mental health services.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holds a current Iowa license if practicing in a field covered by an Iowa licensure law and is a psychiatrist, an advanced registered nurse practitioner who holds national certification in psychiatric mental health care and is licensed by the board of nursing, a physician assistant practicing under the supervision of a psychiatrist, or an individual who holds a doctorate degree in psychology and is licensed by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“Preliminary diagnostic evaluation” </w:t>
      </w:r>
      <w:r>
        <w:rPr>
          <w:rFonts w:ascii="Times New Roman" w:hAnsi="Times New Roman"/>
          <w:b w:val="false"/>
          <w:i w:val="false"/>
          <w:color w:val="000000"/>
          <w:sz w:val="22"/>
        </w:rPr>
        <w:t>means an assessment of a person’s mental health problems and needs in order to determine the most appropriate service for the person. The evaluation includes, but is not limited to, an assessment of the individual’s needs, abilities, disabilities, and relevant environmental factors. Where possible, there is collaboration with the individual’s family or significant others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6224C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441—34.2</w:t>
      </w:r>
      <w:r>
        <w:rPr>
          <w:rFonts w:ascii="Times New Roman" w:hAnsi="Times New Roman"/>
          <w:b/>
          <w:i w:val="false"/>
          <w:color w:val="000000"/>
          <w:sz w:val="22"/>
        </w:rPr>
        <w:t xml:space="preserve">(225C) </w:t>
      </w:r>
      <w:r>
        <w:rPr>
          <w:rFonts w:ascii="Times New Roman" w:hAnsi="Times New Roman"/>
          <w:b/>
          <w:i w:val="false"/>
          <w:color w:val="000000"/>
          <w:sz w:val="22"/>
        </w:rPr>
        <w:t xml:space="preserve">Function. </w:t>
      </w:r>
      <w:r>
        <w:rPr>
          <w:rFonts w:ascii="Times New Roman" w:hAnsi="Times New Roman"/>
          <w:b w:val="false"/>
          <w:i w:val="false"/>
          <w:color w:val="000000"/>
          <w:sz w:val="22"/>
        </w:rPr>
        <w:t>An alternative diagnostic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34.2(1)</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a preliminary diagnostic evaluation of a person who is being considered for admission to a state mental health institute on a voluntary basis pursuant to Iowa Code chapter </w:t>
      </w:r>
      <w:hyperlink r:id="rId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in order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 that admission of the person to a state mental health institute is appropriate to the person’s mental health needs, and that no suitable alternative method of providing the needed services in a less restrictive setting, in or nearer to the person’s home community, is currently available. When results of the evaluation indicate that admission to the mental health institute is appropriate, the evaluator shall inform the institute of the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Confirm that admission to a state mental health institute is not appropriate to the person’s mental health needs. When results of the evaluation indicate that a treatment program, other than that of a state mental health institute, is more appropriate, and the individual agrees, the evaluator shall make arrangements with the alternative program to accept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34.2(2)</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 the court and, insofar as possible, provide or designate a physician or mental health professional to perform a prehearing examination of a respondent required under Iowa Code section </w:t>
      </w:r>
      <w:hyperlink r:id="rId7">
        <w:r>
          <w:rPr>
            <w:rStyle w:val="Hyperlink"/>
            <w:rFonts w:ascii="Times New Roman" w:hAnsi="Times New Roman"/>
            <w:b w:val="false"/>
            <w:i w:val="false"/>
            <w:color w:val="000000"/>
            <w:sz w:val="22"/>
          </w:rPr>
          <w:t>229.8(3)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6224C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441—34.3</w:t>
      </w:r>
      <w:r>
        <w:rPr>
          <w:rFonts w:ascii="Times New Roman" w:hAnsi="Times New Roman"/>
          <w:b/>
          <w:i w:val="false"/>
          <w:color w:val="000000"/>
          <w:sz w:val="22"/>
        </w:rPr>
        <w:t xml:space="preserve">(225C) </w:t>
      </w:r>
      <w:r>
        <w:rPr>
          <w:rFonts w:ascii="Times New Roman" w:hAnsi="Times New Roman"/>
          <w:b/>
          <w:i w:val="false"/>
          <w:color w:val="000000"/>
          <w:sz w:val="22"/>
        </w:rPr>
        <w:t xml:space="preserve">Standards. </w:t>
      </w:r>
      <w:r>
        <w:rPr>
          <w:rFonts w:ascii="Times New Roman" w:hAnsi="Times New Roman"/>
          <w:b w:val="false"/>
          <w:i w:val="false"/>
          <w:color w:val="000000"/>
          <w:sz w:val="22"/>
        </w:rPr>
        <w:t>In order to be designated as an alternative diagnostic facility, a facility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clearly defined lines of authority and accountability so that a contractual agreement may be entered into with a county for the provision of preliminary diagnostic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val="false"/>
          <w:color w:val="000000"/>
          <w:sz w:val="22"/>
        </w:rPr>
        <w:t>The preliminary diagnostic evaluation shall be performed by a mental health professional within a reasonable time frame, not to exceed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val="false"/>
          <w:color w:val="000000"/>
          <w:sz w:val="22"/>
        </w:rPr>
        <w:t>The mental health professional shall be familiar with the mental health institute serving the area and with the treatment resources of the community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34.3(4)</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written procedures for timely reporting of results of evaluations to the selected treatment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34.3(5)</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written policies and procedures to safeguard the consumer’s right to treatment, confidentiality, and freedom of choice. The policies and procedures shall be in conformance with federal and state laws and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34.3(6)</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written procedures for fees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34.3(7)</w:t>
      </w:r>
      <w:r>
        <w:rPr>
          <w:rFonts w:ascii="Times New Roman" w:hAnsi="Times New Roman"/>
          <w:b w:val="false"/>
          <w:i w:val="false"/>
          <w:color w:val="000000"/>
          <w:sz w:val="22"/>
        </w:rPr>
        <w:t> </w:t>
      </w:r>
      <w:r>
        <w:rPr>
          <w:rFonts w:ascii="Times New Roman" w:hAnsi="Times New Roman"/>
          <w:b w:val="false"/>
          <w:i w:val="false"/>
          <w:color w:val="000000"/>
          <w:sz w:val="22"/>
        </w:rPr>
        <w:t>The facility shall comply with procedures for uniform reporting of statistical data as established by the division of mental health and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34.3(8)</w:t>
      </w:r>
      <w:r>
        <w:rPr>
          <w:rFonts w:ascii="Times New Roman" w:hAnsi="Times New Roman"/>
          <w:b w:val="false"/>
          <w:i w:val="false"/>
          <w:color w:val="000000"/>
          <w:sz w:val="22"/>
        </w:rPr>
        <w:t> </w:t>
      </w:r>
      <w:r>
        <w:rPr>
          <w:rFonts w:ascii="Times New Roman" w:hAnsi="Times New Roman"/>
          <w:b w:val="false"/>
          <w:i w:val="false"/>
          <w:color w:val="000000"/>
          <w:sz w:val="22"/>
        </w:rPr>
        <w:t>The facility shall comply with the standards for the maintenance and operation of public and private facilities offering services to persons with mental illness as adopted by the mental health and disability services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6224C</w:t>
      </w:r>
      <w:r>
        <w:rPr>
          <w:rFonts w:ascii="Times New Roman" w:hAnsi="Times New Roman"/>
          <w:b w:val="false"/>
          <w:i w:val="false"/>
          <w:color w:val="000000"/>
          <w:sz w:val="16"/>
        </w:rPr>
        <w:t>, IAB 3/9/22, effective 5/1/22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225C.4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225C.17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9/26/80, Notices 3/19/80, 8/6/80—published 10/15/80, effective 11/19/80]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7/22/82—published 8/18/82, effective 7/22/82]</w:t>
      </w:r>
    </w:p>
    <w:p>
      <w:pPr>
        <w:spacing w:before="0" w:after="0"/>
        <w:ind w:left="120"/>
        <w:jc w:val="center"/>
      </w:pPr>
      <w:r>
        <w:rPr>
          <w:rFonts w:ascii="Times New Roman" w:hAnsi="Times New Roman"/>
          <w:b w:val="false"/>
          <w:i w:val="false"/>
          <w:color w:val="000000"/>
          <w:sz w:val="21"/>
        </w:rPr>
        <w:t>[Filed 12/17/82, Notice 10/13/82—published 1/5/83, effective 2/9/83]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ARC 6224C</w:t>
      </w:r>
      <w:r>
        <w:rPr>
          <w:rFonts w:ascii="Times New Roman" w:hAnsi="Times New Roman"/>
          <w:b w:val="false"/>
          <w:i w:val="false"/>
          <w:color w:val="000000"/>
          <w:sz w:val="21"/>
        </w:rPr>
        <w:t xml:space="preserve"> (Notice ARC 6114C, IAB 12/29/21)</w:t>
      </w:r>
      <w:r>
        <w:rPr>
          <w:rFonts w:ascii="Times New Roman" w:hAnsi="Times New Roman"/>
          <w:b w:val="false"/>
          <w:i w:val="false"/>
          <w:color w:val="000000"/>
          <w:sz w:val="21"/>
        </w:rPr>
        <w:t>, IAB 3/9/22, effective 5/1/22]</w:t>
      </w:r>
    </w:p>
    <w:p>
      <w:pPr>
        <w:pBdr>
          <w:bottom w:space="2"/>
        </w:pBdr>
        <w:spacing w:before="0" w:after="0"/>
        <w:ind w:left="120"/>
        <w:jc w:val="both"/>
      </w:pPr>
      <w:r>
        <w:rPr>
          <w:rFonts w:ascii="Times New Roman" w:hAnsi="Times New Roman"/>
          <w:b w:val="false"/>
          <w:i w:val="false"/>
          <w:color w:val="000000"/>
          <w:sz w:val="22"/>
        </w:rPr>
        <w:t xml:space="preserve">As Agency </w:t>
      </w:r>
      <w:hyperlink r:id="rId10">
        <w:r>
          <w:rPr>
            <w:rStyle w:val="Hyperlink"/>
            <w:rFonts w:ascii="Times New Roman" w:hAnsi="Times New Roman"/>
            <w:b w:val="false"/>
            <w:i w:val="false"/>
            <w:color w:val="000000"/>
            <w:sz w:val="22"/>
          </w:rPr>
          <w:t>566—Chapter 2</w:t>
        </w:r>
      </w:hyperlink>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5C.14.pdf" Type="http://schemas.openxmlformats.org/officeDocument/2006/relationships/hyperlink" Id="rId5"/>
    <Relationship TargetMode="External" Target="https://www.legis.iowa.gov/docs/ico/chapter/229.pdf" Type="http://schemas.openxmlformats.org/officeDocument/2006/relationships/hyperlink" Id="rId6"/>
    <Relationship TargetMode="External" Target="https://www.legis.iowa.gov/docs/ico/chapter/229.8.pdf" Type="http://schemas.openxmlformats.org/officeDocument/2006/relationships/hyperlink" Id="rId7"/>
    <Relationship TargetMode="External" Target="https://www.legis.iowa.gov/docs/ico/chapter/225C.4.pdf" Type="http://schemas.openxmlformats.org/officeDocument/2006/relationships/hyperlink" Id="rId8"/>
    <Relationship TargetMode="External" Target="https://www.legis.iowa.gov/docs/ico/chapter/225C.17.pdf" Type="http://schemas.openxmlformats.org/officeDocument/2006/relationships/hyperlink" Id="rId9"/>
    <Relationship TargetMode="External" Target="https://www.legis.iowa.gov/docs/iac/chapter/566.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