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STATE RESOURCE CENTERS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sets policies for the state resource centers listed in Iowa Code section </w:t>
      </w:r>
      <w:hyperlink r:id="rId5">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rules apply in addition to the general rules in </w:t>
      </w:r>
      <w:hyperlink r:id="rId6">
        <w:r>
          <w:rPr>
            <w:rStyle w:val="Hyperlink"/>
            <w:rFonts w:ascii="Times New Roman" w:hAnsi="Times New Roman"/>
            <w:b w:val="false"/>
            <w:i w:val="false"/>
            <w:color w:val="000000"/>
            <w:sz w:val="22"/>
          </w:rPr>
          <w:t>441—Chapter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441—30.1</w:t>
      </w:r>
      <w:r>
        <w:rPr>
          <w:rFonts w:ascii="Times New Roman" w:hAnsi="Times New Roman"/>
          <w:b/>
          <w:i w:val="false"/>
          <w:color w:val="000000"/>
          <w:sz w:val="22"/>
        </w:rPr>
        <w:t xml:space="preserve">(218,222) </w:t>
      </w:r>
      <w:r>
        <w:rPr>
          <w:rFonts w:ascii="Times New Roman" w:hAnsi="Times New Roman"/>
          <w:b/>
          <w:i w:val="false"/>
          <w:color w:val="000000"/>
          <w:sz w:val="22"/>
        </w:rPr>
        <w:t xml:space="preserve">Catchment areas. </w:t>
      </w:r>
      <w:r>
        <w:rPr>
          <w:rFonts w:ascii="Times New Roman" w:hAnsi="Times New Roman"/>
          <w:b w:val="false"/>
          <w:i w:val="false"/>
          <w:color w:val="000000"/>
          <w:sz w:val="22"/>
        </w:rPr>
        <w:t>The catchment areas for the two state resource centers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Glenwood. </w:t>
      </w:r>
      <w:r>
        <w:rPr>
          <w:rFonts w:ascii="Times New Roman" w:hAnsi="Times New Roman"/>
          <w:b w:val="false"/>
          <w:i w:val="false"/>
          <w:color w:val="000000"/>
          <w:sz w:val="22"/>
        </w:rPr>
        <w:t xml:space="preserve">Adair, Adams, Appanoose, Audubon, Benton, Carroll, Cass, Cedar, Cherokee, Clarke, Clinton, Crawford, Davis, Decatur, Des Moines, Fremont, Greene, Guthrie, Harrison, Henry, Ida, Iowa, Jefferson, Johnson, Jones, Keokuk, Lee, Linn, Louisa, Lucas, Lyon, Mahaska, Mills, Monona, Monroe, Montgomery, Muscatine, Page, Plymouth, Pottawattamie, Ringgold, Sac, Scott, Shelby, Sioux, Taylor, Union, Van Buren, Wapello, Washington, Wayne, and Woodbury Counties form the catchment area for the Glenwood resource center. An individual may be admitted to a state resource center in another catchment area if the state resource center in another catchment area has a more suitable opening.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Woodward. </w:t>
      </w:r>
      <w:r>
        <w:rPr>
          <w:rFonts w:ascii="Times New Roman" w:hAnsi="Times New Roman"/>
          <w:b w:val="false"/>
          <w:i w:val="false"/>
          <w:color w:val="000000"/>
          <w:sz w:val="22"/>
        </w:rPr>
        <w:t>Allamakee, Black Hawk, Boone, Bremer, Buchanan, Buena Vista, Butler, Calhoun, Cerro Gordo, Chickasaw, Clay, Clayton, Dallas, Delaware, Dickinson, Dubuque, Emmet, Fayette, Floyd, Franklin, Grundy, Hamilton, Hancock, Hardin, Howard, Humboldt, Jackson, Jasper, Kossuth, Madison, Marion, Marshall, Mitchell, O’Brien, Osceola, Palo Alto, Pocahontas, Polk, Poweshiek, Story, Tama, Warren, Webster, Winnebago, Winneshiek, Worth, and Wright Counties form the catchment area for the Woodward resource center. An individual may be admitted to a state resource center in another catchment area if the state resource center in another catchment area has a more suitable opening.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222.6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6274C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441—30.2</w:t>
      </w:r>
      <w:r>
        <w:rPr>
          <w:rFonts w:ascii="Times New Roman" w:hAnsi="Times New Roman"/>
          <w:b/>
          <w:i w:val="false"/>
          <w:color w:val="000000"/>
          <w:sz w:val="22"/>
        </w:rPr>
        <w:t xml:space="preserve">(218,222) </w:t>
      </w:r>
      <w:r>
        <w:rPr>
          <w:rFonts w:ascii="Times New Roman" w:hAnsi="Times New Roman"/>
          <w:b/>
          <w:i w:val="false"/>
          <w:color w:val="000000"/>
          <w:sz w:val="22"/>
        </w:rPr>
        <w:t xml:space="preserve">Admission. </w:t>
      </w:r>
      <w:r>
        <w:rPr>
          <w:rFonts w:ascii="Times New Roman" w:hAnsi="Times New Roman"/>
          <w:b w:val="false"/>
          <w:i w:val="false"/>
          <w:color w:val="000000"/>
          <w:sz w:val="22"/>
        </w:rPr>
        <w:t>Express written consent of the individual or the individual’s parent, guardian, or legal representative shall be secured before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an adult. </w:t>
      </w:r>
      <w:r>
        <w:rPr>
          <w:rFonts w:ascii="Times New Roman" w:hAnsi="Times New Roman"/>
          <w:b w:val="false"/>
          <w:i w:val="false"/>
          <w:color w:val="000000"/>
          <w:sz w:val="22"/>
        </w:rPr>
        <w:t>Applications for the care, treatment, or evaluation of an adult individual by a resource center shall be made through the regional administrator for the board of supervisors of the individual’s county of residence. Authorization for the submission of the application shall be provided by the signature of one or more officially designated agents for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made using Form 470-4402, Application for Admission to a State Resource Center, and shall be accompanied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Form 470-4403, Resource Center Agreement and Consent for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information specifically requested in writing by the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submitted through the division administrator or the division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 minor. </w:t>
      </w:r>
      <w:r>
        <w:rPr>
          <w:rFonts w:ascii="Times New Roman" w:hAnsi="Times New Roman"/>
          <w:b w:val="false"/>
          <w:i w:val="false"/>
          <w:color w:val="000000"/>
          <w:sz w:val="22"/>
        </w:rPr>
        <w:t>Application for a minor individual shall be made through the division administrator or the division administrator’s designee using Form 470-4402, Application for Admission to a State Resource Center. The application shall be accompanied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Form 470-4403, Resource Center Agreement and Consent for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information specifically requested in writing by the division administrator or the division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readmission. </w:t>
      </w:r>
      <w:r>
        <w:rPr>
          <w:rFonts w:ascii="Times New Roman" w:hAnsi="Times New Roman"/>
          <w:b w:val="false"/>
          <w:i w:val="false"/>
          <w:color w:val="000000"/>
          <w:sz w:val="22"/>
        </w:rPr>
        <w:t>When the application is for a readmission, the resource center may waive the resubmittal of any information already in the files other than Form 470-4402, Application for Admission to a State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w:t>
      </w:r>
      <w:r>
        <w:rPr>
          <w:rFonts w:ascii="Times New Roman" w:hAnsi="Times New Roman"/>
          <w:b w:val="false"/>
          <w:i w:val="false"/>
          <w:color w:val="000000"/>
          <w:sz w:val="22"/>
        </w:rPr>
        <w:t> </w:t>
      </w:r>
      <w:r>
        <w:rPr>
          <w:rFonts w:ascii="Times New Roman" w:hAnsi="Times New Roman"/>
          <w:b w:val="false"/>
          <w:i/>
          <w:color w:val="000000"/>
          <w:sz w:val="22"/>
        </w:rPr>
        <w:t xml:space="preserve">Receipt of application. </w:t>
      </w:r>
      <w:r>
        <w:rPr>
          <w:rFonts w:ascii="Times New Roman" w:hAnsi="Times New Roman"/>
          <w:b w:val="false"/>
          <w:i w:val="false"/>
          <w:color w:val="000000"/>
          <w:sz w:val="22"/>
        </w:rPr>
        <w:t>Upon receipt of an application, the resource center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individual with outpatient evaluation treatment, training, or habilitation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Admit an individual on a temporary basis for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preadmission diagnostic evaluation to determine whether the individual would be appropriate to admit to the regular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diagnostic evaluation to assist in planning for community-based services or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admission. </w:t>
      </w:r>
      <w:r>
        <w:rPr>
          <w:rFonts w:ascii="Times New Roman" w:hAnsi="Times New Roman"/>
          <w:b w:val="false"/>
          <w:i w:val="false"/>
          <w:color w:val="000000"/>
          <w:sz w:val="22"/>
        </w:rPr>
        <w:t>Eligibility for admission shall be determined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preadmission diagnostic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established diagnosis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availability of an appropriate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availability of space at the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222.13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222.13A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6274C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441—30.3</w:t>
      </w:r>
      <w:r>
        <w:rPr>
          <w:rFonts w:ascii="Times New Roman" w:hAnsi="Times New Roman"/>
          <w:b/>
          <w:i w:val="false"/>
          <w:color w:val="000000"/>
          <w:sz w:val="22"/>
        </w:rPr>
        <w:t xml:space="preserve">(222) </w:t>
      </w:r>
      <w:r>
        <w:rPr>
          <w:rFonts w:ascii="Times New Roman" w:hAnsi="Times New Roman"/>
          <w:b/>
          <w:i w:val="false"/>
          <w:color w:val="000000"/>
          <w:sz w:val="22"/>
        </w:rPr>
        <w:t xml:space="preserve">Non-Medicaid payment-eligible individuals. </w:t>
      </w:r>
      <w:r>
        <w:rPr>
          <w:rFonts w:ascii="Times New Roman" w:hAnsi="Times New Roman"/>
          <w:b w:val="false"/>
          <w:i w:val="false"/>
          <w:color w:val="000000"/>
          <w:sz w:val="22"/>
        </w:rPr>
        <w:t xml:space="preserve">The cost for the care, as determined in Iowa Code sections </w:t>
      </w:r>
      <w:hyperlink r:id="rId10">
        <w:r>
          <w:rPr>
            <w:rStyle w:val="Hyperlink"/>
            <w:rFonts w:ascii="Times New Roman" w:hAnsi="Times New Roman"/>
            <w:b w:val="false"/>
            <w:i w:val="false"/>
            <w:color w:val="000000"/>
            <w:sz w:val="22"/>
          </w:rPr>
          <w:t>222.73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222.74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222.75</w:t>
        </w:r>
      </w:hyperlink>
      <w:r>
        <w:rPr>
          <w:rFonts w:ascii="Times New Roman" w:hAnsi="Times New Roman"/>
          <w:b w:val="false"/>
          <w:i w:val="false"/>
          <w:color w:val="000000"/>
          <w:sz w:val="22"/>
        </w:rPr>
        <w:t xml:space="preserve">, for an individual who is not Medicaid payment eligible shall be the responsibility of the individual’s county of residence. All disputes regarding the county of residence of an individual shall be resolved using the dispute resolution process in Iowa Code section </w:t>
      </w:r>
      <w:hyperlink r:id="rId13">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w:t>
      </w:r>
      <w:r>
        <w:rPr>
          <w:rFonts w:ascii="Times New Roman" w:hAnsi="Times New Roman"/>
          <w:b/>
          <w:i w:val="false"/>
          <w:color w:val="000000"/>
          <w:sz w:val="22"/>
        </w:rPr>
        <w:t xml:space="preserve">(222) </w:t>
      </w:r>
      <w:r>
        <w:rPr>
          <w:rFonts w:ascii="Times New Roman" w:hAnsi="Times New Roman"/>
          <w:b/>
          <w:i w:val="false"/>
          <w:color w:val="000000"/>
          <w:sz w:val="22"/>
        </w:rPr>
        <w:t xml:space="preserve">Liability for support. </w:t>
      </w:r>
      <w:r>
        <w:rPr>
          <w:rFonts w:ascii="Times New Roman" w:hAnsi="Times New Roman"/>
          <w:b w:val="false"/>
          <w:i w:val="false"/>
          <w:color w:val="000000"/>
          <w:sz w:val="22"/>
        </w:rPr>
        <w:t xml:space="preserve">The liability of any person, other than the individual, who is legally bound for the support of any individual under 18 years of age shall be determined in the same manner as parent liability in rule </w:t>
      </w:r>
      <w:hyperlink r:id="rId14">
        <w:r>
          <w:rPr>
            <w:rStyle w:val="Hyperlink"/>
            <w:rFonts w:ascii="Times New Roman" w:hAnsi="Times New Roman"/>
            <w:b w:val="false"/>
            <w:i w:val="false"/>
            <w:color w:val="000000"/>
            <w:sz w:val="22"/>
          </w:rPr>
          <w:t>441—156.2</w:t>
        </w:r>
      </w:hyperlink>
      <w:r>
        <w:rPr>
          <w:rFonts w:ascii="Times New Roman" w:hAnsi="Times New Roman"/>
          <w:b w:val="false"/>
          <w:i w:val="false"/>
          <w:color w:val="000000"/>
          <w:sz w:val="22"/>
        </w:rPr>
        <w:t>(234), except that the maximum liability shall not exceed the standards for personal allowances established by the department under the family investment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222.78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441—30.5</w:t>
      </w:r>
      <w:r>
        <w:rPr>
          <w:rFonts w:ascii="Times New Roman" w:hAnsi="Times New Roman"/>
          <w:b/>
          <w:i w:val="false"/>
          <w:color w:val="000000"/>
          <w:sz w:val="22"/>
        </w:rPr>
        <w:t xml:space="preserve">(217,218,225C) </w:t>
      </w:r>
      <w:r>
        <w:rPr>
          <w:rFonts w:ascii="Times New Roman" w:hAnsi="Times New Roman"/>
          <w:b/>
          <w:i w:val="false"/>
          <w:color w:val="000000"/>
          <w:sz w:val="22"/>
        </w:rPr>
        <w:t xml:space="preserve">Rights of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An individual receiving care from a state resource center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and written copy of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of the individual’s medical condition, developmental status, and behavioral status, and be informed as to treatment plans and the attendant risks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Care and treatment. </w:t>
      </w:r>
      <w:r>
        <w:rPr>
          <w:rFonts w:ascii="Times New Roman" w:hAnsi="Times New Roman"/>
          <w:b w:val="false"/>
          <w:i w:val="false"/>
          <w:color w:val="000000"/>
          <w:sz w:val="22"/>
        </w:rPr>
        <w:t>An individual receiving care from a state resource center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appropriate treatment, services, and habilitation for the individual’s disabilities, including appropriate and sufficient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the confidentiality of the individual’s personal resource center records maintained and have access to those records within a reasonable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when available and desired and as appropriate to the individual’s plan of treatment, and be compensated for that work in accordance with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color w:val="000000"/>
          <w:sz w:val="22"/>
        </w:rPr>
        <w:t xml:space="preserve">Living conditions. </w:t>
      </w:r>
      <w:r>
        <w:rPr>
          <w:rFonts w:ascii="Times New Roman" w:hAnsi="Times New Roman"/>
          <w:b w:val="false"/>
          <w:i w:val="false"/>
          <w:color w:val="000000"/>
          <w:sz w:val="22"/>
        </w:rPr>
        <w:t>An individual receiving care from a state resource center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care in a manner that respects and maintains the individual’s dignity and individuality.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opportunities for personal privacy, including during the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and use appropriate personal possessions, including wearing the individual’s own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Share a room with a spouse when both live in the same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from unnecessary drugs and restraints.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free from physical, psychological, sexual, or verbal abuse, neglect and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An individual receiving care from a state resource center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Communicate with people and access services at the facility and in the community, including organizing and participating in resident groups while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visits of the individual’s choice from parents, guardians, legal representatives, or family without prior notice given to the facility unless the visits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Communicate and meet privately with persons of the individual’s choice without prior notice given to the facility unless the communication is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Send and receive unopened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and receive private telephone calls, unless the calls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w:t>
      </w:r>
      <w:r>
        <w:rPr>
          <w:rFonts w:ascii="Times New Roman" w:hAnsi="Times New Roman"/>
          <w:b w:val="false"/>
          <w:i w:val="false"/>
          <w:color w:val="000000"/>
          <w:sz w:val="22"/>
        </w:rPr>
        <w:t> </w:t>
      </w:r>
      <w:r>
        <w:rPr>
          <w:rFonts w:ascii="Times New Roman" w:hAnsi="Times New Roman"/>
          <w:b w:val="false"/>
          <w:i/>
          <w:color w:val="000000"/>
          <w:sz w:val="22"/>
        </w:rPr>
        <w:t xml:space="preserve">Self-determination. </w:t>
      </w:r>
      <w:r>
        <w:rPr>
          <w:rFonts w:ascii="Times New Roman" w:hAnsi="Times New Roman"/>
          <w:b w:val="false"/>
          <w:i w:val="false"/>
          <w:color w:val="000000"/>
          <w:sz w:val="22"/>
        </w:rPr>
        <w:t>An individual receiving care from a state resource center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dignified existence with self-determination, making choices about aspects of the individual’s life that are significant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Give informed consent, including the right to withdraw consent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 treatment (such as medication or behavioral interventions) offered without the individual’s expressed informed consent, and be provided with an explanation of the consequences of those refusals unless treatment is necessary to protect the health or safety of the individual or is ordered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Refuse to perform services for the facility and not be coerced to perform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Manage the individual’s own financial affairs unless doing so is limited under law or determined not 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Choose activities, schedules, and care consistent with the individual’s interests, needs and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 in social, religious, and community activities of the individual’s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w:t>
      </w:r>
      <w:r>
        <w:rPr>
          <w:rFonts w:ascii="Times New Roman" w:hAnsi="Times New Roman"/>
          <w:b w:val="false"/>
          <w:i w:val="false"/>
          <w:color w:val="000000"/>
          <w:sz w:val="22"/>
        </w:rPr>
        <w:t> </w:t>
      </w:r>
      <w:r>
        <w:rPr>
          <w:rFonts w:ascii="Times New Roman" w:hAnsi="Times New Roman"/>
          <w:b w:val="false"/>
          <w:i/>
          <w:color w:val="000000"/>
          <w:sz w:val="22"/>
        </w:rPr>
        <w:t xml:space="preserve">Advocacy. </w:t>
      </w:r>
      <w:r>
        <w:rPr>
          <w:rFonts w:ascii="Times New Roman" w:hAnsi="Times New Roman"/>
          <w:b w:val="false"/>
          <w:i w:val="false"/>
          <w:color w:val="000000"/>
          <w:sz w:val="22"/>
        </w:rPr>
        <w:t>An individual receiving care from a state resource center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Exercise the individual’s rights as a citizen or resident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grievance pursuant to rule </w:t>
      </w:r>
      <w:hyperlink r:id="rId16">
        <w:r>
          <w:rPr>
            <w:rStyle w:val="Hyperlink"/>
            <w:rFonts w:ascii="Times New Roman" w:hAnsi="Times New Roman"/>
            <w:b w:val="false"/>
            <w:i w:val="false"/>
            <w:color w:val="000000"/>
            <w:sz w:val="22"/>
          </w:rPr>
          <w:t>441—28.4</w:t>
        </w:r>
      </w:hyperlink>
      <w:r>
        <w:rPr>
          <w:rFonts w:ascii="Times New Roman" w:hAnsi="Times New Roman"/>
          <w:b w:val="false"/>
          <w:i w:val="false"/>
          <w:color w:val="000000"/>
          <w:sz w:val="22"/>
        </w:rPr>
        <w:t>(225C,229) without any intimidation or reprisal resulting from the grievance.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225C.28A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225C.28B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441—30.6</w:t>
      </w:r>
      <w:r>
        <w:rPr>
          <w:rFonts w:ascii="Times New Roman" w:hAnsi="Times New Roman"/>
          <w:b/>
          <w:i w:val="false"/>
          <w:color w:val="000000"/>
          <w:sz w:val="22"/>
        </w:rPr>
        <w:t xml:space="preserve">(218) </w:t>
      </w:r>
      <w:r>
        <w:rPr>
          <w:rFonts w:ascii="Times New Roman" w:hAnsi="Times New Roman"/>
          <w:b/>
          <w:i w:val="false"/>
          <w:color w:val="000000"/>
          <w:sz w:val="22"/>
        </w:rPr>
        <w:t xml:space="preserve">Visiting.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val="false"/>
          <w:color w:val="000000"/>
          <w:sz w:val="22"/>
        </w:rPr>
        <w:t>Individuals are encouraged and shall be able to receive visits from persons of the individual’s choice and at times desired by the individual. At the individual’s choice, the individual’s parents, guardian, or legal representative or other members of the individual’s family may visit without prior notice given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val="false"/>
          <w:color w:val="000000"/>
          <w:sz w:val="22"/>
        </w:rPr>
        <w:t>Visits determined by the individual’s treatment to be inappropriate or disruptive to the individual’s treatment plan or the health and safety of other individuals may be denied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w:t>
      </w:r>
      <w:r>
        <w:rPr>
          <w:rFonts w:ascii="Times New Roman" w:hAnsi="Times New Roman"/>
          <w:b w:val="false"/>
          <w:i w:val="false"/>
          <w:color w:val="000000"/>
          <w:sz w:val="22"/>
        </w:rPr>
        <w:t> </w:t>
      </w:r>
      <w:r>
        <w:rPr>
          <w:rFonts w:ascii="Times New Roman" w:hAnsi="Times New Roman"/>
          <w:b w:val="false"/>
          <w:i w:val="false"/>
          <w:color w:val="000000"/>
          <w:sz w:val="22"/>
        </w:rPr>
        <w:t>An individual or other person denied visitation may file a grievance through the facility’s grievance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8/11/99, Notice 6/16/99—published 9/8/99, effective 11/1/99]</w:t>
      </w:r>
    </w:p>
    <w:p>
      <w:pPr>
        <w:spacing w:before="0" w:after="0"/>
        <w:ind w:left="120"/>
        <w:jc w:val="center"/>
      </w:pPr>
      <w:r>
        <w:rPr>
          <w:rFonts w:ascii="Times New Roman" w:hAnsi="Times New Roman"/>
          <w:b w:val="false"/>
          <w:i w:val="false"/>
          <w:color w:val="000000"/>
          <w:sz w:val="21"/>
        </w:rPr>
        <w:t>[Filed 7/15/05, Notice 5/11/05—published 8/3/05, effective 10/1/05]</w:t>
      </w:r>
    </w:p>
    <w:p>
      <w:pPr>
        <w:spacing w:before="0" w:after="0"/>
        <w:ind w:left="120"/>
        <w:jc w:val="center"/>
      </w:pPr>
      <w:r>
        <w:rPr>
          <w:rFonts w:ascii="Times New Roman" w:hAnsi="Times New Roman"/>
          <w:b w:val="false"/>
          <w:i w:val="false"/>
          <w:color w:val="000000"/>
          <w:sz w:val="21"/>
        </w:rPr>
        <w:t>[Filed ARC 8094B</w:t>
      </w:r>
      <w:r>
        <w:rPr>
          <w:rFonts w:ascii="Times New Roman" w:hAnsi="Times New Roman"/>
          <w:b w:val="false"/>
          <w:i w:val="false"/>
          <w:color w:val="000000"/>
          <w:sz w:val="21"/>
        </w:rPr>
        <w:t xml:space="preserve"> (Notice ARC 7717B, IAB 4/22/09)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1145C</w:t>
      </w:r>
      <w:r>
        <w:rPr>
          <w:rFonts w:ascii="Times New Roman" w:hAnsi="Times New Roman"/>
          <w:b w:val="false"/>
          <w:i w:val="false"/>
          <w:color w:val="000000"/>
          <w:sz w:val="21"/>
        </w:rPr>
        <w:t xml:space="preserve"> (Notice ARC 0921C,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6274C</w:t>
      </w:r>
      <w:r>
        <w:rPr>
          <w:rFonts w:ascii="Times New Roman" w:hAnsi="Times New Roman"/>
          <w:b w:val="false"/>
          <w:i w:val="false"/>
          <w:color w:val="000000"/>
          <w:sz w:val="21"/>
        </w:rPr>
        <w:t xml:space="preserve"> (Notice ARC 6152C, IAB 1/26/22)</w:t>
      </w:r>
      <w:r>
        <w:rPr>
          <w:rFonts w:ascii="Times New Roman" w:hAnsi="Times New Roman"/>
          <w:b w:val="false"/>
          <w:i w:val="false"/>
          <w:color w:val="000000"/>
          <w:sz w:val="21"/>
        </w:rPr>
        <w:t>, IAB 4/6/22, effective 6/1/22]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8.1.pdf" Type="http://schemas.openxmlformats.org/officeDocument/2006/relationships/hyperlink" Id="rId5"/>
    <Relationship TargetMode="External" Target="https://www.legis.iowa.gov/docs/iac/chapter/441.28.pdf" Type="http://schemas.openxmlformats.org/officeDocument/2006/relationships/hyperlink" Id="rId6"/>
    <Relationship TargetMode="External" Target="https://www.legis.iowa.gov/docs/ico/chapter/222.6.pdf" Type="http://schemas.openxmlformats.org/officeDocument/2006/relationships/hyperlink" Id="rId7"/>
    <Relationship TargetMode="External" Target="https://www.legis.iowa.gov/docs/ico/chapter/222.13.pdf" Type="http://schemas.openxmlformats.org/officeDocument/2006/relationships/hyperlink" Id="rId8"/>
    <Relationship TargetMode="External" Target="https://www.legis.iowa.gov/docs/ico/chapter/222.13A.pdf" Type="http://schemas.openxmlformats.org/officeDocument/2006/relationships/hyperlink" Id="rId9"/>
    <Relationship TargetMode="External" Target="https://www.legis.iowa.gov/docs/ico/chapter/222.73.pdf" Type="http://schemas.openxmlformats.org/officeDocument/2006/relationships/hyperlink" Id="rId10"/>
    <Relationship TargetMode="External" Target="https://www.legis.iowa.gov/docs/ico/chapter/222.74.pdf" Type="http://schemas.openxmlformats.org/officeDocument/2006/relationships/hyperlink" Id="rId11"/>
    <Relationship TargetMode="External" Target="https://www.legis.iowa.gov/docs/ico/chapter/222.75.pdf" Type="http://schemas.openxmlformats.org/officeDocument/2006/relationships/hyperlink" Id="rId12"/>
    <Relationship TargetMode="External" Target="https://www.legis.iowa.gov/docs/ico/chapter/331.394.pdf" Type="http://schemas.openxmlformats.org/officeDocument/2006/relationships/hyperlink" Id="rId13"/>
    <Relationship TargetMode="External" Target="https://www.legis.iowa.gov/docs/iac/rule/441.156.2.pdf" Type="http://schemas.openxmlformats.org/officeDocument/2006/relationships/hyperlink" Id="rId14"/>
    <Relationship TargetMode="External" Target="https://www.legis.iowa.gov/docs/ico/chapter/222.78.pdf" Type="http://schemas.openxmlformats.org/officeDocument/2006/relationships/hyperlink" Id="rId15"/>
    <Relationship TargetMode="External" Target="https://www.legis.iowa.gov/docs/iac/rule/441.28.4.pdf" Type="http://schemas.openxmlformats.org/officeDocument/2006/relationships/hyperlink" Id="rId16"/>
    <Relationship TargetMode="External" Target="https://www.legis.iowa.gov/docs/ico/chapter/217.30.pdf" Type="http://schemas.openxmlformats.org/officeDocument/2006/relationships/hyperlink" Id="rId17"/>
    <Relationship TargetMode="External" Target="https://www.legis.iowa.gov/docs/ico/chapter/218.4.pdf" Type="http://schemas.openxmlformats.org/officeDocument/2006/relationships/hyperlink" Id="rId18"/>
    <Relationship TargetMode="External" Target="https://www.legis.iowa.gov/docs/ico/chapter/225C.28A.pdf" Type="http://schemas.openxmlformats.org/officeDocument/2006/relationships/hyperlink" Id="rId19"/>
    <Relationship TargetMode="External" Target="https://www.legis.iowa.gov/docs/ico/chapter/225C.28B.pdf" Type="http://schemas.openxmlformats.org/officeDocument/2006/relationships/hyperlink" Id="rId20"/>
    <Relationship TargetMode="External" Target="https://www.legis.iowa.gov/docs/ico/chapter/22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