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DEPARTMENT PROCEDURE FOR RULEMAKING</w:t>
      </w:r>
    </w:p>
    <w:p>
      <w:pPr>
        <w:spacing w:before="0" w:after="0"/>
        <w:ind w:left="120"/>
        <w:jc w:val="center"/>
      </w:pPr>
      <w:r>
        <w:rPr>
          <w:rFonts w:ascii="Times New Roman" w:hAnsi="Times New Roman"/>
          <w:b w:val="false"/>
          <w:i w:val="false"/>
          <w:color w:val="000000"/>
          <w:sz w:val="14"/>
        </w:rPr>
        <w:t>[Ch 3, 1973 IDR, renumbered as [770] Ch 77]</w:t>
      </w:r>
    </w:p>
    <w:p>
      <w:pPr>
        <w:spacing w:before="0" w:after="0"/>
        <w:ind w:left="120"/>
        <w:jc w:val="center"/>
      </w:pPr>
      <w:r>
        <w:rPr>
          <w:rFonts w:ascii="Times New Roman" w:hAnsi="Times New Roman"/>
          <w:b w:val="false"/>
          <w:i w:val="false"/>
          <w:color w:val="000000"/>
          <w:sz w:val="14"/>
        </w:rPr>
        <w:t>[Prior to 7/1/83, Social Services[770] Ch 3]</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left"/>
      </w:pPr>
      <w:r>
        <w:rPr>
          <w:rFonts w:ascii="Times New Roman" w:hAnsi="Times New Roman"/>
          <w:b w:val="false"/>
          <w:i w:val="false"/>
          <w:color w:val="000000"/>
          <w:sz w:val="22"/>
        </w:rPr>
        <w:t xml:space="preserve">The department adopts, with the following exceptions and amendments, the Uniform Rules on Agency Procedure relating to agency procedure for rulemaking,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rulemaking. </w:t>
      </w:r>
      <w:r>
        <w:rPr>
          <w:rFonts w:ascii="Times New Roman" w:hAnsi="Times New Roman"/>
          <w:b w:val="false"/>
          <w:i w:val="false"/>
          <w:color w:val="000000"/>
          <w:sz w:val="22"/>
        </w:rPr>
        <w:t>In lieu of the words “(commission, board, council, director)” insert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color w:val="000000"/>
          <w:sz w:val="22"/>
        </w:rPr>
        <w:t xml:space="preserve">Notices mailed. </w:t>
      </w:r>
      <w:r>
        <w:rPr>
          <w:rFonts w:ascii="Times New Roman" w:hAnsi="Times New Roman"/>
          <w:b w:val="false"/>
          <w:i w:val="false"/>
          <w:color w:val="000000"/>
          <w:sz w:val="22"/>
        </w:rPr>
        <w:t>In lieu of the words “(specify time period)” insert “one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In lieu of the words “(identify office and address)” insert “Compliance Division, Iowa Department of Health and Human Services, Lucas State Office Building, 321 E.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In lieu of the words “(designate office and telephone number)” insert “Compliance Division of the Department, 515.281.7689”.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flexibility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In lieu of the words “(designate office)” insert “Compliance Division, Iowa Department of Health and Human Services, Lucas State Office Building,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lieu of the words “(specify the office and address)” insert “Compliance Division, Iowa Department of Health and Human Services, Lucas State Office Building, 321 E. 12th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Amend paragraph </w:t>
      </w:r>
      <w:r>
        <w:rPr>
          <w:rFonts w:ascii="Times New Roman" w:hAnsi="Times New Roman"/>
          <w:b w:val="false"/>
          <w:i/>
          <w:color w:val="000000"/>
          <w:sz w:val="22"/>
        </w:rPr>
        <w:t>“c”</w:t>
      </w:r>
      <w:r>
        <w:rPr>
          <w:rFonts w:ascii="Times New Roman" w:hAnsi="Times New Roman"/>
          <w:b w:val="false"/>
          <w:i w:val="false"/>
          <w:color w:val="000000"/>
          <w:sz w:val="22"/>
        </w:rPr>
        <w:t xml:space="preserve"> by inserting “director” in lieu of “(agency head)”.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4/30/76—published 5/17/76, effective 4/30/76]</w:t>
      </w:r>
    </w:p>
    <w:p>
      <w:pPr>
        <w:spacing w:before="0" w:after="0"/>
        <w:ind w:left="120"/>
        <w:jc w:val="center"/>
      </w:pPr>
      <w:r>
        <w:rPr>
          <w:rFonts w:ascii="Times New Roman" w:hAnsi="Times New Roman"/>
          <w:b w:val="false"/>
          <w:i w:val="false"/>
          <w:color w:val="000000"/>
          <w:sz w:val="21"/>
        </w:rPr>
        <w:t>[Filed 6/25/76, Notice 3/22/76—published 7/12/76, effective 8/16/76]</w:t>
      </w:r>
    </w:p>
    <w:p>
      <w:pPr>
        <w:spacing w:before="0" w:after="0"/>
        <w:ind w:left="120"/>
        <w:jc w:val="center"/>
      </w:pPr>
      <w:r>
        <w:rPr>
          <w:rFonts w:ascii="Times New Roman" w:hAnsi="Times New Roman"/>
          <w:b w:val="false"/>
          <w:i w:val="false"/>
          <w:color w:val="000000"/>
          <w:sz w:val="21"/>
        </w:rPr>
        <w:t>[Filed emergency 5/8/78—published 5/31/78, effective 5/12/78]</w:t>
      </w:r>
    </w:p>
    <w:p>
      <w:pPr>
        <w:spacing w:before="0" w:after="0"/>
        <w:ind w:left="120"/>
        <w:jc w:val="center"/>
      </w:pPr>
      <w:r>
        <w:rPr>
          <w:rFonts w:ascii="Times New Roman" w:hAnsi="Times New Roman"/>
          <w:b w:val="false"/>
          <w:i w:val="false"/>
          <w:color w:val="000000"/>
          <w:sz w:val="21"/>
        </w:rPr>
        <w:t>[Filed 9/12/78, Notice 7/26/78—published 10/4/78, effective 11/8/78]</w:t>
      </w:r>
    </w:p>
    <w:p>
      <w:pPr>
        <w:spacing w:before="0" w:after="0"/>
        <w:ind w:left="120"/>
        <w:jc w:val="center"/>
      </w:pPr>
      <w:r>
        <w:rPr>
          <w:rFonts w:ascii="Times New Roman" w:hAnsi="Times New Roman"/>
          <w:b w:val="false"/>
          <w:i w:val="false"/>
          <w:color w:val="000000"/>
          <w:sz w:val="21"/>
        </w:rPr>
        <w:t>[Filed 12/6/78, Notice 5/31/78—published 12/27/78, effective 1/31/79]</w:t>
      </w:r>
    </w:p>
    <w:p>
      <w:pPr>
        <w:spacing w:before="0" w:after="0"/>
        <w:ind w:left="120"/>
        <w:jc w:val="center"/>
      </w:pPr>
      <w:r>
        <w:rPr>
          <w:rFonts w:ascii="Times New Roman" w:hAnsi="Times New Roman"/>
          <w:b w:val="false"/>
          <w:i w:val="false"/>
          <w:color w:val="000000"/>
          <w:sz w:val="21"/>
        </w:rPr>
        <w:t>[Filed 8/29/80, Notice 6/11/80—published 9/17/80, effective 10/22/80]</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4/28/86, Notice 3/12/86—published 5/21/86, effective 7/1/86]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7/24/87, Notices 5/6/87 and 5/20/87—published 8/12/87, effective 10/1/87]</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1/29/92, Notice 9/4/91—published 2/19/92, effective 3/25/92]</w:t>
      </w:r>
    </w:p>
    <w:p>
      <w:pPr>
        <w:spacing w:before="0" w:after="0"/>
        <w:ind w:left="120"/>
        <w:jc w:val="center"/>
      </w:pPr>
      <w:r>
        <w:rPr>
          <w:rFonts w:ascii="Times New Roman" w:hAnsi="Times New Roman"/>
          <w:b w:val="false"/>
          <w:i w:val="false"/>
          <w:color w:val="000000"/>
          <w:sz w:val="21"/>
        </w:rPr>
        <w:t>[Filed emergency 5/13/92—published 6/10/92, effective 5/14/92]</w:t>
      </w:r>
    </w:p>
    <w:p>
      <w:pPr>
        <w:spacing w:before="0" w:after="0"/>
        <w:ind w:left="120"/>
        <w:jc w:val="center"/>
      </w:pPr>
      <w:r>
        <w:rPr>
          <w:rFonts w:ascii="Times New Roman" w:hAnsi="Times New Roman"/>
          <w:b w:val="false"/>
          <w:i w:val="false"/>
          <w:color w:val="000000"/>
          <w:sz w:val="21"/>
        </w:rPr>
        <w:t>[Filed 7/17/92, Notice 6/10/92—published 8/5/92, effective 10/1/92]</w:t>
      </w:r>
    </w:p>
    <w:p>
      <w:pPr>
        <w:spacing w:before="0" w:after="0"/>
        <w:ind w:left="120"/>
        <w:jc w:val="center"/>
      </w:pPr>
      <w:r>
        <w:rPr>
          <w:rFonts w:ascii="Times New Roman" w:hAnsi="Times New Roman"/>
          <w:b w:val="false"/>
          <w:i w:val="false"/>
          <w:color w:val="000000"/>
          <w:sz w:val="21"/>
        </w:rPr>
        <w:t>[Filed 3/10/99, Notice 1/13/99—published 4/7/99, effective 7/1/99]</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4/10/02, Notice 12/12/01—published 5/1/02, effective 7/1/02]</w:t>
      </w:r>
    </w:p>
    <w:p>
      <w:pPr>
        <w:spacing w:before="0" w:after="0"/>
        <w:ind w:left="120"/>
        <w:jc w:val="center"/>
      </w:pPr>
      <w:r>
        <w:rPr>
          <w:rFonts w:ascii="Times New Roman" w:hAnsi="Times New Roman"/>
          <w:b w:val="false"/>
          <w:i w:val="false"/>
          <w:color w:val="000000"/>
          <w:sz w:val="21"/>
        </w:rPr>
        <w:t>[Filed ARC 6345C</w:t>
      </w:r>
      <w:r>
        <w:rPr>
          <w:rFonts w:ascii="Times New Roman" w:hAnsi="Times New Roman"/>
          <w:b w:val="false"/>
          <w:i w:val="false"/>
          <w:color w:val="000000"/>
          <w:sz w:val="21"/>
        </w:rPr>
        <w:t xml:space="preserve"> (Notice ARC 6247C, IAB 3/23/22)</w:t>
      </w:r>
      <w:r>
        <w:rPr>
          <w:rFonts w:ascii="Times New Roman" w:hAnsi="Times New Roman"/>
          <w:b w:val="false"/>
          <w:i w:val="false"/>
          <w:color w:val="000000"/>
          <w:sz w:val="21"/>
        </w:rPr>
        <w:t>, IAB 6/15/22, effective 8/1/22]</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