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MENTAL HEALTH INSTITUTES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sets policies for the state mental health institutes listed in Iowa Code section </w:t>
      </w:r>
      <w:hyperlink r:id="rId5">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rules apply in addition to the general rules in </w:t>
      </w:r>
      <w:hyperlink r:id="rId6">
        <w:r>
          <w:rPr>
            <w:rStyle w:val="Hyperlink"/>
            <w:rFonts w:ascii="Times New Roman" w:hAnsi="Times New Roman"/>
            <w:b w:val="false"/>
            <w:i w:val="false"/>
            <w:color w:val="000000"/>
            <w:sz w:val="22"/>
          </w:rPr>
          <w:t>441—Chapter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441—29.1</w:t>
      </w:r>
      <w:r>
        <w:rPr>
          <w:rFonts w:ascii="Times New Roman" w:hAnsi="Times New Roman"/>
          <w:b/>
          <w:i w:val="false"/>
          <w:color w:val="000000"/>
          <w:sz w:val="22"/>
        </w:rPr>
        <w:t xml:space="preserve">(218,229) </w:t>
      </w:r>
      <w:r>
        <w:rPr>
          <w:rFonts w:ascii="Times New Roman" w:hAnsi="Times New Roman"/>
          <w:b/>
          <w:i w:val="false"/>
          <w:color w:val="000000"/>
          <w:sz w:val="22"/>
        </w:rPr>
        <w:t xml:space="preserve">Voluntary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Any individual who has symptoms of mental illness may apply for voluntary inpatient treatment or voluntary outpatient or day treatment using Form 470-0420, Application for Voluntary Admission to a Mental Health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A parent, guardian, or legal representative of a minor individual may make application for the individual’s voluntary admission directly to the mental health institute using Form 470-0420, Application for Voluntary Admission to a Mental Health Institute. When a minor objects to the admission and the chief medical officer of the mental health institute determines that the admission is appropriate, the parent, guardian, or custodian must petition the juvenile court for approval of admission before the minor shall be admitted.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w:t>
      </w:r>
      <w:r>
        <w:rPr>
          <w:rFonts w:ascii="Times New Roman" w:hAnsi="Times New Roman"/>
          <w:b w:val="false"/>
          <w:i w:val="false"/>
          <w:color w:val="000000"/>
          <w:sz w:val="22"/>
        </w:rPr>
        <w:t> </w:t>
      </w:r>
      <w:r>
        <w:rPr>
          <w:rFonts w:ascii="Times New Roman" w:hAnsi="Times New Roman"/>
          <w:b w:val="false"/>
          <w:i/>
          <w:color w:val="000000"/>
          <w:sz w:val="22"/>
        </w:rPr>
        <w:t xml:space="preserve">County approval. </w:t>
      </w:r>
      <w:r>
        <w:rPr>
          <w:rFonts w:ascii="Times New Roman" w:hAnsi="Times New Roman"/>
          <w:b w:val="false"/>
          <w:i w:val="false"/>
          <w:color w:val="000000"/>
          <w:sz w:val="22"/>
        </w:rPr>
        <w:t>When an adult individual or a person responsible for the individual wishes to apply for voluntary admission and is unable to pay the cost of care, application for admission shall be made to and authorized through the central point of coordination or regional administrator for the individual’s county of residence before application for admission shall be made to the mental health institute. Authorization for admission shall be provided by the signature of one or more officially designated agents of the county board of supervisors using Form 470-0420, Application for Voluntary Admission to a Mental Health Institute, before the form is forwarded to the mental health institute.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6273C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441—29.2</w:t>
      </w:r>
      <w:r>
        <w:rPr>
          <w:rFonts w:ascii="Times New Roman" w:hAnsi="Times New Roman"/>
          <w:b/>
          <w:i w:val="false"/>
          <w:color w:val="000000"/>
          <w:sz w:val="22"/>
        </w:rPr>
        <w:t xml:space="preserve">(229,230) </w:t>
      </w:r>
      <w:r>
        <w:rPr>
          <w:rFonts w:ascii="Times New Roman" w:hAnsi="Times New Roman"/>
          <w:b/>
          <w:i w:val="false"/>
          <w:color w:val="000000"/>
          <w:sz w:val="22"/>
        </w:rPr>
        <w:t xml:space="preserve">Certification of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data. </w:t>
      </w:r>
      <w:r>
        <w:rPr>
          <w:rFonts w:ascii="Times New Roman" w:hAnsi="Times New Roman"/>
          <w:b w:val="false"/>
          <w:i w:val="false"/>
          <w:color w:val="000000"/>
          <w:sz w:val="22"/>
        </w:rPr>
        <w:t>By the end of the next working day following a non-Medicaid payment-eligible adult individual’s admission, the facility shall send a copy of Form 470-4161, DHS MHI Admission Core Data, by facsimile to the regional administrator for the county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County response. </w:t>
      </w:r>
      <w:r>
        <w:rPr>
          <w:rFonts w:ascii="Times New Roman" w:hAnsi="Times New Roman"/>
          <w:b w:val="false"/>
          <w:i w:val="false"/>
          <w:color w:val="000000"/>
          <w:sz w:val="22"/>
        </w:rPr>
        <w:t xml:space="preserve">For adult cases where the admitting county does not dispute the individual’s county of residence, no further response is needed. If the admitting county disputes the applicant’s affirmation of county of residence, the county or its officially designated agent shall be responsible for resolving the dispute using the dispute resolution process in Iowa Code section </w:t>
      </w:r>
      <w:hyperlink r:id="rId7">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 If the state disputes the individual’s affirmation of county of residence, the state shall be responsible for initiating the dispute resolution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6273C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441—29.3</w:t>
      </w:r>
      <w:r>
        <w:rPr>
          <w:rFonts w:ascii="Times New Roman" w:hAnsi="Times New Roman"/>
          <w:b/>
          <w:i w:val="false"/>
          <w:color w:val="000000"/>
          <w:sz w:val="22"/>
        </w:rPr>
        <w:t xml:space="preserve">(218,230) </w:t>
      </w:r>
      <w:r>
        <w:rPr>
          <w:rFonts w:ascii="Times New Roman" w:hAnsi="Times New Roman"/>
          <w:b/>
          <w:i w:val="false"/>
          <w:color w:val="000000"/>
          <w:sz w:val="22"/>
        </w:rPr>
        <w:t xml:space="preserve">Charges for care. </w:t>
      </w:r>
      <w:r>
        <w:rPr>
          <w:rFonts w:ascii="Times New Roman" w:hAnsi="Times New Roman"/>
          <w:b w:val="false"/>
          <w:i w:val="false"/>
          <w:color w:val="000000"/>
          <w:sz w:val="22"/>
        </w:rPr>
        <w:t>The rates for cost of hospitalization are established by the division administrator and shall be available by contacting the business manager of the mental health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Individuals requesting voluntary admission without going through the regional administrator process shall be required to pay the cost of hospitalization in advance. This cost shall be computed at 30 times the last per diem rate and shall be collected weekly in advance upon admission. The weekly amount due shall be determined by dividing the monthly rate by 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bill each county for services provided to individuals chargeable to the county during the preceding calendar quarter as required in Iowa Code section </w:t>
      </w:r>
      <w:hyperlink r:id="rId8">
        <w:r>
          <w:rPr>
            <w:rStyle w:val="Hyperlink"/>
            <w:rFonts w:ascii="Times New Roman" w:hAnsi="Times New Roman"/>
            <w:b w:val="false"/>
            <w:i w:val="false"/>
            <w:color w:val="000000"/>
            <w:sz w:val="22"/>
          </w:rPr>
          <w:t>230.20</w:t>
        </w:r>
      </w:hyperlink>
      <w:r>
        <w:rPr>
          <w:rFonts w:ascii="Times New Roman" w:hAnsi="Times New Roman"/>
          <w:b w:val="false"/>
          <w:i w:val="false"/>
          <w:color w:val="000000"/>
          <w:sz w:val="22"/>
        </w:rPr>
        <w:t>. In determining the charges for services, direct medical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Laboratory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Electroconvulsive treatment (ECT).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Electrocardiogram (EKG).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Basal metabolism rate (BMR).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Electroencephalograph (EEG).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Outside physician and hospital services billed to the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Optometric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Outside ambulance services billed to the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liability of a person legally liable for support of an individual with mental illness after 120 days of hospitalization shall be standard for one person in the family investment program as established in </w:t>
      </w:r>
      <w:hyperlink r:id="rId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6273C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441—29.4</w:t>
      </w:r>
      <w:r>
        <w:rPr>
          <w:rFonts w:ascii="Times New Roman" w:hAnsi="Times New Roman"/>
          <w:b/>
          <w:i w:val="false"/>
          <w:color w:val="000000"/>
          <w:sz w:val="22"/>
        </w:rPr>
        <w:t xml:space="preserve">(229) </w:t>
      </w:r>
      <w:r>
        <w:rPr>
          <w:rFonts w:ascii="Times New Roman" w:hAnsi="Times New Roman"/>
          <w:b/>
          <w:i w:val="false"/>
          <w:color w:val="000000"/>
          <w:sz w:val="22"/>
        </w:rPr>
        <w:t xml:space="preserve">Authorization for treatment. </w:t>
      </w:r>
      <w:r>
        <w:rPr>
          <w:rFonts w:ascii="Times New Roman" w:hAnsi="Times New Roman"/>
          <w:b w:val="false"/>
          <w:i w:val="false"/>
          <w:color w:val="000000"/>
          <w:sz w:val="22"/>
        </w:rPr>
        <w:t>No individual receiving services, either on a voluntary or involuntary basis, shall be provided treatment other than what is necessary to preserve life or protect others from physical injury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has given consent by signing Form 470-0428, Mental Health Institute Agreement and Consent to Treatment;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court has ordered treatment;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parent, guardian, or legal representative has given consent by signing Form 470-0428, Mental Health Institute Agreement and Consent to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6273C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441—29.5</w:t>
      </w:r>
      <w:r>
        <w:rPr>
          <w:rFonts w:ascii="Times New Roman" w:hAnsi="Times New Roman"/>
          <w:b/>
          <w:i w:val="false"/>
          <w:color w:val="000000"/>
          <w:sz w:val="22"/>
        </w:rPr>
        <w:t xml:space="preserve">(217,228,229) </w:t>
      </w:r>
      <w:r>
        <w:rPr>
          <w:rFonts w:ascii="Times New Roman" w:hAnsi="Times New Roman"/>
          <w:b/>
          <w:i w:val="false"/>
          <w:color w:val="000000"/>
          <w:sz w:val="22"/>
        </w:rPr>
        <w:t xml:space="preserve">Rights of individuals. </w:t>
      </w:r>
      <w:r>
        <w:rPr>
          <w:rFonts w:ascii="Times New Roman" w:hAnsi="Times New Roman"/>
          <w:b w:val="false"/>
          <w:i w:val="false"/>
          <w:color w:val="000000"/>
          <w:sz w:val="22"/>
        </w:rPr>
        <w:t>An individual receiving care from a state mental health institute shall have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An individual receiving care from a state mental health institute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and written copy of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provided information on the provisions of law pertaining to admission to and discharge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of the individual’s medical condition and be informed as to treatment plans and the attendant risks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provided with complete and current information concerning the individual’s diagnosis, treatment, and progress in terms and language understandable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the information required in this subrule made available to the individual’s parent, guardian, or legal representative when it is not feasible to give the information directly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Care and treatment. </w:t>
      </w:r>
      <w:r>
        <w:rPr>
          <w:rFonts w:ascii="Times New Roman" w:hAnsi="Times New Roman"/>
          <w:b w:val="false"/>
          <w:i w:val="false"/>
          <w:color w:val="000000"/>
          <w:sz w:val="22"/>
        </w:rPr>
        <w:t>An individual receiving care from a state mental health institute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evaluated promptly following admission and receive emergency services appropriate to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current individualized written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appropriate treatment, services, and rehabilitation for the individual’s mental illness, including appropriate and sufficient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opportunity for educational, vocational, rehabilitative, and recreational programs appropriate to the individual’s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the confidentiality of the individual’s personal mental health institute records maintained and have access to those records within a reasonable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an individualized posthospitalization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Living conditions. </w:t>
      </w:r>
      <w:r>
        <w:rPr>
          <w:rFonts w:ascii="Times New Roman" w:hAnsi="Times New Roman"/>
          <w:b w:val="false"/>
          <w:i w:val="false"/>
          <w:color w:val="000000"/>
          <w:sz w:val="22"/>
        </w:rPr>
        <w:t>An individual receiving care from a state mental health institute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Live in the least restrictive conditions necessary to achieve the purposes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care in a manner that respects and maintains the individual’s dignity and individuality.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opportunities for personal privacy, including during the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Keep and use appropriate personal possessions, including wearing the individual’s own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from unnecessary drugs, restraints, and seclusion except when necessary to protect the immediate health or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free from physical, psychological, sexual, or verbal abuse, neglect and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An individual receiving care from a state mental health institute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family contact or representative of the individual’s choice or the individual’s community physician notified promptly of the individual’s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Communicate with people and access services at the facility and in the community, including organizing and participating in resident groups while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visits of the individual’s choice from parents, guardians, legal representatives, or family without prior notice given to the facility unless the visits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Communicate and meet privately with persons of the individual’s choice without prior notice given to the facility unless the communication is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Send and receive unopened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Make and receive private telephone calls, unless the calls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 current informational and recreational media such as newspapers, television, or periodicals.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color w:val="000000"/>
          <w:sz w:val="22"/>
        </w:rPr>
        <w:t xml:space="preserve">Self-determination. </w:t>
      </w:r>
      <w:r>
        <w:rPr>
          <w:rFonts w:ascii="Times New Roman" w:hAnsi="Times New Roman"/>
          <w:b w:val="false"/>
          <w:i w:val="false"/>
          <w:color w:val="000000"/>
          <w:sz w:val="22"/>
        </w:rPr>
        <w:t>An individual receiving care from a state mental health institute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dignified existence with self-determination, making choices about aspects of the individual’s life that are significant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the development and implementation of the individual’s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informed consent, including the right to withdraw consent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Refuse treatment (such as medication, surgery or electroconvulsive therapy) offered without the individual’s expressed informed consent, and be provided with an explanation of the consequences of those refusals unless treatment is necessary to protect the health or safety of the individual or is ordered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Immediate discharge (if admitted voluntarily) by submitting a written notice to the superintendent or chief medical officer, unless a written request for involuntary hospitalization is submitted to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Refuse to perform services for the facility and not be coerced to perform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Manage the individual’s own financial affairs unless doing so is limited under law or determined not 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Choose activities, schedules, and care consistent with the individual’s interests, needs,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Engage in social, religious, and community activities of the individual’s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Formulate advanced directives and be provided care in compliance with these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color w:val="000000"/>
          <w:sz w:val="22"/>
        </w:rPr>
        <w:t xml:space="preserve">Advocacy. </w:t>
      </w:r>
      <w:r>
        <w:rPr>
          <w:rFonts w:ascii="Times New Roman" w:hAnsi="Times New Roman"/>
          <w:b w:val="false"/>
          <w:i w:val="false"/>
          <w:color w:val="000000"/>
          <w:sz w:val="22"/>
        </w:rPr>
        <w:t>An individual receiving care from a state mental health institute shall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Exercise the individual’s rights as a citizen or resident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grievance pursuant to rule </w:t>
      </w:r>
      <w:hyperlink r:id="rId10">
        <w:r>
          <w:rPr>
            <w:rStyle w:val="Hyperlink"/>
            <w:rFonts w:ascii="Times New Roman" w:hAnsi="Times New Roman"/>
            <w:b w:val="false"/>
            <w:i w:val="false"/>
            <w:color w:val="000000"/>
            <w:sz w:val="22"/>
          </w:rPr>
          <w:t>441—28.4</w:t>
        </w:r>
      </w:hyperlink>
      <w:r>
        <w:rPr>
          <w:rFonts w:ascii="Times New Roman" w:hAnsi="Times New Roman"/>
          <w:b w:val="false"/>
          <w:i w:val="false"/>
          <w:color w:val="000000"/>
          <w:sz w:val="22"/>
        </w:rPr>
        <w:t>(225C,229) without any intimidation or reprisal resulting from the grievance.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a judicial review of the hospitalization, file for a writ of habeas corpus, have an attorney of the individual’s choice, and communicate and meet privately with the individual’s attorney without prior notice given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6273C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441—29.6</w:t>
      </w:r>
      <w:r>
        <w:rPr>
          <w:rFonts w:ascii="Times New Roman" w:hAnsi="Times New Roman"/>
          <w:b/>
          <w:i w:val="false"/>
          <w:color w:val="000000"/>
          <w:sz w:val="22"/>
        </w:rPr>
        <w:t xml:space="preserve">(218) </w:t>
      </w:r>
      <w:r>
        <w:rPr>
          <w:rFonts w:ascii="Times New Roman" w:hAnsi="Times New Roman"/>
          <w:b/>
          <w:i w:val="false"/>
          <w:color w:val="000000"/>
          <w:sz w:val="22"/>
        </w:rPr>
        <w:t xml:space="preserve">Visiting.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val="false"/>
          <w:color w:val="000000"/>
          <w:sz w:val="22"/>
        </w:rPr>
        <w:t>Visiting hours shall be posted in each facility.</w:t>
      </w:r>
    </w:p>
    <w:p>
      <w:pPr>
        <w:spacing w:before="0" w:after="0"/>
        <w:ind w:left="120"/>
        <w:jc w:val="both"/>
      </w:pPr>
      <w:r>
        <w:rPr>
          <w:rFonts w:ascii="Times New Roman" w:hAnsi="Times New Roman"/>
          <w:b w:val="false"/>
          <w:i w:val="false"/>
          <w:color w:val="000000"/>
          <w:sz w:val="22"/>
        </w:rPr>
        <w:t>The physician may designate exceptions for special hours on an individual or ward basis. Therapy for the individual shall take precedence over visiting. Visiting shall not interfere with the individual’s treatment program or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val="false"/>
          <w:color w:val="000000"/>
          <w:sz w:val="22"/>
        </w:rPr>
        <w:t>A visit shall be terminated when behavior on the part of the individual or visitor is disruptive to the individual’s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val="false"/>
          <w:color w:val="000000"/>
          <w:sz w:val="22"/>
        </w:rPr>
        <w:t>Visiting on grounds shall be permitted when the individual has a grounds 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29.6(4)</w:t>
      </w:r>
      <w:r>
        <w:rPr>
          <w:rFonts w:ascii="Times New Roman" w:hAnsi="Times New Roman"/>
          <w:b w:val="false"/>
          <w:i w:val="false"/>
          <w:color w:val="000000"/>
          <w:sz w:val="22"/>
        </w:rPr>
        <w:t> </w:t>
      </w:r>
      <w:r>
        <w:rPr>
          <w:rFonts w:ascii="Times New Roman" w:hAnsi="Times New Roman"/>
          <w:b w:val="false"/>
          <w:i w:val="false"/>
          <w:color w:val="000000"/>
          <w:sz w:val="22"/>
        </w:rPr>
        <w:t>Visitors wishing to take an individual off grounds shall receive prior approval from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29.6(5)</w:t>
      </w:r>
      <w:r>
        <w:rPr>
          <w:rFonts w:ascii="Times New Roman" w:hAnsi="Times New Roman"/>
          <w:b w:val="false"/>
          <w:i w:val="false"/>
          <w:color w:val="000000"/>
          <w:sz w:val="22"/>
        </w:rPr>
        <w:t> </w:t>
      </w:r>
      <w:r>
        <w:rPr>
          <w:rFonts w:ascii="Times New Roman" w:hAnsi="Times New Roman"/>
          <w:b w:val="false"/>
          <w:i w:val="false"/>
          <w:color w:val="000000"/>
          <w:sz w:val="22"/>
        </w:rPr>
        <w:t>All visitors shall obtain a visitor’s pass at the switchboard or another area as designated by the superintendent and posted. The pass shall be given to a ward employee before the visitor is allowed on the 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29.6(6)</w:t>
      </w:r>
      <w:r>
        <w:rPr>
          <w:rFonts w:ascii="Times New Roman" w:hAnsi="Times New Roman"/>
          <w:b w:val="false"/>
          <w:i w:val="false"/>
          <w:color w:val="000000"/>
          <w:sz w:val="22"/>
        </w:rPr>
        <w:t> </w:t>
      </w:r>
      <w:r>
        <w:rPr>
          <w:rFonts w:ascii="Times New Roman" w:hAnsi="Times New Roman"/>
          <w:b w:val="false"/>
          <w:i w:val="false"/>
          <w:color w:val="000000"/>
          <w:sz w:val="22"/>
        </w:rPr>
        <w:t>Persons under 12 years of age shall not visit on the 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6273C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8/11/99, Notice 6/16/99—published 9/8/99, effective 11/1/99]</w:t>
      </w:r>
    </w:p>
    <w:p>
      <w:pPr>
        <w:spacing w:before="0" w:after="0"/>
        <w:ind w:left="120"/>
        <w:jc w:val="center"/>
      </w:pPr>
      <w:r>
        <w:rPr>
          <w:rFonts w:ascii="Times New Roman" w:hAnsi="Times New Roman"/>
          <w:b w:val="false"/>
          <w:i w:val="false"/>
          <w:color w:val="000000"/>
          <w:sz w:val="21"/>
        </w:rPr>
        <w:t>[Filed 7/15/05, Notice 5/11/05—published 8/3/05, effective 10/1/05]</w:t>
      </w:r>
    </w:p>
    <w:p>
      <w:pPr>
        <w:spacing w:before="0" w:after="0"/>
        <w:ind w:left="120"/>
        <w:jc w:val="center"/>
      </w:pPr>
      <w:r>
        <w:rPr>
          <w:rFonts w:ascii="Times New Roman" w:hAnsi="Times New Roman"/>
          <w:b w:val="false"/>
          <w:i w:val="false"/>
          <w:color w:val="000000"/>
          <w:sz w:val="21"/>
        </w:rPr>
        <w:t>[Filed ARC 8094B</w:t>
      </w:r>
      <w:r>
        <w:rPr>
          <w:rFonts w:ascii="Times New Roman" w:hAnsi="Times New Roman"/>
          <w:b w:val="false"/>
          <w:i w:val="false"/>
          <w:color w:val="000000"/>
          <w:sz w:val="21"/>
        </w:rPr>
        <w:t xml:space="preserve"> (Notice ARC 7717B, IAB 4/22/09)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1145C</w:t>
      </w:r>
      <w:r>
        <w:rPr>
          <w:rFonts w:ascii="Times New Roman" w:hAnsi="Times New Roman"/>
          <w:b w:val="false"/>
          <w:i w:val="false"/>
          <w:color w:val="000000"/>
          <w:sz w:val="21"/>
        </w:rPr>
        <w:t xml:space="preserve"> (Notice ARC 0921C,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6273C</w:t>
      </w:r>
      <w:r>
        <w:rPr>
          <w:rFonts w:ascii="Times New Roman" w:hAnsi="Times New Roman"/>
          <w:b w:val="false"/>
          <w:i w:val="false"/>
          <w:color w:val="000000"/>
          <w:sz w:val="21"/>
        </w:rPr>
        <w:t xml:space="preserve"> (Notice ARC 6157C, IAB 1/26/22)</w:t>
      </w:r>
      <w:r>
        <w:rPr>
          <w:rFonts w:ascii="Times New Roman" w:hAnsi="Times New Roman"/>
          <w:b w:val="false"/>
          <w:i w:val="false"/>
          <w:color w:val="000000"/>
          <w:sz w:val="21"/>
        </w:rPr>
        <w:t>, IAB 4/6/22, effective 6/1/22]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8.1.pdf" Type="http://schemas.openxmlformats.org/officeDocument/2006/relationships/hyperlink" Id="rId5"/>
    <Relationship TargetMode="External" Target="https://www.legis.iowa.gov/docs/iac/chapter/441.28.pdf" Type="http://schemas.openxmlformats.org/officeDocument/2006/relationships/hyperlink" Id="rId6"/>
    <Relationship TargetMode="External" Target="https://www.legis.iowa.gov/docs/ico/chapter/331.394.pdf" Type="http://schemas.openxmlformats.org/officeDocument/2006/relationships/hyperlink" Id="rId7"/>
    <Relationship TargetMode="External" Target="https://www.legis.iowa.gov/docs/ico/chapter/230.20.pdf" Type="http://schemas.openxmlformats.org/officeDocument/2006/relationships/hyperlink" Id="rId8"/>
    <Relationship TargetMode="External" Target="https://www.legis.iowa.gov/docs/iac/rule/441.41.28.pdf" Type="http://schemas.openxmlformats.org/officeDocument/2006/relationships/hyperlink" Id="rId9"/>
    <Relationship TargetMode="External" Target="https://www.legis.iowa.gov/docs/iac/rule/441.28.4.pdf" Type="http://schemas.openxmlformats.org/officeDocument/2006/relationships/hyperlink" Id="rId10"/>
    <Relationship TargetMode="External" Target="https://www.legis.iowa.gov/docs/ico/chapter/217.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9.pdf" Type="http://schemas.openxmlformats.org/officeDocument/2006/relationships/hyperlink" Id="rId14"/>
    <Relationship TargetMode="External" Target="https://www.legis.iowa.gov/docs/ico/chapter/230.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