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 xml:space="preserve">POLICIES FOR MENTAL HEALTH </w:t>
      </w:r>
      <w:r>
        <w:br/>
      </w:r>
      <w:r>
        <w:rPr>
          <w:rFonts w:ascii="Times New Roman" w:hAnsi="Times New Roman"/>
          <w:b w:val="false"/>
          <w:i w:val="false"/>
          <w:color w:val="000000"/>
          <w:sz w:val="21"/>
        </w:rPr>
        <w:t>INSTITUTES AND RESOURCE CENTERS</w:t>
      </w:r>
    </w:p>
    <w:p>
      <w:pPr>
        <w:spacing w:before="0" w:after="0"/>
        <w:ind w:left="120"/>
        <w:jc w:val="center"/>
      </w:pPr>
      <w:r>
        <w:rPr>
          <w:rFonts w:ascii="Times New Roman" w:hAnsi="Times New Roman"/>
          <w:b w:val="false"/>
          <w:i w:val="false"/>
          <w:color w:val="000000"/>
          <w:sz w:val="14"/>
        </w:rPr>
        <w:t>[Prior to 7/1/83, Social Services [770] Ch 28]</w:t>
      </w:r>
    </w:p>
    <w:p>
      <w:pPr>
        <w:spacing w:before="0" w:after="0"/>
        <w:ind w:left="120"/>
        <w:jc w:val="center"/>
      </w:pPr>
      <w:r>
        <w:rPr>
          <w:rFonts w:ascii="Times New Roman" w:hAnsi="Times New Roman"/>
          <w:b w:val="false"/>
          <w:i w:val="false"/>
          <w:color w:val="000000"/>
          <w:sz w:val="14"/>
        </w:rPr>
        <w:t>[Prior to 2/11/87, Human Services [498]]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441—28.1</w:t>
      </w:r>
      <w:r>
        <w:rPr>
          <w:rFonts w:ascii="Times New Roman" w:hAnsi="Times New Roman"/>
          <w:b/>
          <w:i w:val="false"/>
          <w:color w:val="000000"/>
          <w:sz w:val="22"/>
        </w:rPr>
        <w:t xml:space="preserve">(218)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in this rule apply to 441—Chapters 28, 29, and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 </w:t>
      </w:r>
      <w:r>
        <w:rPr>
          <w:rFonts w:ascii="Times New Roman" w:hAnsi="Times New Roman"/>
          <w:b w:val="false"/>
          <w:i w:val="false"/>
          <w:color w:val="000000"/>
          <w:sz w:val="22"/>
        </w:rPr>
        <w:t>means the acceptance of an individual for receipt of services at a state mental health institute or resource center on either a voluntary or involuntary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an individual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supervisors” </w:t>
      </w:r>
      <w:r>
        <w:rPr>
          <w:rFonts w:ascii="Times New Roman" w:hAnsi="Times New Roman"/>
          <w:b w:val="false"/>
          <w:i w:val="false"/>
          <w:color w:val="000000"/>
          <w:sz w:val="22"/>
        </w:rPr>
        <w:t xml:space="preserve">means the elected governing body of a county as defined in Iowa Code section </w:t>
      </w:r>
      <w:hyperlink r:id="rId5">
        <w:r>
          <w:rPr>
            <w:rStyle w:val="Hyperlink"/>
            <w:rFonts w:ascii="Times New Roman" w:hAnsi="Times New Roman"/>
            <w:b w:val="false"/>
            <w:i w:val="false"/>
            <w:color w:val="000000"/>
            <w:sz w:val="22"/>
          </w:rPr>
          <w:t>331.101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“Catchment area” </w:t>
      </w:r>
      <w:r>
        <w:rPr>
          <w:rFonts w:ascii="Times New Roman" w:hAnsi="Times New Roman"/>
          <w:b w:val="false"/>
          <w:i w:val="false"/>
          <w:color w:val="000000"/>
          <w:sz w:val="22"/>
        </w:rPr>
        <w:t>means the group of counties, designated by the division administrator, that each state resource center is assigned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 residence”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331.394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administrator” </w:t>
      </w:r>
      <w:r>
        <w:rPr>
          <w:rFonts w:ascii="Times New Roman" w:hAnsi="Times New Roman"/>
          <w:b w:val="false"/>
          <w:i w:val="false"/>
          <w:color w:val="000000"/>
          <w:sz w:val="22"/>
        </w:rPr>
        <w:t>means the administrator of the division of mental health and disability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mental health institute or state resource center referenced in Iowa Code section </w:t>
      </w:r>
      <w:hyperlink r:id="rId7">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means a written or oral complaint by or on behalf of an individual involving: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rights violation or unfairness to the individual,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aspect of the individual’s life with which the individual does not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 xml:space="preserve">means the person other than a parent of a minor who has been appointed by the court to have custody of the person of the individual as provided under Iowa Code section </w:t>
      </w:r>
      <w:hyperlink r:id="rId8">
        <w:r>
          <w:rPr>
            <w:rStyle w:val="Hyperlink"/>
            <w:rFonts w:ascii="Times New Roman" w:hAnsi="Times New Roman"/>
            <w:b w:val="false"/>
            <w:i w:val="false"/>
            <w:color w:val="000000"/>
            <w:sz w:val="22"/>
          </w:rPr>
          <w:t>232.2(21)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633.3(20)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any person seeking or receiving services from a state mental health institute or a state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means an agreement by an individual or by the individual’s parent, guardian, or legal representative to participate in an activity based upon an understanding of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full explanation of the procedures to be followed, including an identification of those that are experimental.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discomforts and risks.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benefits to be expected.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disclosure of appropriate alternative procedures that would be advantageous for the individual.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Assurance that consent is given freely and voluntarily without fear of retribution or withdrawal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a person, including an attorney, who is authorized by law to act on behalf of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w:t>
      </w:r>
      <w:r>
        <w:rPr>
          <w:rFonts w:ascii="Times New Roman" w:hAnsi="Times New Roman"/>
          <w:b w:val="false"/>
          <w:i w:val="false"/>
          <w:color w:val="000000"/>
          <w:sz w:val="22"/>
        </w:rPr>
        <w:t>means an individual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“Non-Medicaid payment-eligible” </w:t>
      </w:r>
      <w:r>
        <w:rPr>
          <w:rFonts w:ascii="Times New Roman" w:hAnsi="Times New Roman"/>
          <w:b w:val="false"/>
          <w:i w:val="false"/>
          <w:color w:val="000000"/>
          <w:sz w:val="22"/>
        </w:rPr>
        <w:t>means that an individual is not eligible for Medicaid funding for the services provided by a mental health institute or state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natural or adoptive mother or father of a child but does not include a mother or father whose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administrator”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331.388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 </w:t>
      </w:r>
      <w:r>
        <w:rPr>
          <w:rFonts w:ascii="Times New Roman" w:hAnsi="Times New Roman"/>
          <w:b w:val="false"/>
          <w:i w:val="false"/>
          <w:color w:val="000000"/>
          <w:sz w:val="22"/>
        </w:rPr>
        <w:t>means the human, civil, and constitutional liberties an individual possesses through federal and state constitutions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case” </w:t>
      </w:r>
      <w:r>
        <w:rPr>
          <w:rFonts w:ascii="Times New Roman" w:hAnsi="Times New Roman"/>
          <w:b w:val="false"/>
          <w:i w:val="false"/>
          <w:color w:val="000000"/>
          <w:sz w:val="22"/>
        </w:rPr>
        <w:t xml:space="preserve">means the determination made under Iowa Code section </w:t>
      </w:r>
      <w:hyperlink r:id="rId11">
        <w:r>
          <w:rPr>
            <w:rStyle w:val="Hyperlink"/>
            <w:rFonts w:ascii="Times New Roman" w:hAnsi="Times New Roman"/>
            <w:b w:val="false"/>
            <w:i w:val="false"/>
            <w:color w:val="000000"/>
            <w:sz w:val="22"/>
          </w:rPr>
          <w:t>331.394</w:t>
        </w:r>
      </w:hyperlink>
      <w:r>
        <w:rPr>
          <w:rFonts w:ascii="Times New Roman" w:hAnsi="Times New Roman"/>
          <w:b w:val="false"/>
          <w:i w:val="false"/>
          <w:color w:val="000000"/>
          <w:sz w:val="22"/>
        </w:rPr>
        <w:t xml:space="preserve"> that an individual does not have a county of residence in an Iowa county and places funding responsibility with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of any of the two mental health institutes and the two state resource centers.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6349C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441—28.2</w:t>
      </w:r>
      <w:r>
        <w:rPr>
          <w:rFonts w:ascii="Times New Roman" w:hAnsi="Times New Roman"/>
          <w:b/>
          <w:i w:val="false"/>
          <w:color w:val="000000"/>
          <w:sz w:val="22"/>
        </w:rPr>
        <w:t xml:space="preserve">(218) </w:t>
      </w:r>
      <w:r>
        <w:rPr>
          <w:rFonts w:ascii="Times New Roman" w:hAnsi="Times New Roman"/>
          <w:b/>
          <w:i w:val="false"/>
          <w:color w:val="000000"/>
          <w:sz w:val="22"/>
        </w:rPr>
        <w:t xml:space="preserve">Selection of facility. </w:t>
      </w:r>
      <w:r>
        <w:rPr>
          <w:rFonts w:ascii="Times New Roman" w:hAnsi="Times New Roman"/>
          <w:b w:val="false"/>
          <w:i w:val="false"/>
          <w:color w:val="000000"/>
          <w:sz w:val="22"/>
        </w:rPr>
        <w:t>Application for voluntary admission to a resource center shall be made to the facility in the catchment area within which the individual for whom admission is sought has a county of residence. The individual may be admitted to a state resource center in another catchment area if that facility has a more suitable opening.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218.19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218.20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6349C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441—28.3</w:t>
      </w:r>
      <w:r>
        <w:rPr>
          <w:rFonts w:ascii="Times New Roman" w:hAnsi="Times New Roman"/>
          <w:b/>
          <w:i w:val="false"/>
          <w:color w:val="000000"/>
          <w:sz w:val="22"/>
        </w:rPr>
        <w:t xml:space="preserve">(222,230) </w:t>
      </w:r>
      <w:r>
        <w:rPr>
          <w:rFonts w:ascii="Times New Roman" w:hAnsi="Times New Roman"/>
          <w:b/>
          <w:i w:val="false"/>
          <w:color w:val="000000"/>
          <w:sz w:val="22"/>
        </w:rPr>
        <w:t xml:space="preserve">Evidence of legal settlement.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1145C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10/30/13</w:t>
      </w:r>
      <w:r>
        <w:rPr>
          <w:rFonts w:ascii="Times New Roman" w:hAnsi="Times New Roman"/>
          <w:b w:val="false"/>
          <w:i w:val="false"/>
          <w:color w:val="000000"/>
          <w:sz w:val="22"/>
        </w:rPr>
        <w:t>, effective 1/1/14.</w:t>
      </w:r>
    </w:p>
    <w:p>
      <w:pPr>
        <w:spacing w:before="0" w:after="0"/>
        <w:ind w:left="120"/>
        <w:jc w:val="both"/>
      </w:pPr>
      <w:r>
        <w:rPr>
          <w:rFonts w:ascii="Times New Roman" w:hAnsi="Times New Roman"/>
          <w:b/>
          <w:i w:val="false"/>
          <w:color w:val="000000"/>
          <w:sz w:val="22"/>
        </w:rPr>
        <w:t>441—28.4</w:t>
      </w:r>
      <w:r>
        <w:rPr>
          <w:rFonts w:ascii="Times New Roman" w:hAnsi="Times New Roman"/>
          <w:b/>
          <w:i w:val="false"/>
          <w:color w:val="000000"/>
          <w:sz w:val="22"/>
        </w:rPr>
        <w:t xml:space="preserve">(225C,229) </w:t>
      </w:r>
      <w:r>
        <w:rPr>
          <w:rFonts w:ascii="Times New Roman" w:hAnsi="Times New Roman"/>
          <w:b/>
          <w:i w:val="false"/>
          <w:color w:val="000000"/>
          <w:sz w:val="22"/>
        </w:rPr>
        <w:t xml:space="preserve">Grievances. </w:t>
      </w:r>
      <w:r>
        <w:rPr>
          <w:rFonts w:ascii="Times New Roman" w:hAnsi="Times New Roman"/>
          <w:b w:val="false"/>
          <w:i w:val="false"/>
          <w:color w:val="000000"/>
          <w:sz w:val="22"/>
        </w:rPr>
        <w:t>Any individual who believes the individual’s rights have been violated by a mental health institute or resource center or who has any complaint concerning the individual’s treatment at a mental health institute or resource center may file a grievance. A grievance shall be filed using Form 470-4498, Individual Grievance. The individual’s parent, family, guardian, or legal representative may file a grievance on behalf of the individual.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225C.27</w:t>
        </w:r>
      </w:hyperlink>
      <w:r>
        <w:rPr>
          <w:rFonts w:ascii="Times New Roman" w:hAnsi="Times New Roman"/>
          <w:b w:val="false"/>
          <w:i w:val="false"/>
          <w:color w:val="000000"/>
          <w:sz w:val="22"/>
        </w:rPr>
        <w:t xml:space="preserve">and </w:t>
      </w:r>
      <w:hyperlink r:id="rId16">
        <w:r>
          <w:rPr>
            <w:rStyle w:val="Hyperlink"/>
            <w:rFonts w:ascii="Times New Roman" w:hAnsi="Times New Roman"/>
            <w:b w:val="false"/>
            <w:i w:val="false"/>
            <w:color w:val="000000"/>
            <w:sz w:val="22"/>
          </w:rPr>
          <w:t>229.23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441—28.5</w:t>
      </w:r>
      <w:r>
        <w:rPr>
          <w:rFonts w:ascii="Times New Roman" w:hAnsi="Times New Roman"/>
          <w:b/>
          <w:i w:val="false"/>
          <w:color w:val="000000"/>
          <w:sz w:val="22"/>
        </w:rPr>
        <w:t xml:space="preserve">(217,218) </w:t>
      </w:r>
      <w:r>
        <w:rPr>
          <w:rFonts w:ascii="Times New Roman" w:hAnsi="Times New Roman"/>
          <w:b/>
          <w:i w:val="false"/>
          <w:color w:val="000000"/>
          <w:sz w:val="22"/>
        </w:rPr>
        <w:t xml:space="preserve">Photographing and recording of individuals and use of cameras.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val="false"/>
          <w:color w:val="000000"/>
          <w:sz w:val="22"/>
        </w:rPr>
        <w:t>Use of still or video cameras or voice recorders by anyone other than an authorized employee, individual, parent, guardian, or legal representative to photograph or record an individual shall be allowed only with the prior authorization of the superintendent or the superintendent’s designee. Permission to photograph and record shall be granted for one specific use, and the authorization shall not extend to any other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val="false"/>
          <w:color w:val="000000"/>
          <w:sz w:val="22"/>
        </w:rPr>
        <w:t>Photographs, videos, and recordings of an adult individual shall be taken for publication only with a signed informed consent from the individual or the individual’s guardian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w:t>
      </w:r>
      <w:r>
        <w:rPr>
          <w:rFonts w:ascii="Times New Roman" w:hAnsi="Times New Roman"/>
          <w:b w:val="false"/>
          <w:i w:val="false"/>
          <w:color w:val="000000"/>
          <w:sz w:val="22"/>
        </w:rPr>
        <w:t> </w:t>
      </w:r>
      <w:r>
        <w:rPr>
          <w:rFonts w:ascii="Times New Roman" w:hAnsi="Times New Roman"/>
          <w:b w:val="false"/>
          <w:i w:val="false"/>
          <w:color w:val="000000"/>
          <w:sz w:val="22"/>
        </w:rPr>
        <w:t>Photographs, videos, and recordings of a minor individual shall be taken for publication only with a signed informed consent from the parent, guardian,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28.5(4)</w:t>
      </w:r>
      <w:r>
        <w:rPr>
          <w:rFonts w:ascii="Times New Roman" w:hAnsi="Times New Roman"/>
          <w:b w:val="false"/>
          <w:i w:val="false"/>
          <w:color w:val="000000"/>
          <w:sz w:val="22"/>
        </w:rPr>
        <w:t> </w:t>
      </w:r>
      <w:r>
        <w:rPr>
          <w:rFonts w:ascii="Times New Roman" w:hAnsi="Times New Roman"/>
          <w:b w:val="false"/>
          <w:i w:val="false"/>
          <w:color w:val="000000"/>
          <w:sz w:val="22"/>
        </w:rPr>
        <w:t>Every effort shall be made to preserve the inherent dignity of the individual and to preclude exploitation or embarrassment of the individual or the family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28.5(5)</w:t>
      </w:r>
      <w:r>
        <w:rPr>
          <w:rFonts w:ascii="Times New Roman" w:hAnsi="Times New Roman"/>
          <w:b w:val="false"/>
          <w:i w:val="false"/>
          <w:color w:val="000000"/>
          <w:sz w:val="22"/>
        </w:rPr>
        <w:t> </w:t>
      </w:r>
      <w:r>
        <w:rPr>
          <w:rFonts w:ascii="Times New Roman" w:hAnsi="Times New Roman"/>
          <w:b w:val="false"/>
          <w:i w:val="false"/>
          <w:color w:val="000000"/>
          <w:sz w:val="22"/>
        </w:rPr>
        <w:t>Photographs, videos, and recordings of individuals are not to be altered to prevent identification in any manner that would tend to perpetuate the stigma attached to the public image of individuals with mental illness or an intellectual disability.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441—28.6</w:t>
      </w:r>
      <w:r>
        <w:rPr>
          <w:rFonts w:ascii="Times New Roman" w:hAnsi="Times New Roman"/>
          <w:b/>
          <w:i w:val="false"/>
          <w:color w:val="000000"/>
          <w:sz w:val="22"/>
        </w:rPr>
        <w:t xml:space="preserve">(217,218) </w:t>
      </w:r>
      <w:r>
        <w:rPr>
          <w:rFonts w:ascii="Times New Roman" w:hAnsi="Times New Roman"/>
          <w:b/>
          <w:i w:val="false"/>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28.6(1)</w:t>
      </w:r>
      <w:r>
        <w:rPr>
          <w:rFonts w:ascii="Times New Roman" w:hAnsi="Times New Roman"/>
          <w:b w:val="false"/>
          <w:i w:val="false"/>
          <w:color w:val="000000"/>
          <w:sz w:val="22"/>
        </w:rPr>
        <w:t> </w:t>
      </w:r>
      <w:r>
        <w:rPr>
          <w:rFonts w:ascii="Times New Roman" w:hAnsi="Times New Roman"/>
          <w:b w:val="false"/>
          <w:i w:val="false"/>
          <w:color w:val="000000"/>
          <w:sz w:val="22"/>
        </w:rPr>
        <w:t>Releases to the news media shall be the responsibility of the superintendent. Authority for dissemination and release of information may be designated to other employees at the discretion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28.6(2)</w:t>
      </w:r>
      <w:r>
        <w:rPr>
          <w:rFonts w:ascii="Times New Roman" w:hAnsi="Times New Roman"/>
          <w:b w:val="false"/>
          <w:i w:val="false"/>
          <w:color w:val="000000"/>
          <w:sz w:val="22"/>
        </w:rPr>
        <w:t> </w:t>
      </w:r>
      <w:r>
        <w:rPr>
          <w:rFonts w:ascii="Times New Roman" w:hAnsi="Times New Roman"/>
          <w:b w:val="false"/>
          <w:i w:val="false"/>
          <w:color w:val="000000"/>
          <w:sz w:val="22"/>
        </w:rPr>
        <w:t>Interviews of individuals by the news media or other outside persons or groups shall be permitted only with the consent of the individual or the individual’s parent, guardian,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request without known prior consent is received, the superintendent or designee shall not acknowledge the presence or nonpresence of an individual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is in the facility, the superintendent or designee shall make the individual or the individual’s parent, guardian, or legal representative aware of the request. Notice to the individual or the individual’s parent, guardian, or legal representative shall be documented in the individual’s record. The individual or the individual’s parent, guardian, or legal representative shall be free to decide whether an interview is granted.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441—28.7</w:t>
      </w:r>
      <w:r>
        <w:rPr>
          <w:rFonts w:ascii="Times New Roman" w:hAnsi="Times New Roman"/>
          <w:b/>
          <w:i w:val="false"/>
          <w:color w:val="000000"/>
          <w:sz w:val="22"/>
        </w:rPr>
        <w:t xml:space="preserve">(218) </w:t>
      </w:r>
      <w:r>
        <w:rPr>
          <w:rFonts w:ascii="Times New Roman" w:hAnsi="Times New Roman"/>
          <w:b/>
          <w:i w:val="false"/>
          <w:color w:val="000000"/>
          <w:sz w:val="22"/>
        </w:rPr>
        <w:t xml:space="preserve">Use of grounds, facilities, or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28.7(1)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may grant permission for temporary use of assembly halls, auditoriums, meeting rooms, or facility grounds to an organization or group of citizens when the space or grounds are available and are not needed for regular scheduled departmental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28.7(2)</w:t>
      </w:r>
      <w:r>
        <w:rPr>
          <w:rFonts w:ascii="Times New Roman" w:hAnsi="Times New Roman"/>
          <w:b w:val="false"/>
          <w:i w:val="false"/>
          <w:color w:val="000000"/>
          <w:sz w:val="22"/>
        </w:rPr>
        <w:t> </w:t>
      </w:r>
      <w:r>
        <w:rPr>
          <w:rFonts w:ascii="Times New Roman" w:hAnsi="Times New Roman"/>
          <w:b w:val="false"/>
          <w:i w:val="false"/>
          <w:color w:val="000000"/>
          <w:sz w:val="22"/>
        </w:rPr>
        <w:t>Members of outside organizations permitted to use a facility’s space or grounds shall observe the same rules as visitors to the facility.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6349C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441—28.8</w:t>
      </w:r>
      <w:r>
        <w:rPr>
          <w:rFonts w:ascii="Times New Roman" w:hAnsi="Times New Roman"/>
          <w:b/>
          <w:i w:val="false"/>
          <w:color w:val="000000"/>
          <w:sz w:val="22"/>
        </w:rPr>
        <w:t xml:space="preserve">(218) </w:t>
      </w:r>
      <w:r>
        <w:rPr>
          <w:rFonts w:ascii="Times New Roman" w:hAnsi="Times New Roman"/>
          <w:b/>
          <w:i w:val="false"/>
          <w:color w:val="000000"/>
          <w:sz w:val="22"/>
        </w:rPr>
        <w:t xml:space="preserve">Tours of facility. </w:t>
      </w:r>
      <w:r>
        <w:rPr>
          <w:rFonts w:ascii="Times New Roman" w:hAnsi="Times New Roman"/>
          <w:b w:val="false"/>
          <w:i w:val="false"/>
          <w:color w:val="000000"/>
          <w:sz w:val="22"/>
        </w:rPr>
        <w:t>Groups or persons shall be permitted to tour the facility only with approval of the superintendent or designee.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441—28.9</w:t>
      </w:r>
      <w:r>
        <w:rPr>
          <w:rFonts w:ascii="Times New Roman" w:hAnsi="Times New Roman"/>
          <w:b/>
          <w:i w:val="false"/>
          <w:color w:val="000000"/>
          <w:sz w:val="22"/>
        </w:rPr>
        <w:t xml:space="preserve">(218) </w:t>
      </w:r>
      <w:r>
        <w:rPr>
          <w:rFonts w:ascii="Times New Roman" w:hAnsi="Times New Roman"/>
          <w:b/>
          <w:i w:val="false"/>
          <w:color w:val="000000"/>
          <w:sz w:val="22"/>
        </w:rPr>
        <w:t xml:space="preserve">Donations. </w:t>
      </w:r>
      <w:r>
        <w:rPr>
          <w:rFonts w:ascii="Times New Roman" w:hAnsi="Times New Roman"/>
          <w:b w:val="false"/>
          <w:i w:val="false"/>
          <w:color w:val="000000"/>
          <w:sz w:val="22"/>
        </w:rPr>
        <w:t>Donations of money, clothing, books, games, recreational equipment or other gifts shall be made directly to the superintendent or designee. The superintendent or designee shall evaluate the donation in terms of the nature of the contribution to the facility’s program. The superintendent or designee shall be responsible for accepting the donation and reporting the gift to the division administrator. All monetary gifts shall be acknowledged in writing to the donor.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3">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8094B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441—28.10</w:t>
      </w:r>
      <w:r>
        <w:rPr>
          <w:rFonts w:ascii="Times New Roman" w:hAnsi="Times New Roman"/>
          <w:b/>
          <w:i w:val="false"/>
          <w:color w:val="000000"/>
          <w:sz w:val="22"/>
        </w:rPr>
        <w:t xml:space="preserve">(218) </w:t>
      </w:r>
      <w:r>
        <w:rPr>
          <w:rFonts w:ascii="Times New Roman" w:hAnsi="Times New Roman"/>
          <w:b/>
          <w:i w:val="false"/>
          <w:color w:val="000000"/>
          <w:sz w:val="22"/>
        </w:rPr>
        <w:t xml:space="preserve">Residents’ rights for the mentally retarded.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9/9/09</w:t>
      </w:r>
      <w:r>
        <w:rPr>
          <w:rFonts w:ascii="Times New Roman" w:hAnsi="Times New Roman"/>
          <w:b w:val="false"/>
          <w:i w:val="false"/>
          <w:color w:val="000000"/>
          <w:sz w:val="22"/>
        </w:rPr>
        <w:t>, effective 11/1/09.</w:t>
      </w:r>
    </w:p>
    <w:p>
      <w:pPr>
        <w:spacing w:before="210" w:after="0"/>
        <w:ind w:left="120"/>
        <w:jc w:val="both"/>
      </w:pPr>
      <w:r>
        <w:rPr>
          <w:rFonts w:ascii="Times New Roman" w:hAnsi="Times New Roman"/>
          <w:b/>
          <w:i w:val="false"/>
          <w:color w:val="000000"/>
          <w:sz w:val="22"/>
        </w:rPr>
        <w:t>441—28.11</w:t>
      </w:r>
      <w:r>
        <w:rPr>
          <w:rFonts w:ascii="Times New Roman" w:hAnsi="Times New Roman"/>
          <w:b/>
          <w:i w:val="false"/>
          <w:color w:val="000000"/>
          <w:sz w:val="22"/>
        </w:rPr>
        <w:t xml:space="preserve">(218) </w:t>
      </w:r>
      <w:r>
        <w:rPr>
          <w:rFonts w:ascii="Times New Roman" w:hAnsi="Times New Roman"/>
          <w:b/>
          <w:i w:val="false"/>
          <w:color w:val="000000"/>
          <w:sz w:val="22"/>
        </w:rPr>
        <w:t xml:space="preserve">Catchment areas.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9/9/09</w:t>
      </w:r>
      <w:r>
        <w:rPr>
          <w:rFonts w:ascii="Times New Roman" w:hAnsi="Times New Roman"/>
          <w:b w:val="false"/>
          <w:i w:val="false"/>
          <w:color w:val="000000"/>
          <w:sz w:val="22"/>
        </w:rPr>
        <w:t>, effective 11/1/09.</w:t>
      </w:r>
    </w:p>
    <w:p>
      <w:pPr>
        <w:spacing w:before="0" w:after="0"/>
        <w:ind w:left="120"/>
        <w:jc w:val="both"/>
      </w:pPr>
      <w:r>
        <w:rPr>
          <w:rFonts w:ascii="Times New Roman" w:hAnsi="Times New Roman"/>
          <w:b/>
          <w:i w:val="false"/>
          <w:color w:val="000000"/>
          <w:sz w:val="22"/>
        </w:rPr>
        <w:t>441—28.12</w:t>
      </w:r>
      <w:r>
        <w:rPr>
          <w:rFonts w:ascii="Times New Roman" w:hAnsi="Times New Roman"/>
          <w:b/>
          <w:i w:val="false"/>
          <w:color w:val="000000"/>
          <w:sz w:val="22"/>
        </w:rPr>
        <w:t xml:space="preserve">(217) </w:t>
      </w:r>
      <w:r>
        <w:rPr>
          <w:rFonts w:ascii="Times New Roman" w:hAnsi="Times New Roman"/>
          <w:b/>
          <w:i w:val="false"/>
          <w:color w:val="000000"/>
          <w:sz w:val="22"/>
        </w:rPr>
        <w:t xml:space="preserve">Release of confidential information. </w:t>
      </w:r>
      <w:r>
        <w:rPr>
          <w:rFonts w:ascii="Times New Roman" w:hAnsi="Times New Roman"/>
          <w:b w:val="false"/>
          <w:i w:val="false"/>
          <w:color w:val="000000"/>
          <w:sz w:val="22"/>
        </w:rPr>
        <w:t>Information defined by statute as confidential concerning individuals who currently receive or formerly received services from the mental health institutes or resource centers shall not be released to a person, agency or organization that is not authorized by law to have access to the information unless the individual, parent, guardian, or legal representative authorizes the release. Authorization shall be given by using Form 470-3951, Authorization to Obtain or Release Health Care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441—28.13</w:t>
      </w:r>
      <w:r>
        <w:rPr>
          <w:rFonts w:ascii="Times New Roman" w:hAnsi="Times New Roman"/>
          <w:b/>
          <w:i w:val="false"/>
          <w:color w:val="000000"/>
          <w:sz w:val="22"/>
        </w:rPr>
        <w:t xml:space="preserve">(218) </w:t>
      </w:r>
      <w:r>
        <w:rPr>
          <w:rFonts w:ascii="Times New Roman" w:hAnsi="Times New Roman"/>
          <w:b/>
          <w:i w:val="false"/>
          <w:color w:val="000000"/>
          <w:sz w:val="22"/>
        </w:rPr>
        <w:t xml:space="preserve">Applying county institutional credit balances.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28.13(1)</w:t>
      </w:r>
      <w:r>
        <w:rPr>
          <w:rFonts w:ascii="Times New Roman" w:hAnsi="Times New Roman"/>
          <w:b w:val="false"/>
          <w:i w:val="false"/>
          <w:color w:val="000000"/>
          <w:sz w:val="22"/>
        </w:rPr>
        <w:t> </w:t>
      </w:r>
      <w:r>
        <w:rPr>
          <w:rFonts w:ascii="Times New Roman" w:hAnsi="Times New Roman"/>
          <w:b w:val="false"/>
          <w:i/>
          <w:color w:val="000000"/>
          <w:sz w:val="22"/>
        </w:rPr>
        <w:t xml:space="preserve">Definition of credit balance. </w:t>
      </w:r>
      <w:r>
        <w:rPr>
          <w:rFonts w:ascii="Times New Roman" w:hAnsi="Times New Roman"/>
          <w:b w:val="false"/>
          <w:i w:val="false"/>
          <w:color w:val="000000"/>
          <w:sz w:val="22"/>
        </w:rPr>
        <w:t>A county institutional credit balance occurs when a county has paid a debt from a state institution or an institutional program and it is later determined that all or part of the debt was not the county’s responsibility. Only when an institutional debit balance has been paid by a county and all or part of the paid debit has been determined not to be the responsibility of the county can the resulting county credit be used to reduce existing or future institutional debit balances.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28.13(2)</w:t>
      </w:r>
      <w:r>
        <w:rPr>
          <w:rFonts w:ascii="Times New Roman" w:hAnsi="Times New Roman"/>
          <w:b w:val="false"/>
          <w:i w:val="false"/>
          <w:color w:val="000000"/>
          <w:sz w:val="22"/>
        </w:rPr>
        <w:t> </w:t>
      </w:r>
      <w:r>
        <w:rPr>
          <w:rFonts w:ascii="Times New Roman" w:hAnsi="Times New Roman"/>
          <w:b w:val="false"/>
          <w:i/>
          <w:color w:val="000000"/>
          <w:sz w:val="22"/>
        </w:rPr>
        <w:t xml:space="preserve">Order of application. </w:t>
      </w:r>
      <w:r>
        <w:rPr>
          <w:rFonts w:ascii="Times New Roman" w:hAnsi="Times New Roman"/>
          <w:b w:val="false"/>
          <w:i w:val="false"/>
          <w:color w:val="000000"/>
          <w:sz w:val="22"/>
        </w:rPr>
        <w:t>County institutional credits shall be applied in the following order until all credits are exhausted or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credit shall first be applied to the patient’s or resident’s account at the same institution that generated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credit remains after application to the patient’s or resident’s account, the remaining credit shall be applied to any outstanding charges at the same institution that generated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remaining credit, after application to the patient’s or resident’s account and to the same institution that generated the credit, shall be applied to an outstanding balance at another state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credit generated by an institution or institutional program under net budgeting is to be applied to an institution or institutional program not under net budgeting, then a transfer of funds shall be made from the applicable institutional fund or institutional program under net budgeting to the state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credit generated by an institution that is not under net budgeting is to be applied to an institution or institutional program under net budgeting, the county may seek a refund by filing a claim to the state appeal board pursuant to </w:t>
      </w:r>
      <w:hyperlink r:id="rId25">
        <w:r>
          <w:rPr>
            <w:rStyle w:val="Hyperlink"/>
            <w:rFonts w:ascii="Times New Roman" w:hAnsi="Times New Roman"/>
            <w:b w:val="false"/>
            <w:i w:val="false"/>
            <w:color w:val="000000"/>
            <w:sz w:val="22"/>
          </w:rPr>
          <w:t>543—Chapter 3</w:t>
        </w:r>
      </w:hyperlink>
      <w:r>
        <w:rPr>
          <w:rFonts w:ascii="Times New Roman" w:hAnsi="Times New Roman"/>
          <w:b w:val="false"/>
          <w:i w:val="false"/>
          <w:color w:val="000000"/>
          <w:sz w:val="22"/>
        </w:rPr>
        <w:t>, or the county may allow the credit to remain outstanding until the county has an additional debt at a state institution or institutional program that is not under net budgeting.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credit generated by an institution or institutional program under net budgeting is to be applied to another institution or institutional program under net budgeting, then the transfer of funds between the applicable net budgeting funds or programs shall be made through an accounting journal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credit remains after applying credits as stated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the county with the remaining credit may seek a refund by filing a claim to the state appeal board pursuant to </w:t>
      </w:r>
      <w:hyperlink r:id="rId26">
        <w:r>
          <w:rPr>
            <w:rStyle w:val="Hyperlink"/>
            <w:rFonts w:ascii="Times New Roman" w:hAnsi="Times New Roman"/>
            <w:b w:val="false"/>
            <w:i w:val="false"/>
            <w:color w:val="000000"/>
            <w:sz w:val="22"/>
          </w:rPr>
          <w:t>543—Chapter 3</w:t>
        </w:r>
      </w:hyperlink>
      <w:r>
        <w:rPr>
          <w:rFonts w:ascii="Times New Roman" w:hAnsi="Times New Roman"/>
          <w:b w:val="false"/>
          <w:i w:val="false"/>
          <w:color w:val="000000"/>
          <w:sz w:val="22"/>
        </w:rPr>
        <w:t>, or the county may allow the credit to remain outstanding until such time as the county has an additional state institution or an institutional program debt.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218.78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11/21/80, Notice 9/17/80—published 12/10/80, effective 1/14/81]</w:t>
      </w:r>
    </w:p>
    <w:p>
      <w:pPr>
        <w:spacing w:before="0" w:after="0"/>
        <w:ind w:left="120"/>
        <w:jc w:val="center"/>
      </w:pPr>
      <w:r>
        <w:rPr>
          <w:rFonts w:ascii="Times New Roman" w:hAnsi="Times New Roman"/>
          <w:b w:val="false"/>
          <w:i w:val="false"/>
          <w:color w:val="000000"/>
          <w:sz w:val="21"/>
        </w:rPr>
        <w:t>[Filed 10/23/81, Notice 8/19/81—published 11/11/81, effective 12/16/81]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2/14/91, Notice 11/28/90—published 3/6/91, effective 5/1/91]</w:t>
      </w:r>
    </w:p>
    <w:p>
      <w:pPr>
        <w:spacing w:before="0" w:after="0"/>
        <w:ind w:left="120"/>
        <w:jc w:val="center"/>
      </w:pPr>
      <w:r>
        <w:rPr>
          <w:rFonts w:ascii="Times New Roman" w:hAnsi="Times New Roman"/>
          <w:b w:val="false"/>
          <w:i w:val="false"/>
          <w:color w:val="000000"/>
          <w:sz w:val="21"/>
        </w:rPr>
        <w:t>[Filed 3/11/93, Notice 2/3/93—published 3/31/93, effective 6/1/93]</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12/16/03, Notice 7/9/03—published 1/7/04, effective 3/1/04]</w:t>
      </w:r>
    </w:p>
    <w:p>
      <w:pPr>
        <w:spacing w:before="0" w:after="0"/>
        <w:ind w:left="120"/>
        <w:jc w:val="center"/>
      </w:pPr>
      <w:r>
        <w:rPr>
          <w:rFonts w:ascii="Times New Roman" w:hAnsi="Times New Roman"/>
          <w:b w:val="false"/>
          <w:i w:val="false"/>
          <w:color w:val="000000"/>
          <w:sz w:val="21"/>
        </w:rPr>
        <w:t>[Filed ARC 8094B</w:t>
      </w:r>
      <w:r>
        <w:rPr>
          <w:rFonts w:ascii="Times New Roman" w:hAnsi="Times New Roman"/>
          <w:b w:val="false"/>
          <w:i w:val="false"/>
          <w:color w:val="000000"/>
          <w:sz w:val="21"/>
        </w:rPr>
        <w:t xml:space="preserve"> (Notice ARC 7717B, IAB 4/22/09)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1145C</w:t>
      </w:r>
      <w:r>
        <w:rPr>
          <w:rFonts w:ascii="Times New Roman" w:hAnsi="Times New Roman"/>
          <w:b w:val="false"/>
          <w:i w:val="false"/>
          <w:color w:val="000000"/>
          <w:sz w:val="21"/>
        </w:rPr>
        <w:t xml:space="preserve"> (Notice ARC 0921C,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6349C</w:t>
      </w:r>
      <w:r>
        <w:rPr>
          <w:rFonts w:ascii="Times New Roman" w:hAnsi="Times New Roman"/>
          <w:b w:val="false"/>
          <w:i w:val="false"/>
          <w:color w:val="000000"/>
          <w:sz w:val="21"/>
        </w:rPr>
        <w:t xml:space="preserve"> (Notice ARC 6232C, IAB 3/9/22)</w:t>
      </w:r>
      <w:r>
        <w:rPr>
          <w:rFonts w:ascii="Times New Roman" w:hAnsi="Times New Roman"/>
          <w:b w:val="false"/>
          <w:i w:val="false"/>
          <w:color w:val="000000"/>
          <w:sz w:val="21"/>
        </w:rPr>
        <w:t>, IAB 6/15/22, effective 8/1/22]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31.101.pdf" Type="http://schemas.openxmlformats.org/officeDocument/2006/relationships/hyperlink" Id="rId5"/>
    <Relationship TargetMode="External" Target="https://www.legis.iowa.gov/docs/ico/chapter/331.394.pdf" Type="http://schemas.openxmlformats.org/officeDocument/2006/relationships/hyperlink" Id="rId6"/>
    <Relationship TargetMode="External" Target="https://www.legis.iowa.gov/docs/ico/chapter/218.1.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633.3.pdf" Type="http://schemas.openxmlformats.org/officeDocument/2006/relationships/hyperlink" Id="rId9"/>
    <Relationship TargetMode="External" Target="https://www.legis.iowa.gov/docs/ico/chapter/331.388.pdf" Type="http://schemas.openxmlformats.org/officeDocument/2006/relationships/hyperlink" Id="rId10"/>
    <Relationship TargetMode="External" Target="https://www.legis.iowa.gov/docs/ico/chapter/331.394.pdf" Type="http://schemas.openxmlformats.org/officeDocument/2006/relationships/hyperlink" Id="rId11"/>
    <Relationship TargetMode="External" Target="https://www.legis.iowa.gov/docs/ico/chapter/218.4.pdf" Type="http://schemas.openxmlformats.org/officeDocument/2006/relationships/hyperlink" Id="rId12"/>
    <Relationship TargetMode="External" Target="https://www.legis.iowa.gov/docs/ico/chapter/218.19.pdf" Type="http://schemas.openxmlformats.org/officeDocument/2006/relationships/hyperlink" Id="rId13"/>
    <Relationship TargetMode="External" Target="https://www.legis.iowa.gov/docs/ico/chapter/218.20.pdf" Type="http://schemas.openxmlformats.org/officeDocument/2006/relationships/hyperlink" Id="rId14"/>
    <Relationship TargetMode="External" Target="https://www.legis.iowa.gov/docs/ico/chapter/225C.27.pdf" Type="http://schemas.openxmlformats.org/officeDocument/2006/relationships/hyperlink" Id="rId15"/>
    <Relationship TargetMode="External" Target="https://www.legis.iowa.gov/docs/ico/chapter/229.23.pdf" Type="http://schemas.openxmlformats.org/officeDocument/2006/relationships/hyperlink" Id="rId16"/>
    <Relationship TargetMode="External" Target="https://www.legis.iowa.gov/docs/ico/chapter/217.30.pdf" Type="http://schemas.openxmlformats.org/officeDocument/2006/relationships/hyperlink" Id="rId17"/>
    <Relationship TargetMode="External" Target="https://www.legis.iowa.gov/docs/ico/chapter/218.4.pdf" Type="http://schemas.openxmlformats.org/officeDocument/2006/relationships/hyperlink" Id="rId18"/>
    <Relationship TargetMode="External" Target="https://www.legis.iowa.gov/docs/ico/chapter/217.30.pdf" Type="http://schemas.openxmlformats.org/officeDocument/2006/relationships/hyperlink" Id="rId19"/>
    <Relationship TargetMode="External" Target="https://www.legis.iowa.gov/docs/ico/chapter/218.4.pdf" Type="http://schemas.openxmlformats.org/officeDocument/2006/relationships/hyperlink" Id="rId20"/>
    <Relationship TargetMode="External" Target="https://www.legis.iowa.gov/docs/ico/chapter/218.pdf" Type="http://schemas.openxmlformats.org/officeDocument/2006/relationships/hyperlink" Id="rId21"/>
    <Relationship TargetMode="External" Target="https://www.legis.iowa.gov/docs/ico/chapter/218.4.pdf" Type="http://schemas.openxmlformats.org/officeDocument/2006/relationships/hyperlink" Id="rId22"/>
    <Relationship TargetMode="External" Target="https://www.legis.iowa.gov/docs/ico/chapter/218.pdf" Type="http://schemas.openxmlformats.org/officeDocument/2006/relationships/hyperlink" Id="rId23"/>
    <Relationship TargetMode="External" Target="https://www.legis.iowa.gov/docs/ico/chapter/217.30.pdf" Type="http://schemas.openxmlformats.org/officeDocument/2006/relationships/hyperlink" Id="rId24"/>
    <Relationship TargetMode="External" Target="https://www.legis.iowa.gov/docs/iac/chapter/543.3.pdf" Type="http://schemas.openxmlformats.org/officeDocument/2006/relationships/hyperlink" Id="rId25"/>
    <Relationship TargetMode="External" Target="https://www.legis.iowa.gov/docs/iac/chapter/543.3.pdf" Type="http://schemas.openxmlformats.org/officeDocument/2006/relationships/hyperlink" Id="rId26"/>
    <Relationship TargetMode="External" Target="https://www.legis.iowa.gov/docs/ico/chapter/218.78.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