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DISABILITY SERVICES MANAGEMENT</w:t>
      </w:r>
    </w:p>
    <w:p>
      <w:pPr>
        <w:spacing w:before="0" w:after="0"/>
        <w:ind w:left="120"/>
        <w:jc w:val="center"/>
      </w:pPr>
      <w:r>
        <w:rPr>
          <w:rFonts w:ascii="Times New Roman" w:hAnsi="Times New Roman"/>
          <w:b w:val="false"/>
          <w:i w:val="false"/>
          <w:color w:val="000000"/>
          <w:sz w:val="22"/>
        </w:rPr>
        <w:t>PREAMBLE</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This chapter provides for definitions of regional core services; access standards; implementation dates; practice standards; reporting of regional expenditures; development and submission of regional management plans; data collection; applications for funding as they relate to regional service systems for adults with mental illness, intellectual disabilities, developmental disabilities, or brain injury and children with a serious emotional disturbance.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0576C</w:t>
      </w:r>
      <w:r>
        <w:rPr>
          <w:rFonts w:ascii="Times New Roman" w:hAnsi="Times New Roman"/>
          <w:b w:val="false"/>
          <w:i w:val="false"/>
          <w:color w:val="000000"/>
          <w:sz w:val="16"/>
        </w:rPr>
        <w:t>, IAB 2/6/13, effective 1/8/13</w:t>
      </w:r>
      <w:r>
        <w:rPr>
          <w:rFonts w:ascii="Times New Roman" w:hAnsi="Times New Roman"/>
          <w:b w:val="false"/>
          <w:i w:val="false"/>
          <w:color w:val="000000"/>
          <w:sz w:val="16"/>
        </w:rPr>
        <w:t xml:space="preserve">; </w:t>
      </w:r>
      <w:r>
        <w:rPr>
          <w:rFonts w:ascii="Times New Roman" w:hAnsi="Times New Roman"/>
          <w:b/>
          <w:i w:val="false"/>
          <w:color w:val="000000"/>
          <w:sz w:val="16"/>
        </w:rPr>
        <w:t>ARC 0735C</w:t>
      </w:r>
      <w:r>
        <w:rPr>
          <w:rFonts w:ascii="Times New Roman" w:hAnsi="Times New Roman"/>
          <w:b w:val="false"/>
          <w:i w:val="false"/>
          <w:color w:val="000000"/>
          <w:sz w:val="16"/>
        </w:rPr>
        <w:t>, IAB 5/15/13,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1096C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1671C</w:t>
      </w:r>
      <w:r>
        <w:rPr>
          <w:rFonts w:ascii="Times New Roman" w:hAnsi="Times New Roman"/>
          <w:b w:val="false"/>
          <w:i w:val="false"/>
          <w:color w:val="000000"/>
          <w:sz w:val="16"/>
        </w:rPr>
        <w:t>, IAB 10/15/14, effective 9/25/14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REGIONAL SERVICES</w:t>
      </w:r>
    </w:p>
    <w:p>
      <w:pPr>
        <w:spacing w:before="0" w:after="0"/>
        <w:ind w:left="120"/>
        <w:jc w:val="both"/>
      </w:pPr>
      <w:r>
        <w:rPr>
          <w:rFonts w:ascii="Times New Roman" w:hAnsi="Times New Roman"/>
          <w:b/>
          <w:i w:val="false"/>
          <w:color w:val="000000"/>
          <w:sz w:val="22"/>
        </w:rPr>
        <w:t>441—25.1</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center” </w:t>
      </w:r>
      <w:r>
        <w:rPr>
          <w:rFonts w:ascii="Times New Roman" w:hAnsi="Times New Roman"/>
          <w:b w:val="false"/>
          <w:i w:val="false"/>
          <w:color w:val="000000"/>
          <w:sz w:val="22"/>
        </w:rPr>
        <w:t>means the coordinated provision of intake assessment, screening for multi-occurring conditions, care coordination, crisis stabilization residential services, subacute mental health services, and substance abuse treatment for individuals experiencing a mental health or substance use crisis who do not need inpatient psychiatric hospital treatment, but who do need significant amounts of supports and services not available in other home- and community-based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the same as defined in 441—subrule 78.27(1).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“Assertive community treatment” </w:t>
      </w:r>
      <w:r>
        <w:rPr>
          <w:rFonts w:ascii="Times New Roman" w:hAnsi="Times New Roman"/>
          <w:b w:val="false"/>
          <w:i w:val="false"/>
          <w:color w:val="000000"/>
          <w:sz w:val="22"/>
        </w:rPr>
        <w:t xml:space="preserve">or </w:t>
      </w:r>
      <w:r>
        <w:rPr>
          <w:rFonts w:ascii="Times New Roman" w:hAnsi="Times New Roman"/>
          <w:b w:val="false"/>
          <w:i/>
          <w:color w:val="000000"/>
          <w:sz w:val="22"/>
        </w:rPr>
        <w:t>“ACT”</w:t>
      </w:r>
      <w:r>
        <w:rPr>
          <w:rFonts w:ascii="Times New Roman" w:hAnsi="Times New Roman"/>
          <w:b w:val="false"/>
          <w:i w:val="false"/>
          <w:color w:val="000000"/>
          <w:sz w:val="22"/>
        </w:rPr>
        <w:t xml:space="preserve"> means a program of comprehensive outpatient services consistent with evidence-based practice standards published by the Substance Abuse and Mental Health Services Administration, provided in the community and directed toward the amelioration of symptoms and the rehabilitation of behavioral, functional, and social deficits of individuals with severe and persistent mental illness and individuals with complex symptomology who require multiple mental health and supportive services to live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and evaluation” </w:t>
      </w:r>
      <w:r>
        <w:rPr>
          <w:rFonts w:ascii="Times New Roman" w:hAnsi="Times New Roman"/>
          <w:b w:val="false"/>
          <w:i w:val="false"/>
          <w:color w:val="000000"/>
          <w:sz w:val="22"/>
        </w:rPr>
        <w:t>means the clinical review by a mental health professional of the current functioning of the individual using the service in regard to the individual’s situation, needs, strengths, abilities, desires and goals to determine the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inpatient treatment”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“mental health inpatient treatment” </w:t>
      </w:r>
      <w:r>
        <w:rPr>
          <w:rFonts w:ascii="Times New Roman" w:hAnsi="Times New Roman"/>
          <w:b w:val="false"/>
          <w:i w:val="false"/>
          <w:color w:val="000000"/>
          <w:sz w:val="22"/>
        </w:rPr>
        <w:t>means inpatient psychiatric services to treat an acute psychiatric condition provided in a licensed hospital with a psychiatric unit or a licensed freestanding psychiatric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outpatient therapy” </w:t>
      </w:r>
      <w:r>
        <w:rPr>
          <w:rFonts w:ascii="Times New Roman" w:hAnsi="Times New Roman"/>
          <w:b w:val="false"/>
          <w:i w:val="false"/>
          <w:color w:val="000000"/>
          <w:sz w:val="22"/>
        </w:rPr>
        <w:t xml:space="preserve">means the same as “outpatient services” described in Iowa Code section </w:t>
      </w:r>
      <w:hyperlink r:id="rId5">
        <w:r>
          <w:rPr>
            <w:rStyle w:val="Hyperlink"/>
            <w:rFonts w:ascii="Times New Roman" w:hAnsi="Times New Roman"/>
            <w:b w:val="false"/>
            <w:i w:val="false"/>
            <w:color w:val="000000"/>
            <w:sz w:val="22"/>
          </w:rPr>
          <w:t>230A.106(2)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the same as defined in rule 441—83.81(249A).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means facilitating communication and ensuring provision of services among multiple professionals and service providers, the individual, and family members or other natural supports when designated by the individual, and ensuring the individual has the information necessary to actively participate in service and discharge or transition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means service provided by a case manager who assists individuals in gaining access to needed medical, social, educational, and other services through assessment, development of a care plan, referral, monitoring and follow-up using a strengths-based service approach that helps individuals achieve specific desired outcomes leading to a healthy self-reliance and interdependence with their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manager” </w:t>
      </w:r>
      <w:r>
        <w:rPr>
          <w:rFonts w:ascii="Times New Roman" w:hAnsi="Times New Roman"/>
          <w:b w:val="false"/>
          <w:i w:val="false"/>
          <w:color w:val="000000"/>
          <w:sz w:val="22"/>
        </w:rPr>
        <w:t>means a person who has completed specified and required training to provide case management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“children” </w:t>
      </w:r>
      <w:r>
        <w:rPr>
          <w:rFonts w:ascii="Times New Roman" w:hAnsi="Times New Roman"/>
          <w:b w:val="false"/>
          <w:i w:val="false"/>
          <w:color w:val="000000"/>
          <w:sz w:val="22"/>
        </w:rPr>
        <w:t>means a person or persons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“Children’s behavioral health services” </w:t>
      </w:r>
      <w:r>
        <w:rPr>
          <w:rFonts w:ascii="Times New Roman" w:hAnsi="Times New Roman"/>
          <w:b w:val="false"/>
          <w:i w:val="false"/>
          <w:color w:val="000000"/>
          <w:sz w:val="22"/>
        </w:rPr>
        <w:t>means behavioral health services for children who have a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“Children’s behavioral health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“children’s system” </w:t>
      </w:r>
      <w:r>
        <w:rPr>
          <w:rFonts w:ascii="Times New Roman" w:hAnsi="Times New Roman"/>
          <w:b w:val="false"/>
          <w:i w:val="false"/>
          <w:color w:val="000000"/>
          <w:sz w:val="22"/>
        </w:rPr>
        <w:t xml:space="preserve">means the behavioral health system for children implemented pursuant to Iowa Code chapter </w:t>
      </w:r>
      <w:hyperlink r:id="rId6">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assessment” </w:t>
      </w:r>
      <w:r>
        <w:rPr>
          <w:rFonts w:ascii="Times New Roman" w:hAnsi="Times New Roman"/>
          <w:b w:val="false"/>
          <w:i w:val="false"/>
          <w:color w:val="000000"/>
          <w:sz w:val="22"/>
        </w:rPr>
        <w:t>means the same as “crisis assessment” defined in rule 441—24.20(225C) for individuals being referred to crisis stabilization residential services and means the same as “assessment” defined in rule 481—71.2(135G) for individuals being referred to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assessment”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care coordination” </w:t>
      </w:r>
      <w:r>
        <w:rPr>
          <w:rFonts w:ascii="Times New Roman" w:hAnsi="Times New Roman"/>
          <w:b w:val="false"/>
          <w:i w:val="false"/>
          <w:color w:val="000000"/>
          <w:sz w:val="22"/>
        </w:rPr>
        <w:t>means a service provided during an acute crisis episode that facilitates working together to organize a plan and service transition programing, including working agreements with inpatient behavioral health units and other community programs. The service shall include referrals to mental health services and other supports necessary to maintain community-based living capacity, including case management as defined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evaluation” </w:t>
      </w:r>
      <w:r>
        <w:rPr>
          <w:rFonts w:ascii="Times New Roman" w:hAnsi="Times New Roman"/>
          <w:b w:val="false"/>
          <w:i w:val="false"/>
          <w:color w:val="000000"/>
          <w:sz w:val="22"/>
        </w:rPr>
        <w:t>means the process used with an individual to collect information related to the individual’s history and needs, strengths, and abilities in order to determine appropriate services or referral during an acute crisis episode.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plan” </w:t>
      </w:r>
      <w:r>
        <w:rPr>
          <w:rFonts w:ascii="Times New Roman" w:hAnsi="Times New Roman"/>
          <w:b w:val="false"/>
          <w:i w:val="false"/>
          <w:color w:val="000000"/>
          <w:sz w:val="22"/>
        </w:rPr>
        <w:t>means the same as defined in rule 441—24.1(225C).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screening” </w:t>
      </w:r>
      <w:r>
        <w:rPr>
          <w:rFonts w:ascii="Times New Roman" w:hAnsi="Times New Roman"/>
          <w:b w:val="false"/>
          <w:i w:val="false"/>
          <w:color w:val="000000"/>
          <w:sz w:val="22"/>
        </w:rPr>
        <w:t>means a brief assessment to make a determination of the presenting problem and referral to the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community-based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“CSCBS”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residential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“CSRS”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means services that assist or support the individual in developing or maintaining life skills and community integration. Services shall enable or enhance the individual’s functioning, physical and emotional health and development, language and communication development, cognitive functioning, socialization and community integration, functional skill development, behavior management, responsibility and self-direction, daily living activities, self-advocacy skills, or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identification” </w:t>
      </w:r>
      <w:r>
        <w:rPr>
          <w:rFonts w:ascii="Times New Roman" w:hAnsi="Times New Roman"/>
          <w:b w:val="false"/>
          <w:i w:val="false"/>
          <w:color w:val="000000"/>
          <w:sz w:val="22"/>
        </w:rPr>
        <w:t>means the process of detecting developmental delays, mental illness, or untreated conditions that may indicate the need for further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intervention” </w:t>
      </w:r>
      <w:r>
        <w:rPr>
          <w:rFonts w:ascii="Times New Roman" w:hAnsi="Times New Roman"/>
          <w:b w:val="false"/>
          <w:i w:val="false"/>
          <w:color w:val="000000"/>
          <w:sz w:val="22"/>
        </w:rPr>
        <w:t>means services designed to address the social, emotional, and developmental needs of children at their earliest stages to decrease long-term effects and provide support in meeting developmental milestones.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services” </w:t>
      </w:r>
      <w:r>
        <w:rPr>
          <w:rFonts w:ascii="Times New Roman" w:hAnsi="Times New Roman"/>
          <w:b w:val="false"/>
          <w:i w:val="false"/>
          <w:color w:val="000000"/>
          <w:sz w:val="22"/>
        </w:rPr>
        <w:t>means activities that increase awareness and understanding of the causes and nature of conditions or factors which affect an individual’s development and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441—subrule 24.4(15)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detention” </w:t>
      </w:r>
      <w:r>
        <w:rPr>
          <w:rFonts w:ascii="Times New Roman" w:hAnsi="Times New Roman"/>
          <w:b w:val="false"/>
          <w:i w:val="false"/>
          <w:color w:val="000000"/>
          <w:sz w:val="22"/>
        </w:rPr>
        <w:t xml:space="preserve">means the same as “immediately detained” as described in Iowa Code section </w:t>
      </w:r>
      <w:hyperlink r:id="rId8">
        <w:r>
          <w:rPr>
            <w:rStyle w:val="Hyperlink"/>
            <w:rFonts w:ascii="Times New Roman" w:hAnsi="Times New Roman"/>
            <w:b w:val="false"/>
            <w:i w:val="false"/>
            <w:color w:val="000000"/>
            <w:sz w:val="22"/>
          </w:rPr>
          <w:t>229.22(1)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“Evidence-based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“evidence-based practices” </w:t>
      </w:r>
      <w:r>
        <w:rPr>
          <w:rFonts w:ascii="Times New Roman" w:hAnsi="Times New Roman"/>
          <w:b w:val="false"/>
          <w:i w:val="false"/>
          <w:color w:val="000000"/>
          <w:sz w:val="22"/>
        </w:rPr>
        <w:t>means using interventions that have been rigorously tested; have yielded consistent, replicable results; and have proven safe, beneficial and effective and have established standards for fidelity of the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“Face-to-face”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psychoeducation” </w:t>
      </w:r>
      <w:r>
        <w:rPr>
          <w:rFonts w:ascii="Times New Roman" w:hAnsi="Times New Roman"/>
          <w:b w:val="false"/>
          <w:i w:val="false"/>
          <w:color w:val="000000"/>
          <w:sz w:val="22"/>
        </w:rPr>
        <w:t>means services including the provision of emotional support, education, resources during periods of crisis, and problem-solving skills consistent with evidence-based practice standards published by the Substance Abuse and Mental Health Services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support” </w:t>
      </w:r>
      <w:r>
        <w:rPr>
          <w:rFonts w:ascii="Times New Roman" w:hAnsi="Times New Roman"/>
          <w:b w:val="false"/>
          <w:i w:val="false"/>
          <w:color w:val="000000"/>
          <w:sz w:val="22"/>
        </w:rPr>
        <w:t>means services provided by a family support peer specialist that assist the family of an individual to live successfully in the family or community including, but not limited to, education and information, individual advocacy, family support groups, and crisis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support peer specialist” </w:t>
      </w:r>
      <w:r>
        <w:rPr>
          <w:rFonts w:ascii="Times New Roman" w:hAnsi="Times New Roman"/>
          <w:b w:val="false"/>
          <w:i w:val="false"/>
          <w:color w:val="000000"/>
          <w:sz w:val="22"/>
        </w:rPr>
        <w:t>means a parent, primary caregiver, foster parent or family member of an individual who has successfully completed standardized training to provide family support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supported employment” </w:t>
      </w:r>
      <w:r>
        <w:rPr>
          <w:rFonts w:ascii="Times New Roman" w:hAnsi="Times New Roman"/>
          <w:b w:val="false"/>
          <w:i w:val="false"/>
          <w:color w:val="000000"/>
          <w:sz w:val="22"/>
        </w:rPr>
        <w:t>means the job and training activities in business and industry settings for groups of no more than eight workers with disabilities. Group settings include enclaves, mobile crews, and other business-based workgroups employing small groups of workers with disabilities in integrated, sustained, paid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“HCBS” </w:t>
      </w:r>
      <w:r>
        <w:rPr>
          <w:rFonts w:ascii="Times New Roman" w:hAnsi="Times New Roman"/>
          <w:b w:val="false"/>
          <w:i w:val="false"/>
          <w:color w:val="000000"/>
          <w:sz w:val="22"/>
        </w:rPr>
        <w:t>means home- and community-based services as defined in rule 441—78.27(249A).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homes” </w:t>
      </w:r>
      <w:r>
        <w:rPr>
          <w:rFonts w:ascii="Times New Roman" w:hAnsi="Times New Roman"/>
          <w:b w:val="false"/>
          <w:i w:val="false"/>
          <w:color w:val="000000"/>
          <w:sz w:val="22"/>
        </w:rPr>
        <w:t>means a service model that facilitates access to an interdisciplinary array of medical care, behavioral health care, and community-based social services and supports for both children and adults with chronic conditions. Services may include comprehensive care management; care coordination and health promotion; comprehensive transitional care from inpatient to other settings, including appropriate follow-up; individual and family support, which includes authorized representatives; referral to community and social support services, if relevant; and the use of health information technology to link services, as feasible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means a service that provides physical modifications to the home or vehicle that directly address the medical health or remedial needs of the individual and that are necessary to provide for the health, welfare, and safety of the individual and to increase or maintain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means unskilled medical services which provide direct personal care. This service may include assistance with activities of daily living, such as helping the recipient to bathe, get in and out of bed, care for hair and teeth, exercise, and take medications specifically ordered by the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w:t>
      </w:r>
      <w:r>
        <w:rPr>
          <w:rFonts w:ascii="Times New Roman" w:hAnsi="Times New Roman"/>
          <w:b w:val="false"/>
          <w:i w:val="false"/>
          <w:color w:val="000000"/>
          <w:sz w:val="22"/>
        </w:rPr>
        <w:t xml:space="preserve">means the same as “homeless person” as defined in Iowa Code section </w:t>
      </w:r>
      <w:hyperlink r:id="rId9">
        <w:r>
          <w:rPr>
            <w:rStyle w:val="Hyperlink"/>
            <w:rFonts w:ascii="Times New Roman" w:hAnsi="Times New Roman"/>
            <w:b w:val="false"/>
            <w:i w:val="false"/>
            <w:color w:val="000000"/>
            <w:sz w:val="22"/>
          </w:rPr>
          <w:t>48A.2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“Illness management and recovery” </w:t>
      </w:r>
      <w:r>
        <w:rPr>
          <w:rFonts w:ascii="Times New Roman" w:hAnsi="Times New Roman"/>
          <w:b w:val="false"/>
          <w:i w:val="false"/>
          <w:color w:val="000000"/>
          <w:sz w:val="22"/>
        </w:rPr>
        <w:t>means a broad set of strategies designed to help individuals with serious mental illness collaborate with professionals, reduce the individuals’ susceptibility to the illness, and cope effectively with the individuals’ symptoms consistent with evidence-based practice standards published by the Substance Abuse and Mental Health Services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any person seeking or receiving services in a regional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means services including ongoing supports needed by an individual to acquire and maintain a job in the integrated workforce at or above the state’s minimum wage. The outcome of this service is sustained paid employment that meets personal and career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“Intake assessment” </w:t>
      </w:r>
      <w:r>
        <w:rPr>
          <w:rFonts w:ascii="Times New Roman" w:hAnsi="Times New Roman"/>
          <w:b w:val="false"/>
          <w:i w:val="false"/>
          <w:color w:val="000000"/>
          <w:sz w:val="22"/>
        </w:rPr>
        <w:t xml:space="preserve">means the process used with an individual to collect information related to the individual’s history, needs, strengths, and abilities for the purpose of determining the individual’s need for comprehensive assessment, appropriate services or 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treatment for co-occurring substance abuse and mental health disorders” </w:t>
      </w:r>
      <w:r>
        <w:rPr>
          <w:rFonts w:ascii="Times New Roman" w:hAnsi="Times New Roman"/>
          <w:b w:val="false"/>
          <w:i w:val="false"/>
          <w:color w:val="000000"/>
          <w:sz w:val="22"/>
        </w:rPr>
        <w:t xml:space="preserve">means effective dual diagnosis programs that combine mental health and substance abuse interventions tailored for the complex needs of individuals with co-morbid disorders. Critical components of effective programs include a comprehensive, long-term, staged approach to recovery; assertive outreach; motivational interviews; provision of help to individuals in acquiring skills and supports to manage both illnesses and pursue functional goals with cultural sensitivity and competence consistent with evidence-based practice standards published by the Substance Abuse and Mental Health Services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 homes”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means intensive, community-based services provided 24 hours a day, 7 days a week, 365 days a year to individuals with a severe and persistent mental illness who have functional impairments and may also have multi-occurring conditions. Providers of intensive residential service homes are enrolled with Medicaid as providers of HCBS habilitation or HCBS intellectual disability waiver supported community living and meet additional criteria specified in subrule 25.6(8).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“Job development” </w:t>
      </w:r>
      <w:r>
        <w:rPr>
          <w:rFonts w:ascii="Times New Roman" w:hAnsi="Times New Roman"/>
          <w:b w:val="false"/>
          <w:i w:val="false"/>
          <w:color w:val="000000"/>
          <w:sz w:val="22"/>
        </w:rPr>
        <w:t>means services that assist individuals in preparing for, securing and maintaining gainful, competitive employment. Employment shall be integrated into normalized work settings, shall provide pay of at least minimum wage, and shall be based on the individual’s skills, preferences, abilities, and talents. Services assist individuals seeking employment to develop or re-establish skills, attitudes, personal characteristics, interpersonal skills, work behaviors, and functional capacities to achieve positive employment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program”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management” </w:t>
      </w:r>
      <w:r>
        <w:rPr>
          <w:rFonts w:ascii="Times New Roman" w:hAnsi="Times New Roman"/>
          <w:b w:val="false"/>
          <w:i w:val="false"/>
          <w:color w:val="000000"/>
          <w:sz w:val="22"/>
        </w:rPr>
        <w:t>means services provided directly to or on behalf of the individual by a licensed professional as authorized by Iowa law including, but not limited to, monitoring effectiveness of and compliance with a medication regimen; coordination with care providers; investigating potentially negative or unintended psychopharmacologic or medical interactions; reviewing laboratory reports; and activities pursuant to licensed prescriber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prescribing” </w:t>
      </w:r>
      <w:r>
        <w:rPr>
          <w:rFonts w:ascii="Times New Roman" w:hAnsi="Times New Roman"/>
          <w:b w:val="false"/>
          <w:i w:val="false"/>
          <w:color w:val="000000"/>
          <w:sz w:val="22"/>
        </w:rPr>
        <w:t>means services with the individual present provided by an appropriately licensed professional as authorized by Iowa law including, but not limited to, determining how the medication is affecting the individual; determining any drug interactions or adverse drug effects on the individual; determining the proper dosage level; and prescribing medication for the individual for the period of time before the individual is seen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inpatient treatment”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“behavioral health inpatient treatment” </w:t>
      </w:r>
      <w:r>
        <w:rPr>
          <w:rFonts w:ascii="Times New Roman" w:hAnsi="Times New Roman"/>
          <w:b w:val="false"/>
          <w:i w:val="false"/>
          <w:color w:val="000000"/>
          <w:sz w:val="22"/>
        </w:rPr>
        <w:t>means inpatient psychiatric services to treat an acute psychiatric condition that are provided in a licensed hospital with a psychiatric unit or a licensed freestanding psychiatric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outpatient therapy”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230A.106(2)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response” </w:t>
      </w:r>
      <w:r>
        <w:rPr>
          <w:rFonts w:ascii="Times New Roman" w:hAnsi="Times New Roman"/>
          <w:b w:val="false"/>
          <w:i w:val="false"/>
          <w:color w:val="000000"/>
          <w:sz w:val="22"/>
        </w:rPr>
        <w:t xml:space="preserve">means the same as defined in rule 441—24.20(225C).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“Multi-occurring conditions” </w:t>
      </w:r>
      <w:r>
        <w:rPr>
          <w:rFonts w:ascii="Times New Roman" w:hAnsi="Times New Roman"/>
          <w:b w:val="false"/>
          <w:i w:val="false"/>
          <w:color w:val="000000"/>
          <w:sz w:val="22"/>
        </w:rPr>
        <w:t>means a diagnosis of a severe and persistent mental illness occurring along with one or more of the following: a physical health condition, a substance use disorder, an intellectual or developmental disability, or a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 reject, no eject” </w:t>
      </w:r>
      <w:r>
        <w:rPr>
          <w:rFonts w:ascii="Times New Roman" w:hAnsi="Times New Roman"/>
          <w:b w:val="false"/>
          <w:i w:val="false"/>
          <w:color w:val="000000"/>
          <w:sz w:val="22"/>
        </w:rPr>
        <w:t>means that an individual who otherwise meets the eligibility criteria for a service shall not be denied access to that service or discharged from that service based on the severity or complexity of that individual’s mental health and multi-occurring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competency restoration” </w:t>
      </w:r>
      <w:r>
        <w:rPr>
          <w:rFonts w:ascii="Times New Roman" w:hAnsi="Times New Roman"/>
          <w:b w:val="false"/>
          <w:i w:val="false"/>
          <w:color w:val="000000"/>
          <w:sz w:val="22"/>
        </w:rPr>
        <w:t>means a community-based service to restore competency for individuals found by a court not to pose a danger to the public but to be incompetent to stand trial. The service includes components such as psychiatric prescribing and medication management, mental health and substance use disorder treatment services, competency education, and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support services” </w:t>
      </w:r>
      <w:r>
        <w:rPr>
          <w:rFonts w:ascii="Times New Roman" w:hAnsi="Times New Roman"/>
          <w:b w:val="false"/>
          <w:i w:val="false"/>
          <w:color w:val="000000"/>
          <w:sz w:val="22"/>
        </w:rPr>
        <w:t>means a program provided by a peer support specialist including but not limited to education and information, individual advocacy, family support groups, crisis response, and respite to assist individuals in achieving stability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support specialist” </w:t>
      </w:r>
      <w:r>
        <w:rPr>
          <w:rFonts w:ascii="Times New Roman" w:hAnsi="Times New Roman"/>
          <w:b w:val="false"/>
          <w:i w:val="false"/>
          <w:color w:val="000000"/>
          <w:sz w:val="22"/>
        </w:rPr>
        <w:t>means an individual who has experienced a severe and persistent mental illness and who has successfully completed standardized training to provide peer support services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supportive housing” </w:t>
      </w:r>
      <w:r>
        <w:rPr>
          <w:rFonts w:ascii="Times New Roman" w:hAnsi="Times New Roman"/>
          <w:b w:val="false"/>
          <w:i w:val="false"/>
          <w:color w:val="000000"/>
          <w:sz w:val="22"/>
        </w:rPr>
        <w:t>means voluntary, flexible supports to help individuals with psychiatric disabilities choose, get, and keep housing that is decent, safe, affordable, and integrated into the community. Tenants have access to an array of services that help them keep their housing, such as case management, assistance with daily activities, conflict resolution, and crisis response consistent with evidence-based practice standards published by the Substance Abuse and Mental Health Services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w:t>
      </w:r>
      <w:r>
        <w:rPr>
          <w:rFonts w:ascii="Times New Roman" w:hAnsi="Times New Roman"/>
          <w:b w:val="false"/>
          <w:i w:val="false"/>
          <w:color w:val="000000"/>
          <w:sz w:val="22"/>
        </w:rPr>
        <w:t>means an electronic device connected to a 24-hour staffed system which allows the individual to access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“Precariously housed” </w:t>
      </w:r>
      <w:r>
        <w:rPr>
          <w:rFonts w:ascii="Times New Roman" w:hAnsi="Times New Roman"/>
          <w:b w:val="false"/>
          <w:i w:val="false"/>
          <w:color w:val="000000"/>
          <w:sz w:val="22"/>
        </w:rPr>
        <w:t>means that a person does not have a permanent household and is living day-to-day in a motel, in a vehicle, with family or friends, or in some other temporary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“Prescreening assessment” </w:t>
      </w:r>
      <w:r>
        <w:rPr>
          <w:rFonts w:ascii="Times New Roman" w:hAnsi="Times New Roman"/>
          <w:b w:val="false"/>
          <w:i w:val="false"/>
          <w:color w:val="000000"/>
          <w:sz w:val="22"/>
        </w:rPr>
        <w:t>means a face-to-face clinical interview to ascertain an individual’s current and previous level of functioning, potential for dangerousness, physical health, and psychiatric and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w:t>
      </w:r>
      <w:r>
        <w:rPr>
          <w:rFonts w:ascii="Times New Roman" w:hAnsi="Times New Roman"/>
          <w:b w:val="false"/>
          <w:i w:val="false"/>
          <w:color w:val="000000"/>
          <w:sz w:val="22"/>
        </w:rPr>
        <w:t>means efforts to increase awareness and understanding of the causes and nature of conditions or situations which affect an individual’s functioning in society. Prevention activities are designed to convey information about the cause of conditions, situations, or problems that interfere with an individual’s functioning or ways in which that information can be used to prevent their occurrence or reduce their effect and may include, but are not limited to, training events, webinars, presentations, and public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means services that focus on developing generalized skills that prepare an individual for employment. Prevocational training topics include but are not limited to attendance, safety skills, following directions, and staying on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“Reasonably close proximity” </w:t>
      </w:r>
      <w:r>
        <w:rPr>
          <w:rFonts w:ascii="Times New Roman" w:hAnsi="Times New Roman"/>
          <w:b w:val="false"/>
          <w:i w:val="false"/>
          <w:color w:val="000000"/>
          <w:sz w:val="22"/>
        </w:rPr>
        <w:t>means a distance of 100 miles or less or a driving distance of two hours or less from the county seat or county seats of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 </w:t>
      </w:r>
      <w:r>
        <w:rPr>
          <w:rFonts w:ascii="Times New Roman" w:hAnsi="Times New Roman"/>
          <w:b w:val="false"/>
          <w:i w:val="false"/>
          <w:color w:val="000000"/>
          <w:sz w:val="22"/>
        </w:rPr>
        <w:t>means a mental health and disability service region that operates as the “‘regional administrator’ or ‘regional administrative entity’” as defined in rule 441—</w:t>
      </w:r>
      <w:hyperlink r:id="rId13">
        <w:r>
          <w:rPr>
            <w:rStyle w:val="Hyperlink"/>
            <w:rFonts w:ascii="Times New Roman" w:hAnsi="Times New Roman"/>
            <w:b w:val="false"/>
            <w:i w:val="false"/>
            <w:color w:val="000000"/>
            <w:sz w:val="22"/>
          </w:rPr>
          <w:t>25.11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“Respite” </w:t>
      </w:r>
      <w:r>
        <w:rPr>
          <w:rFonts w:ascii="Times New Roman" w:hAnsi="Times New Roman"/>
          <w:b w:val="false"/>
          <w:i w:val="false"/>
          <w:color w:val="000000"/>
          <w:sz w:val="22"/>
        </w:rPr>
        <w:t>means a temporary period of relief and support for individuals and their families provided in a variety of settings. The intent is to provide a safe environment with staff assistance for individuals who lack an adequate support system to address current issues related to a disability. Respite may be provided for a defined period of time; respite is either planned or provided in response to a crisis.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care” </w:t>
      </w:r>
      <w:r>
        <w:rPr>
          <w:rFonts w:ascii="Times New Roman" w:hAnsi="Times New Roman"/>
          <w:b w:val="false"/>
          <w:i w:val="false"/>
          <w:color w:val="000000"/>
          <w:sz w:val="22"/>
        </w:rPr>
        <w:t>means care which is not urgent or emergent in nature and can wait for a regularly scheduled appointment without risk to the individual. A condition requiring routine care is not likely to substantially worsen without immediate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w:t>
      </w:r>
      <w:r>
        <w:rPr>
          <w:rFonts w:ascii="Times New Roman" w:hAnsi="Times New Roman"/>
          <w:b w:val="false"/>
          <w:i w:val="false"/>
          <w:color w:val="000000"/>
          <w:sz w:val="22"/>
        </w:rPr>
        <w:t>means any area that is not defined as urban.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emotional disturbance”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225C.2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and persistent mental illness”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“SPMI” </w:t>
      </w:r>
      <w:r>
        <w:rPr>
          <w:rFonts w:ascii="Times New Roman" w:hAnsi="Times New Roman"/>
          <w:b w:val="false"/>
          <w:i w:val="false"/>
          <w:color w:val="000000"/>
          <w:sz w:val="22"/>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 The individual has a degree of impairment arising from a psychiatric disorder such that: (1) the individual does not have the resources or skills necessary to maintain function in the home or community environment without assistance or support; (2) the individual’s judgment, impulse control, or cognitive perceptual abilities are compromised; (3) the individual exhibits significant impairment in social, interpersonal, or familial functioning; and (4) the individual has a documented mental health diagnosis. For this purpose, a “mental health diagnosis” means a disorder, dysfunction, or dysphoria diagnosed pursuant to the current version of the Diagnostic and Statistical Manual of Mental Disorders published by the American Psychiatric Association (published 2013, with all changes and updates approved by the American Psychiatric Association through September 2023 incorporated herein), excluding neurodevelopmental disorders, substance use disorders, personality disorders, medication-induced movement disorders and other adverse effects of medication, and other conditions that may be a focus of clinical attention as defined in the current version of the Diagnostic and Statistical Manual of Mental Disorders published by the American Psychiatric Association (published 2013, with all changes and updates approved by the American Psychiatric Association through September 2023 incorporated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“Subacute mental health services”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225C.6(4)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includes both subacute facility-based services and subacute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w:t>
      </w:r>
      <w:r>
        <w:rPr>
          <w:rFonts w:ascii="Times New Roman" w:hAnsi="Times New Roman"/>
          <w:b w:val="false"/>
          <w:i w:val="false"/>
          <w:color w:val="000000"/>
          <w:sz w:val="22"/>
        </w:rPr>
        <w:t>means the same as defined in rule 641—155.1(125,135).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 xml:space="preserve">means services as defined in Iowa Code section </w:t>
      </w:r>
      <w:hyperlink r:id="rId16">
        <w:r>
          <w:rPr>
            <w:rStyle w:val="Hyperlink"/>
            <w:rFonts w:ascii="Times New Roman" w:hAnsi="Times New Roman"/>
            <w:b w:val="false"/>
            <w:i w:val="false"/>
            <w:color w:val="000000"/>
            <w:sz w:val="22"/>
          </w:rPr>
          <w:t>225C.21(1)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w:t>
      </w:r>
      <w:r>
        <w:rPr>
          <w:rFonts w:ascii="Times New Roman" w:hAnsi="Times New Roman"/>
          <w:b w:val="false"/>
          <w:i w:val="false"/>
          <w:color w:val="000000"/>
          <w:sz w:val="22"/>
        </w:rPr>
        <w:t>means an approach to helping individuals participate as much as possible in competitive work in integrated work settings that are consistent with the strengths, resources, priorities, concerns, abilities, capabilities, interests, and informed choice of the individuals. Services are targeted for individuals with significant disabilities for whom competitive employment has not traditionally occurred; or for whom competitive employment has been interrupted or intermittent as a result of a significant disability including either individual or group supported employment, or both, consistent with evidence-based practice standards published by the Substance Abuse and Mental Health Services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“Trauma-focused services” </w:t>
      </w:r>
      <w:r>
        <w:rPr>
          <w:rFonts w:ascii="Times New Roman" w:hAnsi="Times New Roman"/>
          <w:b w:val="false"/>
          <w:i w:val="false"/>
          <w:color w:val="000000"/>
          <w:sz w:val="22"/>
        </w:rPr>
        <w:t>means services provided by caregivers and professionals that recognize when an individual who has been exposed to violence is in need of help to recover from adverse impacts; recognize and understand the impact that exposure to violence has on victims’ physical, psychological, and psychosocial development and well-being; and respond by helping in ways that reflect awareness of adverse impacts and consistently support the individual’s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“Trauma-informed care” </w:t>
      </w:r>
      <w:r>
        <w:rPr>
          <w:rFonts w:ascii="Times New Roman" w:hAnsi="Times New Roman"/>
          <w:b w:val="false"/>
          <w:i w:val="false"/>
          <w:color w:val="000000"/>
          <w:sz w:val="22"/>
        </w:rPr>
        <w:t>means services that are based on an understanding of the vulnerabilities or triggers of those who have experienced violence, that recognize the role violence has played in the lives of those individuals, that are supportive of recovery, and that avoid retraumatization including trauma-focused services and trauma-specific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“Trauma-specific treatment” </w:t>
      </w:r>
      <w:r>
        <w:rPr>
          <w:rFonts w:ascii="Times New Roman" w:hAnsi="Times New Roman"/>
          <w:b w:val="false"/>
          <w:i w:val="false"/>
          <w:color w:val="000000"/>
          <w:sz w:val="22"/>
        </w:rPr>
        <w:t>means services provided by a mental health professional using therapies that are free from the use of coercion, restraints, seclusion and isolation; and designed specifically to promote recovery from the adverse impacts of violence exposure on physical, psychological, psychosocial development,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“Twenty-four-hour crisis response”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“Twenty-three-hour observation and holding”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w:t>
      </w:r>
      <w:r>
        <w:rPr>
          <w:rFonts w:ascii="Times New Roman" w:hAnsi="Times New Roman"/>
          <w:b w:val="false"/>
          <w:i w:val="false"/>
          <w:color w:val="000000"/>
          <w:sz w:val="22"/>
        </w:rPr>
        <w:t>means a county that has a total population of 50,000 or more residents or includes a city with a population of 20,000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“Urgent” </w:t>
      </w:r>
      <w:r>
        <w:rPr>
          <w:rFonts w:ascii="Times New Roman" w:hAnsi="Times New Roman"/>
          <w:b w:val="false"/>
          <w:i w:val="false"/>
          <w:color w:val="000000"/>
          <w:sz w:val="22"/>
        </w:rPr>
        <w:t>means the existence of conditions that are not emergent in nature but that require expeditious treatment because of the prospect of the condition worsening without immediate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“Warm handoff” </w:t>
      </w:r>
      <w:r>
        <w:rPr>
          <w:rFonts w:ascii="Times New Roman" w:hAnsi="Times New Roman"/>
          <w:b w:val="false"/>
          <w:i w:val="false"/>
          <w:color w:val="000000"/>
          <w:sz w:val="22"/>
        </w:rPr>
        <w:t xml:space="preserve">means an approach to care transitions in which a health care provider uses face-to-face or telephone contact to directly link individuals being treated to other providers or specialists.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w:t>
      </w:r>
      <w:r>
        <w:rPr>
          <w:rFonts w:ascii="Times New Roman" w:hAnsi="Times New Roman"/>
          <w:b/>
          <w:i w:val="false"/>
          <w:color w:val="000000"/>
          <w:sz w:val="22"/>
        </w:rPr>
        <w:t xml:space="preserve">(225C) </w:t>
      </w:r>
      <w:r>
        <w:rPr>
          <w:rFonts w:ascii="Times New Roman" w:hAnsi="Times New Roman"/>
          <w:b/>
          <w:i w:val="false"/>
          <w:color w:val="000000"/>
          <w:sz w:val="22"/>
        </w:rPr>
        <w:t xml:space="preserve">Core service domains.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region shall ensure that core service domains are available in regions as determined in Iowa Code sections </w:t>
      </w:r>
      <w:hyperlink r:id="rId17">
        <w:r>
          <w:rPr>
            <w:rStyle w:val="Hyperlink"/>
            <w:rFonts w:ascii="Times New Roman" w:hAnsi="Times New Roman"/>
            <w:b w:val="false"/>
            <w:i w:val="false"/>
            <w:color w:val="000000"/>
            <w:sz w:val="22"/>
          </w:rPr>
          <w:t>225C.65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225C.66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val="false"/>
          <w:color w:val="000000"/>
          <w:sz w:val="22"/>
        </w:rPr>
        <w:t>The region shall include and respect the recommendation of the individual and the individual’s care team in the process of transition to new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val="false"/>
          <w:color w:val="000000"/>
          <w:sz w:val="22"/>
        </w:rPr>
        <w:t>The region shall ensure that the following services are available for adults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Assertive community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Crisis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stabilization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Crisis 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Family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Health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Home health aide.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Intensive residential service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Job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Medication prescribing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Mental health inpatient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Mental health outpatient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Mobile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Peer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Personal emergency response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Respite.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Supportive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Twenty-four-hour access to crisis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Twenty-three-hour crisis observation and holding.</w:t>
      </w:r>
    </w:p>
    <w:p>
      <w:pPr>
        <w:spacing w:before="0" w:after="0"/>
        <w:ind w:left="120"/>
        <w:jc w:val="both"/>
      </w:pPr>
      <w:r>
        <w:rPr>
          <w:rFonts w:ascii="Times New Roman" w:hAnsi="Times New Roman"/>
          <w:b w:val="false"/>
          <w:i w:val="false"/>
          <w:color w:val="000000"/>
          <w:sz w:val="22"/>
        </w:rPr>
        <w:t xml:space="preserve">Regions may fund or provide other services in addition to the required core services consistent with requirements set forth in subrules </w:t>
      </w:r>
      <w:hyperlink r:id="rId19">
        <w:r>
          <w:rPr>
            <w:rStyle w:val="Hyperlink"/>
            <w:rFonts w:ascii="Times New Roman" w:hAnsi="Times New Roman"/>
            <w:b w:val="false"/>
            <w:i w:val="false"/>
            <w:color w:val="000000"/>
            <w:sz w:val="22"/>
          </w:rPr>
          <w:t>25.2(5)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25.2(6)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val="false"/>
          <w:color w:val="000000"/>
          <w:sz w:val="22"/>
        </w:rPr>
        <w:t>The region shall ensure that the following services are available for children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Assessment and evaluation relating to eligibility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Behavioral health inpatient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Behavioral health outpatient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stabilization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Crisis 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Early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Early 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 prescribing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Mobile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Prevention.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val="false"/>
          <w:color w:val="000000"/>
          <w:sz w:val="22"/>
        </w:rPr>
        <w:t>A regional service system shall consider the scope of services included in addition to the required core services. Each service included shall be described and projection of need and the funding necessary to meet the need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w:t>
      </w:r>
      <w:r>
        <w:rPr>
          <w:rFonts w:ascii="Times New Roman" w:hAnsi="Times New Roman"/>
          <w:b w:val="false"/>
          <w:i w:val="false"/>
          <w:color w:val="000000"/>
          <w:sz w:val="22"/>
        </w:rPr>
        <w:t> </w:t>
      </w:r>
      <w:r>
        <w:rPr>
          <w:rFonts w:ascii="Times New Roman" w:hAnsi="Times New Roman"/>
          <w:b w:val="false"/>
          <w:i w:val="false"/>
          <w:color w:val="000000"/>
          <w:sz w:val="22"/>
        </w:rPr>
        <w:t>A regional service system may provide funding for other appropriate services or support. In considering whether to provide such funding, a region may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Applying a person-centered planning process to identify the need for the services or other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efficacy of the services or other support is recognized as an evidence-based practice, is deemed to be an emerging and promising practice, or providing the services is part of a demonstration and will supply evidence as to the effectiveness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determination that the services or other support provides an effective alternative to existing services that have been shown by the evidence base to be ineffective, to not yield the desired outcome, or to not support the principles outlined in </w:t>
      </w:r>
      <w:r>
        <w:rPr>
          <w:rFonts w:ascii="Times New Roman" w:hAnsi="Times New Roman"/>
          <w:b w:val="false"/>
          <w:i/>
          <w:color w:val="000000"/>
          <w:sz w:val="22"/>
        </w:rPr>
        <w:t>Olmstead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L.C.,</w:t>
      </w:r>
      <w:r>
        <w:rPr>
          <w:rFonts w:ascii="Times New Roman" w:hAnsi="Times New Roman"/>
          <w:b w:val="false"/>
          <w:i w:val="false"/>
          <w:color w:val="000000"/>
          <w:sz w:val="22"/>
        </w:rPr>
        <w:t xml:space="preserve"> 527 U.S. 581.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441—25.3</w:t>
      </w:r>
      <w:r>
        <w:rPr>
          <w:rFonts w:ascii="Times New Roman" w:hAnsi="Times New Roman"/>
          <w:b/>
          <w:i w:val="false"/>
          <w:color w:val="000000"/>
          <w:sz w:val="22"/>
        </w:rPr>
        <w:t xml:space="preserve">(331) </w:t>
      </w:r>
      <w:r>
        <w:rPr>
          <w:rFonts w:ascii="Times New Roman" w:hAnsi="Times New Roman"/>
          <w:b/>
          <w:i w:val="false"/>
          <w:color w:val="000000"/>
          <w:sz w:val="22"/>
        </w:rPr>
        <w:t xml:space="preserve">Implementation dates.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6613C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11/2/22</w:t>
      </w:r>
      <w:r>
        <w:rPr>
          <w:rFonts w:ascii="Times New Roman" w:hAnsi="Times New Roman"/>
          <w:b w:val="false"/>
          <w:i w:val="false"/>
          <w:color w:val="000000"/>
          <w:sz w:val="22"/>
        </w:rPr>
        <w:t xml:space="preserve">, effective 1/1/23. </w:t>
      </w:r>
    </w:p>
    <w:p>
      <w:pPr>
        <w:spacing w:before="0" w:after="0"/>
        <w:ind w:left="120"/>
        <w:jc w:val="both"/>
      </w:pPr>
      <w:r>
        <w:rPr>
          <w:rFonts w:ascii="Times New Roman" w:hAnsi="Times New Roman"/>
          <w:b/>
          <w:i w:val="false"/>
          <w:color w:val="000000"/>
          <w:sz w:val="22"/>
        </w:rPr>
        <w:t>441—25.4</w:t>
      </w:r>
      <w:r>
        <w:rPr>
          <w:rFonts w:ascii="Times New Roman" w:hAnsi="Times New Roman"/>
          <w:b/>
          <w:i w:val="false"/>
          <w:color w:val="000000"/>
          <w:sz w:val="22"/>
        </w:rPr>
        <w:t xml:space="preserve">(225C) </w:t>
      </w:r>
      <w:r>
        <w:rPr>
          <w:rFonts w:ascii="Times New Roman" w:hAnsi="Times New Roman"/>
          <w:b/>
          <w:i w:val="false"/>
          <w:color w:val="000000"/>
          <w:sz w:val="22"/>
        </w:rPr>
        <w:t xml:space="preserve">Access standards. </w:t>
      </w:r>
      <w:r>
        <w:rPr>
          <w:rFonts w:ascii="Times New Roman" w:hAnsi="Times New Roman"/>
          <w:b w:val="false"/>
          <w:i w:val="false"/>
          <w:color w:val="000000"/>
          <w:sz w:val="22"/>
        </w:rPr>
        <w:t>Regions shall meet the following access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A sufficient provider network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community mental health center or federally qualified health center that provides psychiatric and outpatient mental health services to individuals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hospital with an inpatient psychiatric unit or state mental health institute located in or within reasonably close proximity that has the capacity to provide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Crisis services shall be available 24 hours per day, 7 days per week, 365 days per year for individuals experiencing mental health and disability-related emergencies. A region may make arrangements with one or more other regions to meet the required access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Basic crisis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Twenty-four-hour crisis response. An individual shall have immediate access to crisis response services by means of telephone, electronic, or face-to-face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evaluation. An individual shall have immediate access to a crisis screening and will have a crisis assessment by a licensed mental health professional within 24 hours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community-based services. </w:t>
      </w:r>
      <w:r>
        <w:rPr>
          <w:rFonts w:ascii="Times New Roman" w:hAnsi="Times New Roman"/>
          <w:b w:val="false"/>
          <w:i w:val="false"/>
          <w:color w:val="000000"/>
          <w:sz w:val="22"/>
        </w:rPr>
        <w:t>An individual who has been determined to need CSCBS shall receive face-to-face contact from the CSCBS provider within 120 minutes from the time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residential services. </w:t>
      </w:r>
      <w:r>
        <w:rPr>
          <w:rFonts w:ascii="Times New Roman" w:hAnsi="Times New Roman"/>
          <w:b w:val="false"/>
          <w:i w:val="false"/>
          <w:color w:val="000000"/>
          <w:sz w:val="22"/>
        </w:rPr>
        <w:t>CSRS shall be located within 120 miles from the residence of the individual or be available within 120 minutes from the time of the determination that the individual needs CSRS.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Mobile response. </w:t>
      </w:r>
      <w:r>
        <w:rPr>
          <w:rFonts w:ascii="Times New Roman" w:hAnsi="Times New Roman"/>
          <w:b w:val="false"/>
          <w:i w:val="false"/>
          <w:color w:val="000000"/>
          <w:sz w:val="22"/>
        </w:rPr>
        <w:t>An individual in need of mobile response services shall have face-to-face contact with mobile crisis staff within 60 minutes of dispatch.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Twenty-three-hour observation and holding. </w:t>
      </w:r>
      <w:r>
        <w:rPr>
          <w:rFonts w:ascii="Times New Roman" w:hAnsi="Times New Roman"/>
          <w:b w:val="false"/>
          <w:i w:val="false"/>
          <w:color w:val="000000"/>
          <w:sz w:val="22"/>
        </w:rPr>
        <w:t>Twenty-three-hour observation and holding shall be located within 120 miles from the residence of the individual or be available within 120 minutes from the time of the determination that the individual needs 23-hour observation and holding.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The region shall provide the following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services: During an emergency, outpatient services shall be initiated to an individual within 15 minutes of telephone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Urgent: Outpatient services shall be provided to an individual within 1 hour of presentation or 24 hours of telephone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Routine care: Outpatient services shall be provided to an individual within four weeks of request for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Distance: Outpatient services shall be offered within 30 miles for an individual residing in an urban community and 45 miles for an individual residing in a rural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in need of emergency inpatient services shall receive treatment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services shall be available within reasonably close proximity to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and evaluation. </w:t>
      </w:r>
      <w:r>
        <w:rPr>
          <w:rFonts w:ascii="Times New Roman" w:hAnsi="Times New Roman"/>
          <w:b w:val="false"/>
          <w:i w:val="false"/>
          <w:color w:val="000000"/>
          <w:sz w:val="22"/>
        </w:rPr>
        <w:t>An individual who has received inpatient services shall be assessed and evaluated within four weeks.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val="false"/>
          <w:color w:val="000000"/>
          <w:sz w:val="22"/>
        </w:rPr>
        <w:t>Subacute facility-based mental health services. An adult shall receive subacute facility-based mental health services within 24 hours of referral. The service shall be located within 120 miles of the residence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val="false"/>
          <w:color w:val="000000"/>
          <w:sz w:val="22"/>
        </w:rPr>
        <w:t>Support for community living for adults. The first appointment shall occur within four weeks of the individual’s request of support for community living services, including a home health aide, home and vehicle modifications, respite, and supportive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val="false"/>
          <w:color w:val="000000"/>
          <w:sz w:val="22"/>
        </w:rPr>
        <w:t>Support for employment for adults. The initial referral shall take place within 60 days of the individual’s request of support for employment services, including day habilitation, job development, supported employment, and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25.4(7)</w:t>
      </w:r>
      <w:r>
        <w:rPr>
          <w:rFonts w:ascii="Times New Roman" w:hAnsi="Times New Roman"/>
          <w:b w:val="false"/>
          <w:i w:val="false"/>
          <w:color w:val="000000"/>
          <w:sz w:val="22"/>
        </w:rPr>
        <w:t> </w:t>
      </w:r>
      <w:r>
        <w:rPr>
          <w:rFonts w:ascii="Times New Roman" w:hAnsi="Times New Roman"/>
          <w:b w:val="false"/>
          <w:i w:val="false"/>
          <w:color w:val="000000"/>
          <w:sz w:val="22"/>
        </w:rPr>
        <w:t>Recovery services for adults. An individual receiving recovery services, including family support and peer support, shall not have to travel more than 30 miles if residing in an urban area or 45 miles if residing in a rural area to receive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25.4(8)</w:t>
      </w:r>
      <w:r>
        <w:rPr>
          <w:rFonts w:ascii="Times New Roman" w:hAnsi="Times New Roman"/>
          <w:b w:val="false"/>
          <w:i w:val="false"/>
          <w:color w:val="000000"/>
          <w:sz w:val="22"/>
        </w:rPr>
        <w:t> </w:t>
      </w:r>
      <w:r>
        <w:rPr>
          <w:rFonts w:ascii="Times New Roman" w:hAnsi="Times New Roman"/>
          <w:b w:val="false"/>
          <w:i w:val="false"/>
          <w:color w:val="000000"/>
          <w:sz w:val="22"/>
        </w:rPr>
        <w:t>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adult receiving service coordination shall not have to travel more than 30 miles if residing in an urban area or 45 miles if residing in a rural area to receive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adult shall receive service coordination within ten days of the initial request for such service or being discharged from an inpatient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25.4(9)</w:t>
      </w:r>
      <w:r>
        <w:rPr>
          <w:rFonts w:ascii="Times New Roman" w:hAnsi="Times New Roman"/>
          <w:b w:val="false"/>
          <w:i w:val="false"/>
          <w:color w:val="000000"/>
          <w:sz w:val="22"/>
        </w:rPr>
        <w:t> </w:t>
      </w:r>
      <w:r>
        <w:rPr>
          <w:rFonts w:ascii="Times New Roman" w:hAnsi="Times New Roman"/>
          <w:b w:val="false"/>
          <w:i w:val="false"/>
          <w:color w:val="000000"/>
          <w:sz w:val="22"/>
        </w:rPr>
        <w:t>The region shall make the following intensive mental health services available for adults. A region may make arrangements with one or more other regions to meet the required access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Assertive community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22 ACT teams shall be operational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sufficient number of ACT teams shall be available to serve the number of individuals in the region who are eligible for ACT services. As a guideline for planning purposes, the ACT-eligible population is estimated to be about 0.06 percent of the adult population of the region. The region may identify multiple geographic areas within the region for ACT team coverage. Regions may work with one or more other regions to identify geographic areas for ACT team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Access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six access centers shall be operational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access center shall be located within 120 miles of the residence of the individual or be available within 120 minutes from the time of the determination that the individual needs access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120 intensive residential service beds shall be available statewide.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receiving intensive residential services shall have the service available within two hours of the individual’s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individual shall be admitted to intensive residential services within four weeks from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25.4(10)</w:t>
      </w:r>
      <w:r>
        <w:rPr>
          <w:rFonts w:ascii="Times New Roman" w:hAnsi="Times New Roman"/>
          <w:b w:val="false"/>
          <w:i w:val="false"/>
          <w:color w:val="000000"/>
          <w:sz w:val="22"/>
        </w:rPr>
        <w:t> </w:t>
      </w:r>
      <w:r>
        <w:rPr>
          <w:rFonts w:ascii="Times New Roman" w:hAnsi="Times New Roman"/>
          <w:b w:val="false"/>
          <w:i w:val="false"/>
          <w:color w:val="000000"/>
          <w:sz w:val="22"/>
        </w:rPr>
        <w:t>The following limitations apply to home and vehicle modification for an individual receiving mental health and disability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lifetime limit equal to that established for the home- and community-based services waiver for individuals with intellectual disabilities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provider reimbursement payment will be no lower than that provided through the home- and community-based services waiver for individuals with intellectual disabilities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25.4(11)</w:t>
      </w:r>
      <w:r>
        <w:rPr>
          <w:rFonts w:ascii="Times New Roman" w:hAnsi="Times New Roman"/>
          <w:b w:val="false"/>
          <w:i w:val="false"/>
          <w:color w:val="000000"/>
          <w:sz w:val="22"/>
        </w:rPr>
        <w:t> </w:t>
      </w:r>
      <w:r>
        <w:rPr>
          <w:rFonts w:ascii="Times New Roman" w:hAnsi="Times New Roman"/>
          <w:b w:val="false"/>
          <w:i w:val="false"/>
          <w:color w:val="000000"/>
          <w:sz w:val="22"/>
        </w:rPr>
        <w:t>The region shall make the following efforts and activities related to children’s behavioral health available to the residents of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Prevention. </w:t>
      </w:r>
      <w:r>
        <w:rPr>
          <w:rFonts w:ascii="Times New Roman" w:hAnsi="Times New Roman"/>
          <w:b w:val="false"/>
          <w:i w:val="false"/>
          <w:color w:val="000000"/>
          <w:sz w:val="22"/>
        </w:rPr>
        <w:t>Prevention activities shall be carried out at least four times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 services. </w:t>
      </w:r>
      <w:r>
        <w:rPr>
          <w:rFonts w:ascii="Times New Roman" w:hAnsi="Times New Roman"/>
          <w:b w:val="false"/>
          <w:i w:val="false"/>
          <w:color w:val="000000"/>
          <w:sz w:val="22"/>
        </w:rPr>
        <w:t>Education activities shall be carried out at least four times a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25.4(12)</w:t>
      </w:r>
      <w:r>
        <w:rPr>
          <w:rFonts w:ascii="Times New Roman" w:hAnsi="Times New Roman"/>
          <w:b w:val="false"/>
          <w:i w:val="false"/>
          <w:color w:val="000000"/>
          <w:sz w:val="22"/>
        </w:rPr>
        <w:t> </w:t>
      </w:r>
      <w:r>
        <w:rPr>
          <w:rFonts w:ascii="Times New Roman" w:hAnsi="Times New Roman"/>
          <w:b w:val="false"/>
          <w:i w:val="false"/>
          <w:color w:val="000000"/>
          <w:sz w:val="22"/>
        </w:rPr>
        <w:t>The region shall ensure that the following behavioral health services are available to children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Early identification. </w:t>
      </w:r>
      <w:r>
        <w:rPr>
          <w:rFonts w:ascii="Times New Roman" w:hAnsi="Times New Roman"/>
          <w:b w:val="false"/>
          <w:i w:val="false"/>
          <w:color w:val="000000"/>
          <w:sz w:val="22"/>
        </w:rPr>
        <w:t>A child shall receive early identification services within four weeks of the time the request for such services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w:t>
      </w:r>
      <w:r>
        <w:rPr>
          <w:rFonts w:ascii="Times New Roman" w:hAnsi="Times New Roman"/>
          <w:b w:val="false"/>
          <w:i w:val="false"/>
          <w:color w:val="000000"/>
          <w:sz w:val="22"/>
        </w:rPr>
        <w:t>A child shall receive early intervention services within four weeks of the time the request for such services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w:t>
      </w:r>
      <w:r>
        <w:rPr>
          <w:rFonts w:ascii="Times New Roman" w:hAnsi="Times New Roman"/>
          <w:b/>
          <w:i w:val="false"/>
          <w:color w:val="000000"/>
          <w:sz w:val="22"/>
        </w:rPr>
        <w:t xml:space="preserve">(225C) </w:t>
      </w:r>
      <w:r>
        <w:rPr>
          <w:rFonts w:ascii="Times New Roman" w:hAnsi="Times New Roman"/>
          <w:b/>
          <w:i w:val="false"/>
          <w:color w:val="000000"/>
          <w:sz w:val="22"/>
        </w:rPr>
        <w:t xml:space="preserve">Practices. </w:t>
      </w:r>
      <w:r>
        <w:rPr>
          <w:rFonts w:ascii="Times New Roman" w:hAnsi="Times New Roman"/>
          <w:b w:val="false"/>
          <w:i w:val="false"/>
          <w:color w:val="000000"/>
          <w:sz w:val="22"/>
        </w:rPr>
        <w:t>A region shall ensure that access is available to providers of core services that demonstrate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Regions shall have service providers that are trained to provide effective services to individuals with multi-occurring conditions. Training for serving individuals with multi-occurring conditions provided by the region shall be training identified by the Substance Abuse and Mental Health Services Administration, the Dartmouth Psychiatric Research Center or other generally recognized professional organization specified in the regional service system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Regions shall have service providers that are trained to provide effective trauma-informed care. Trauma-informed care training provided by the region shall be recognized by the National Center for Trauma-Informed Care or other generally recognized professional organization specified in the regional service system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Regions must have evidence-based practices that the region has independently verified as meeting established fidelity to evidence-based practice models including, but not limited to, assertive community treatment; integrated treatment for co-occurring substance use and mental health disorders; supported employment; family psychoeducation; illness management and recovery; and permanent supportive housing.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441—25.6</w:t>
      </w:r>
      <w:r>
        <w:rPr>
          <w:rFonts w:ascii="Times New Roman" w:hAnsi="Times New Roman"/>
          <w:b/>
          <w:i w:val="false"/>
          <w:color w:val="000000"/>
          <w:sz w:val="22"/>
        </w:rPr>
        <w:t xml:space="preserve">(225C) </w:t>
      </w:r>
      <w:r>
        <w:rPr>
          <w:rFonts w:ascii="Times New Roman" w:hAnsi="Times New Roman"/>
          <w:b/>
          <w:i w:val="false"/>
          <w:color w:val="000000"/>
          <w:sz w:val="22"/>
        </w:rPr>
        <w:t xml:space="preserve">Intensive mental health services. </w:t>
      </w:r>
      <w:r>
        <w:rPr>
          <w:rFonts w:ascii="Times New Roman" w:hAnsi="Times New Roman"/>
          <w:b w:val="false"/>
          <w:i w:val="false"/>
          <w:color w:val="000000"/>
          <w:sz w:val="22"/>
        </w:rPr>
        <w:t>The purpose of intensive mental health services is to provide a continuum of services and supports to adults with complex mental health and multi-occurring conditions who need a high level of intensive and specialized support to attain stability in health, housing, and employment and to work toward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color w:val="000000"/>
          <w:sz w:val="22"/>
        </w:rPr>
        <w:t xml:space="preserve">Access centers. </w:t>
      </w:r>
      <w:r>
        <w:rPr>
          <w:rFonts w:ascii="Times New Roman" w:hAnsi="Times New Roman"/>
          <w:b w:val="false"/>
          <w:i w:val="false"/>
          <w:color w:val="000000"/>
          <w:sz w:val="22"/>
        </w:rPr>
        <w:t>The purpose of an access center is to serve adults experiencing a mental health or substance use crisis who are not in need of an inpatient psychiatric level of care and who do not have alternative, safe, effective services immediately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Regional coordination. </w:t>
      </w:r>
      <w:r>
        <w:rPr>
          <w:rFonts w:ascii="Times New Roman" w:hAnsi="Times New Roman"/>
          <w:b w:val="false"/>
          <w:i w:val="false"/>
          <w:color w:val="000000"/>
          <w:sz w:val="22"/>
        </w:rPr>
        <w:t xml:space="preserve">Each region shall designate at least one access center provider and ensure that access center services are available to the residents of the region consistent with </w:t>
      </w:r>
      <w:hyperlink r:id="rId21">
        <w:r>
          <w:rPr>
            <w:rStyle w:val="Hyperlink"/>
            <w:rFonts w:ascii="Times New Roman" w:hAnsi="Times New Roman"/>
            <w:b w:val="false"/>
            <w:i w:val="false"/>
            <w:color w:val="000000"/>
            <w:sz w:val="22"/>
          </w:rPr>
          <w:t>subrule 25.4(9)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Regions shall work collaboratively to develop a minimum of six access centers strategically located throughout the state, with the support of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centers may be shared by two or more regions.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region shall establish methods to provide for reimbursement of a region when a non-Medicaid-eligible resident of another region utilizes an access center or other non-Medicaid-covered services located in that region.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Access center standards. </w:t>
      </w:r>
      <w:r>
        <w:rPr>
          <w:rFonts w:ascii="Times New Roman" w:hAnsi="Times New Roman"/>
          <w:b w:val="false"/>
          <w:i w:val="false"/>
          <w:color w:val="000000"/>
          <w:sz w:val="22"/>
        </w:rPr>
        <w:t>A designated access center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access center shall have no residential facility-based setting with more than 16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access center provider shall be accredited to provide crisis stabilization residential services pursuant to </w:t>
      </w:r>
      <w:hyperlink r:id="rId2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access center provider shall be licensed to provide subacute mental health services as described in rule </w:t>
      </w:r>
      <w:hyperlink r:id="rId23">
        <w:r>
          <w:rPr>
            <w:rStyle w:val="Hyperlink"/>
            <w:rFonts w:ascii="Times New Roman" w:hAnsi="Times New Roman"/>
            <w:b w:val="false"/>
            <w:i w:val="false"/>
            <w:color w:val="000000"/>
            <w:sz w:val="22"/>
          </w:rPr>
          <w:t>441—77.56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access center provider shall be licensed as a substance abuse treatment program pursuant to Iowa Code chapter </w:t>
      </w:r>
      <w:hyperlink r:id="rId24">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or have a cooperative agreement with and immediate access to licensed substance abuse treatment services or medical care that incorporates withdrawal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access center shall provide services on a no reject, no eject basis to individuals who meet service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access center shall accept and serve eligible individuals who are court-ordered to participate in mental health or substance use disorder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access center shall provide all required services listed in </w:t>
      </w:r>
      <w:hyperlink r:id="rId25">
        <w:r>
          <w:rPr>
            <w:rStyle w:val="Hyperlink"/>
            <w:rFonts w:ascii="Times New Roman" w:hAnsi="Times New Roman"/>
            <w:b w:val="false"/>
            <w:i w:val="false"/>
            <w:color w:val="000000"/>
            <w:sz w:val="22"/>
          </w:rPr>
          <w:t>25.6(1)</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 coordinated manner. An access center may provide coordinated services in one or more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access center services. </w:t>
      </w:r>
      <w:r>
        <w:rPr>
          <w:rFonts w:ascii="Times New Roman" w:hAnsi="Times New Roman"/>
          <w:b w:val="false"/>
          <w:i w:val="false"/>
          <w:color w:val="000000"/>
          <w:sz w:val="22"/>
        </w:rPr>
        <w:t>To be eligible to receive access center services, an individual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is an adult in need of screening, assessment, services or treatment related to a mental health or substance use crisis.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shows no obvious signs of illness or injury indicating a need for immediate medical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has not been determined to need acute inpatient psychiatric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Access center services. </w:t>
      </w:r>
      <w:r>
        <w:rPr>
          <w:rFonts w:ascii="Times New Roman" w:hAnsi="Times New Roman"/>
          <w:b w:val="false"/>
          <w:i w:val="false"/>
          <w:color w:val="000000"/>
          <w:sz w:val="22"/>
        </w:rPr>
        <w:t>An access center shall provide or arrange for the provision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 intake assessment and screening that includes but is not limited to mental and physical health conditions, suicide risk, brain injury, and substance use. A crisis evaluation that includes all required screenings may serve as an intake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person-centered mental health assessments by appropriately licensed or credentialed professionals, as indicated by the intake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Comprehensive person-centered substance use disorder assessments by appropriately licensed or credentialed professionals, as indicated by the intake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Peer support services, as indicated by a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treatment, as indicated by a comprehensive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use treatment, as indicated by a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Physical health care services as indicated by a health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Care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Service navigation and linkage to needed services including housing, employment, shelter services, intellectual and developmental disability services, and brain injury services, with warm handoffs to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color w:val="000000"/>
          <w:sz w:val="22"/>
        </w:rPr>
        <w:t xml:space="preserve">Assertive community treatment (ACT) services. </w:t>
      </w:r>
      <w:r>
        <w:rPr>
          <w:rFonts w:ascii="Times New Roman" w:hAnsi="Times New Roman"/>
          <w:b w:val="false"/>
          <w:i w:val="false"/>
          <w:color w:val="000000"/>
          <w:sz w:val="22"/>
        </w:rPr>
        <w:t>The purpose of assertive community treatment is to serve adults with the most severe and persistent mental illness conditions and functional impairments. ACT services provide a set of comprehensive, integrated, intensive outpatient services delivered by a multidisciplinary team under the supervision of a psychiatrist, an advanced registered nurse practitioner, or a physician assistant under the supervision of a psychiatrist. An ACT program shall designate a staff member to be responsible for administration of the program and with the authority to sign documents and receive payments on behalf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Regional coordination. </w:t>
      </w:r>
      <w:r>
        <w:rPr>
          <w:rFonts w:ascii="Times New Roman" w:hAnsi="Times New Roman"/>
          <w:b w:val="false"/>
          <w:i w:val="false"/>
          <w:color w:val="000000"/>
          <w:sz w:val="22"/>
        </w:rPr>
        <w:t>Each region shall designate at least one ACT provider and ensure that ACT services are available to the residents of the region consistent with subrule 25.4(9). Regions may work collaboratively with other regions when an ACT team is serving more than one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region shall determine the number and size of ACT teams needed to serve the ACT-eligible population in that region.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region shall verify that all ACT programs operating in the region have periodic fidelity reviews consistent with evidence-based practice standards published by the Substance Abuse and Mental Health Services Administration (SAMHSA). Each ACT program shall have a fidelity review, including a peer review, on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the first 12 months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during each of the second and third years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Biennially thereafter for teams with satisfactory fidelity reviews. Teams with unsatisfactory reviews shall be reviewed again after one year.</w:t>
      </w:r>
    </w:p>
    <w:p>
      <w:pPr>
        <w:spacing w:before="0" w:after="0"/>
        <w:ind w:left="120"/>
        <w:jc w:val="both"/>
      </w:pPr>
      <w:r>
        <w:rPr>
          <w:rFonts w:ascii="Times New Roman" w:hAnsi="Times New Roman"/>
          <w:b w:val="false"/>
          <w:i w:val="false"/>
          <w:color w:val="000000"/>
          <w:sz w:val="22"/>
        </w:rPr>
        <w:t>Results of the ACT team fidelity reviews shall be included in the region’s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 team composition. </w:t>
      </w:r>
      <w:r>
        <w:rPr>
          <w:rFonts w:ascii="Times New Roman" w:hAnsi="Times New Roman"/>
          <w:b w:val="false"/>
          <w:i w:val="false"/>
          <w:color w:val="000000"/>
          <w:sz w:val="22"/>
        </w:rPr>
        <w:t xml:space="preserve">Each ACT team shall include a minimum of six members and must include a member qualified to fill each of the eight following roles. One team member may fill more than one role if all other qualifications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psychiatrist, an advanced registered nurse practitioner, or a physician assistant under the supervision of a psychiatrist who is board-certified or eligible for board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team leader.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substance abuse treatment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community support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peer support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employment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ACT team members shall meet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Psychiatrist. A psychiatrist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doctor of medicine (M.D.) or a doctor of osteopathy (D.O.).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licensed in Iowa pursuant to 653—Chapter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certified or is eligible to be certified as a psychiatrist by the American Board of Medical Specialties’ Board of Psychiatry and Neurology or by the American Osteopathic Board of Neurology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experience working with persons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Provides a minimum of 16 hours per week of psychiatrist time for every 50 ACT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 An advanced registered nurse practitioner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pursuant to 655—Chapter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mental health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experience working with persons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a minimum of 16 hours per week of advanced registered nurse practitioner time for every 50 ACT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assistant. A physician assistant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pursuant to 645—Chapter 326.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working with persons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practicing under the supervision of a psychiatrist who is board-certified or eligible for board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a minimum of 16 hours per week of physician assistant time for every 50 ACT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Team leader. A team leader shall be a person on the team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master’s degree in a mental health field, including but not limited to nursing, social work, mental health counseling, psychiatric rehabilitation, or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actively involved in direct contact with individuals being served by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 full-time staff member whose responsibilities are limited to the ACT team and who serves as the clinical and administrative supervisor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Registered nurse. A registered nurse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as a registered nurse pursuant to 655—Chapter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working with persons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professional. A mental health professional on the team shall be a person who meets all of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mental health counselor or marital and family therapist licensed pursuant to 645—Chapter 31; a social worker licensed as a master or independent social worker pursuant to 645—Chapter 280; or an occupational therapist licensed pursuant to 645—Chapter 206.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working with persons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Substance abuse treatment professional. A substance abuse treatment professional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an appropriately credentialed counselor pursuant to 641—subparagraph 155.21(8)</w:t>
      </w:r>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at least three years of experience working with persons with substance use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Community support specialist. A community support specialist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bachelor’s degree with at least 30 semester hours or equivalent quarter hours in a human services field, including but not limited to sociology, social work, counseling, psychology,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working with persons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Peer support specialist. A peer support specialist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diagnosed with a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met all requirements of the Appalachian Consulting Group Peer Support Training Model by no later than six months after the date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Employment specialist. An employment specialist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experience working with persons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Meets one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bachelor’s degree with at least 30 semester hours or equivalent quarter hours in a human services field, including but not limited to sociology, social work, counseling, or psychology, and completes at least 12 hours of employment services training within six months of the date of hire.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high school diploma or equivalent, has at least one year of specialized vocational training or supervised experience in vocational and related services, including but not limited to supported employment, job coaching, supported community living, or habilitation, and completes at least 12 hours of employment services training within six months of the date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Psychologist. A psychologist on the team shall be a person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pursuant to 645—Chapter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working with persons with a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ACT provider standards. </w:t>
      </w:r>
      <w:r>
        <w:rPr>
          <w:rFonts w:ascii="Times New Roman" w:hAnsi="Times New Roman"/>
          <w:b w:val="false"/>
          <w:i w:val="false"/>
          <w:color w:val="000000"/>
          <w:sz w:val="22"/>
        </w:rPr>
        <w:t>Organizations seeking regional designation as an ACT provider shall meet the following criteria at initial application and annually thereafter. A designated ACT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and maintain written ACT-specific admission policies and procedures, including but not limited to a gradual rate of admission and program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and maintain written ACT-specific discharge policies and procedures. Discharge criteria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reaches individually established goals for discharge, and the individual and program staff mutually agree to the termination of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requests discharge, demonstrates the ability to function in all major role areas without ongoing assistance from the program and without significant relapse when services are withdrawn, and the program staff agree to the termination of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individual moves outside the geographic area of the team’s responsibility. In such cases, the team shall arrange for transfer of responsibility for mental health services to an ACT program or another provider wherever the individual is relocating, and the team shall maintain contact with the individual until the service transfer is implemented;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individual declines or refuses services and requests discharge despite the team’s best efforts to develop an acceptable treatment plan with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discharges. 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for discharge as stated by both the individual and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summary of the individual’s biopsychosocial status at the time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final evaluation summary of the individual’s progress toward the goals in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plan developed in conjunction with the individual for follow-up treatment after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each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or documentation of why the individual’s signature was not obtained.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 coordinator.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team leader.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psychiatrist, advanced registered nurse practitioner, or physician assistant under the supervision of a board-certified psychiatrist.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ACT team standards. </w:t>
      </w:r>
      <w:r>
        <w:rPr>
          <w:rFonts w:ascii="Times New Roman" w:hAnsi="Times New Roman"/>
          <w:b w:val="false"/>
          <w:i w:val="false"/>
          <w:color w:val="000000"/>
          <w:sz w:val="22"/>
        </w:rPr>
        <w:t>All designated ACT teams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all of the individual’s mental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services for the psychiatric needs of the individual are available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 a specific treatment plan based on the assessment of needs and including goals and actions to address the individual’s medical, social, educational, and other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referrals to services and related activities to assist the individual with the individual’s assessed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Monitor and perform follow-up activities necessary to ensure that the treatment plan is carried out and that the individual has access to necessary services. Activities may include monitoring contacts with providers, family members, natural supports,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Hold team meetings at least four times a week to facilitate ACT services and briefly review the status of the individual with other members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the capacity to provide multiple contacts a week with individuals experiencing severe symptoms, trying a new medication, experiencing a health problem or serious life event, trying to go back to school or starting a new job, making changes in a living situation or employment, or having significant ongoing problems in daily living. All members of the team share responsibility for addressing the needs of all individuals. The number of team contacts per individual served shall average at least three per week per individual when calculated across all individuals served by the team. Contacts may be weekly, daily, or more frequent. The frequency of contacts is determined by the needs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Have the capacity to rapidly increase service intensity to an individual when the individual’s status requires it or the individual requests 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Ensure that treatment, rehabilitation, and support activities are available 24 hours a day, 7 days a week, 365 days a year, including nights, weekends, and holidays. If there are insufficient numbers of staff to operate an after-hours on-call system, staff shall provide crisis response during regular work hours and arrange coverage for all other hours through a reliable crisis response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Provide no more than 20 percent of service contacts in office-based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Staff-to-client ratio. </w:t>
      </w:r>
      <w:r>
        <w:rPr>
          <w:rFonts w:ascii="Times New Roman" w:hAnsi="Times New Roman"/>
          <w:b w:val="false"/>
          <w:i w:val="false"/>
          <w:color w:val="000000"/>
          <w:sz w:val="22"/>
        </w:rPr>
        <w:t>ACT teams shall maintain a ratio of at least one full-time or full-time equivalent staff person to every ten individuals served. The ACT team staff-to-client ratios do not include the psychiatrist, advanced nurse practitioner, or physician assistant practicing under the supervision of a psychiatrist.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for ACT services. </w:t>
      </w:r>
      <w:r>
        <w:rPr>
          <w:rFonts w:ascii="Times New Roman" w:hAnsi="Times New Roman"/>
          <w:b w:val="false"/>
          <w:i w:val="false"/>
          <w:color w:val="000000"/>
          <w:sz w:val="22"/>
        </w:rPr>
        <w:t xml:space="preserve">To be eligible to receive ACT services, the individual shall meet all of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at least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severe and persistent mental illness or complex mental health symptomology. Individuals with a primary diagnosis of substance use disorder, developmental disability, personality disorder, or organic disorder are not eligible for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in need of a consistent team of professionals and multiple mental health and support services to live independently in the community and reduce hospitalizations, as evidenced by one or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repeated treatment failures during the previous 12 months, including at least two psychiatric hospitalizations or psychiatric care delivered at least twice in an emergency department, at an access center, or by a mobile crisis team;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multiple or combined mental health and basic living supports to prevent the need for a more intrusive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Presents a reasonable likelihood that ACT services will lead to specific, observable improvements in the individual’s functioning and assist the individual in achieving or maintaining independent community living. Specifically,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medically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level of care that includes more intensive medical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Presents a low risk to self, others, or property, with treatment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Lives independently in the community or demonstrates a capacity and desire to live independently in the community.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ACT services. </w:t>
      </w:r>
      <w:r>
        <w:rPr>
          <w:rFonts w:ascii="Times New Roman" w:hAnsi="Times New Roman"/>
          <w:b w:val="false"/>
          <w:i w:val="false"/>
          <w:color w:val="000000"/>
          <w:sz w:val="22"/>
        </w:rPr>
        <w:t>ACT teams shall provide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assessment and treatment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assessment of the individual shall be completed within 30 days of admission that includes psychiatric history, medical history, educational history, employment, substance use, problems with activities of daily living, social interests, and family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individualized written treatment plan shall be developed based on the assessment. The treatment plan shall identify the necessary psychiatric rehabilitation treatment and support services, including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Treatment objectives and outcomes.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expected frequency and duration of each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location where the services will be provided.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crisis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schedule for updates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portion of ACT services consists of a comprehensive mental health evaluation and assessment of the individual by a psychiatrist,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management consists of the prescription and management of medication by a psychiatrist, advanced registered nurse practitioner, or physician assistant in response to the individual’s complaints and symptoms. A psychiatric registered nurse assists in this management by making contact with the individual regarding medications and their effect on the individual’s complaints and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Integrated therapy and counseling for mental health and substance abuse. Integrated therapy and counseling consists of direct counseling for treatment of mental health and substance abuse symptoms by a psychiatrist, licensed mental health professional, advanced registered nurse practitioner, physician assistant, or substance abuse specialist. Individual counseling may be provided by other team members under the supervision of a psychiatrist or licensed mental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Skill teaching. Skill teaching consists of side-by-side demonstration and observation of daily living activities by any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Community support. Community support may be provided by any team member and consists of the following activities focused on recovery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to assist the individual to develop and maintain skills for self-direction and coping with the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to assist the individual in maintaining a positive level of participation in the community through development of socialization skills and personal coping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 monitoring. Medication monitoring services shall be provided by a psychiatric nurse and other team members under the supervision of a psychiatrist or psychiatric nurse and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individual’s day-to-day functioning, medication compliance, and access to medications;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the individual keeps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Case management for treatment and service plan coordination. Case management consists of the development of an individualized treatment and service plan, including personalized goals and outcomes, to address the individual’s medical symptoms and remedial functional impairments. Case management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Assessments, referrals, follow-up,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individual in gaining access to necessary medical, social, educational,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Assessing the individual to determine service needs by collecting relevant historical information through records and other information from relevant professionals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Crisis response. Crisis response consists of direct assessment and treatment of the individual’s urgent or crisis symptoms in the community by any team member,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Work-related services. Work-related services may be provided by any team member. Services consist of assisting the individual in managing mental health symptoms as they relate to job performance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individual to look for job situations of the individual’s choice and creating strategies to manage situations that cause symptoms to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individual to develop or enhance skills to obtain a work placement, such as individual work-related behavioral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communication, problem-solving, and safety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personal skills, such as time management and appropriate grooming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Peer support services. Peer support services are provided by a peer support specialist and include, but are not limited to, education and information, individual advocacy, and crisis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Support services. All team members are responsible for providing support services. Services consist of assisting the individual in obtaining the basic necessities of daily life,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and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 clean, and affordable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Benefits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Legal advocacy and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Education, support, and consultation to family members and other major supports of individuals. All team members are responsible for providing education, support, and consultation to family members and other major supports of individuals with the agreement or consent of the individual. Services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Individualized psychoeducation about the individual’s illness and the role of the family and other significant people in the therapeutic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 to restore contact, resolve conflicts, and maintain relationships with family or other significant people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Ongoing communication and collaboration, face-to-face and by telephone, between the ACT team and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Introduction and referral to family self-help programs and advocacy organizations that promote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to obtain necessary services for individuals with children, including but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 supportive counseling.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Parenting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 coordination.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to help the individual throughout pregnancy and the birth of a child.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to help the individual fulfill parenting responsibilities and coordinate services for the child or children.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to help the individual restore relationships with children who are not in the individual’s custody.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color w:val="000000"/>
          <w:sz w:val="22"/>
        </w:rPr>
        <w:t xml:space="preserve">Mobile response. </w:t>
      </w:r>
      <w:r>
        <w:rPr>
          <w:rFonts w:ascii="Times New Roman" w:hAnsi="Times New Roman"/>
          <w:b w:val="false"/>
          <w:i w:val="false"/>
          <w:color w:val="000000"/>
          <w:sz w:val="22"/>
        </w:rPr>
        <w:t>The purpose of mobile response is to provide short-term individualized crisis stabilization, following a crisis screening or assessment, that is designed to restore the individual to a prior functional level. Mobile response services shall be provided as described in rule 441—24.36(225C).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25.6(4)</w:t>
      </w:r>
      <w:r>
        <w:rPr>
          <w:rFonts w:ascii="Times New Roman" w:hAnsi="Times New Roman"/>
          <w:b w:val="false"/>
          <w:i w:val="false"/>
          <w:color w:val="000000"/>
          <w:sz w:val="22"/>
        </w:rPr>
        <w:t> </w:t>
      </w:r>
      <w:r>
        <w:rPr>
          <w:rFonts w:ascii="Times New Roman" w:hAnsi="Times New Roman"/>
          <w:b w:val="false"/>
          <w:i/>
          <w:color w:val="000000"/>
          <w:sz w:val="22"/>
        </w:rPr>
        <w:t xml:space="preserve">23-hour observation and holding. </w:t>
      </w:r>
      <w:r>
        <w:rPr>
          <w:rFonts w:ascii="Times New Roman" w:hAnsi="Times New Roman"/>
          <w:b w:val="false"/>
          <w:i w:val="false"/>
          <w:color w:val="000000"/>
          <w:sz w:val="22"/>
        </w:rPr>
        <w:t xml:space="preserve">The purpose of 23-hour observation and holding is to provide up to 23 hours of care for adults in a safe and secure, medically staffed treatment environment. Twenty-three-hour observation and holding shall be provided as described in rule </w:t>
      </w:r>
      <w:hyperlink r:id="rId26">
        <w:r>
          <w:rPr>
            <w:rStyle w:val="Hyperlink"/>
            <w:rFonts w:ascii="Times New Roman" w:hAnsi="Times New Roman"/>
            <w:b w:val="false"/>
            <w:i w:val="false"/>
            <w:color w:val="000000"/>
            <w:sz w:val="22"/>
          </w:rPr>
          <w:t>441—24.37</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25.6(5)</w:t>
      </w: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community-based services. </w:t>
      </w:r>
      <w:r>
        <w:rPr>
          <w:rFonts w:ascii="Times New Roman" w:hAnsi="Times New Roman"/>
          <w:b w:val="false"/>
          <w:i w:val="false"/>
          <w:color w:val="000000"/>
          <w:sz w:val="22"/>
        </w:rPr>
        <w:t xml:space="preserve">The purpose of crisis stabilization community-based services is to provide short-term services designed to de-escalate a crisis situation and stabilize an individual following a mental health crisis in the setting where the individual lives, works, or recreates. Crisis stabilization community-based services shall be provided as described in rule 441—24.38(225C).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25.6(6)</w:t>
      </w: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residential services. </w:t>
      </w:r>
      <w:r>
        <w:rPr>
          <w:rFonts w:ascii="Times New Roman" w:hAnsi="Times New Roman"/>
          <w:b w:val="false"/>
          <w:i w:val="false"/>
          <w:color w:val="000000"/>
          <w:sz w:val="22"/>
        </w:rPr>
        <w:t>The purpose of crisis stabilization residential services is to provide a short-term alternative living arrangement in a setting of no more than 16 beds that is designed to de-escalate a crisis situation and stabilize an individual following a mental health crisis. Crisis stabilization residential services shall be provided as described in rule 441—24.39(225C).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25.6(7)</w:t>
      </w:r>
      <w:r>
        <w:rPr>
          <w:rFonts w:ascii="Times New Roman" w:hAnsi="Times New Roman"/>
          <w:b w:val="false"/>
          <w:i w:val="false"/>
          <w:color w:val="000000"/>
          <w:sz w:val="22"/>
        </w:rPr>
        <w:t> </w:t>
      </w:r>
      <w:r>
        <w:rPr>
          <w:rFonts w:ascii="Times New Roman" w:hAnsi="Times New Roman"/>
          <w:b w:val="false"/>
          <w:i/>
          <w:color w:val="000000"/>
          <w:sz w:val="22"/>
        </w:rPr>
        <w:t xml:space="preserve">Subacute mental health services. </w:t>
      </w:r>
      <w:r>
        <w:rPr>
          <w:rFonts w:ascii="Times New Roman" w:hAnsi="Times New Roman"/>
          <w:b w:val="false"/>
          <w:i w:val="false"/>
          <w:color w:val="000000"/>
          <w:sz w:val="22"/>
        </w:rPr>
        <w:t>The purpose of subacute mental health services is to provide a comprehensive set of wraparound services to adults who have had or are at imminent risk of having acute or crisis mental health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Regional coordination. </w:t>
      </w:r>
      <w:r>
        <w:rPr>
          <w:rFonts w:ascii="Times New Roman" w:hAnsi="Times New Roman"/>
          <w:b w:val="false"/>
          <w:i w:val="false"/>
          <w:color w:val="000000"/>
          <w:sz w:val="22"/>
        </w:rPr>
        <w:t>Each region shall designate at least one subacute mental health service provider and ensure that subacute mental health services are available to the residents of the region consistent with subrule 25.4(4).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Subacute mental health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Subacute mental health services in a facility-based setting shall be provided as described in Iowa Code chapter </w:t>
      </w:r>
      <w:hyperlink r:id="rId27">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 xml:space="preserve"> and 481—Chapter 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Subacute mental health services in a community-based setting are the same as assertive community treatment (ACT) services provided as described in subrule 25.6(2).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25.6(8)</w:t>
      </w: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The purpose of intensive residential services is to serve adults with the most intensive severe and persistent mental illness conditions who have functional impairments and may also have multi-occurring conditions. Intensive residential services provide intensive 24-hour supervision, behavioral health services, and other supportive services in a community-based residential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Regional coordination. </w:t>
      </w:r>
      <w:r>
        <w:rPr>
          <w:rFonts w:ascii="Times New Roman" w:hAnsi="Times New Roman"/>
          <w:b w:val="false"/>
          <w:i w:val="false"/>
          <w:color w:val="000000"/>
          <w:sz w:val="22"/>
        </w:rPr>
        <w:t>Each region shall designate at least one intensive residential services provider and ensure that intensive residential services are available to the residents of the region consistent with subrule 25.4(9).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Regions shall work collaboratively to develop intensive residential services strategically located throughout the state with the capacity to serve a minimum of 120 individuals, with the support of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Intensive residential services may be shared by two or more regions.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region shall establish methods to provide for reimbursement of a region when the non-Medicaid-eligible resident of another region utilizes intensive residential services or other non-Medicaid-covered services located in that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Regional reimbursement rates for non-Medicaid individuals receiving intensive residential services shall be negotiated by the region and the provider and shall be no less than the minimum Medicaid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services standards. </w:t>
      </w:r>
      <w:r>
        <w:rPr>
          <w:rFonts w:ascii="Times New Roman" w:hAnsi="Times New Roman"/>
          <w:b w:val="false"/>
          <w:i w:val="false"/>
          <w:color w:val="000000"/>
          <w:sz w:val="22"/>
        </w:rPr>
        <w:t xml:space="preserve">An organization that seeks regional designation as an intensive residential service provider shall meet the following criteria at initial application and annually thereafter. A designated intensive residential service provider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enrolled as an HCBS 1915(i) habilitation provider or an HCBS 1915(c) intellectual disability waiver supported community living provider and in good standing with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staffing 24 hours a day, 7 days a week, 365 days a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minimum staffing ratio of one staff to every two and one-half residents. Staffing ratios shall be responsive to the needs of the individuals served.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Ensure that all staff members have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experience working with individuals with a mental illness or multi-occurring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school diploma or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Ensure that within the first year of employment, staff members complete 48 hours of competency-based training in mental health and multi-occurring conditions. During each consecutive year of employment, staff members shall complete 24 hours of competency-based training in mental health and multi-occurring conditions. Staff training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Applied behavioral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Autism spectrum disorders, diagnoses, symptomology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Brain injury diagnoses, symptomology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Crisis management and de-escalation and mental health diagnoses, symptomology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Motivational interviewing.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Psychiatric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Substance use disorders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diagnoses or conditions present in the population served.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coordination with the individual’s clinical mental health and physical health treatment, and other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clinical oversight by a mental health professional. The mental health professional shall review and consult on all behavioral health services provided to the individual, and any other plans developed for the individual, including but not limited to service plans, behavior intervention plans, crisis intervention plans, emergency plans, cognitive rehabilitation plans, or physical rehabilitation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Have a written cooperative agreement with an outpatient mental health provider and ensure that individuals have timely access to outpatient mental health services, including but not limited to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substance abuse treatment program pursuant to Iowa Code chapter </w:t>
      </w:r>
      <w:hyperlink r:id="rId2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or have a written cooperative agreement with and timely access to licensed substance abuse treatment services for those individuals with a demonstrated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Accept and serve eligible individuals who are court-ordered to intensive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services to eligible individuals on a no reject, no eject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funded through HCBS and not licensed as a residential care facility, serve no more than five individuals at a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 neighborhood setting to maximize community integration and natural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 specialization in serving individuals with an SPMI or multi-occurring conditions and serve individuals with similar conditions in the same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for admission to intensive residential services. </w:t>
      </w:r>
      <w:r>
        <w:rPr>
          <w:rFonts w:ascii="Times New Roman" w:hAnsi="Times New Roman"/>
          <w:b w:val="false"/>
          <w:i w:val="false"/>
          <w:color w:val="000000"/>
          <w:sz w:val="22"/>
        </w:rPr>
        <w:t xml:space="preserve">To be eligible to receive intensive residential services, an individual shall meet all of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is an adult with a diagnosis of a severe and persistent mental illness or multi-occurring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had a standardized functional assessment and screening for multi-occurring conditions completed 30 days or less prior to application for intensive residential services, and the functional assessment and screening demonstrates that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diagnosis that meets the criteria of severe and persistent mental illness as defined in rule 441—</w:t>
      </w:r>
      <w:hyperlink r:id="rId29">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three or more areas of significant impairment in activities of daily living or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in need of 24-hour supervised and monitored treatment to maintain or improve functioning and avoid relapse that would require a higher level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exhibited a lack of progress or regression after an adequate trial of active treatment at a less intensive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at risk of significant functional deterioration if intensive residential services are not received or continued;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Meets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record of three or more psychiatric hospitalizations in the 12 months preceding application for intensive residential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record of more than 30 medically unnecessary psychiatric hospital days in the 12 months preceding application for intensive residential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record of more than 90 psychiatric hospital days in the 12 months preceding application for intensive residential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record of three or more emergency room visits related to a psychiatric diagnosis in the 12 months preceding application for intensive residential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Is residing in a state resource center and has an SPMI.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being served out of state due to the unavailability of medically necessary services in Iowa.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Has an SPMI and is scheduled for release from a correctional facility or a county jail.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homeless or precariously housed.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441—25.7</w:t>
      </w:r>
      <w:r>
        <w:rPr>
          <w:rFonts w:ascii="Times New Roman" w:hAnsi="Times New Roman"/>
          <w:b/>
          <w:i w:val="false"/>
          <w:color w:val="000000"/>
          <w:sz w:val="22"/>
        </w:rPr>
        <w:t xml:space="preserve">(225C) </w:t>
      </w:r>
      <w:r>
        <w:rPr>
          <w:rFonts w:ascii="Times New Roman" w:hAnsi="Times New Roman"/>
          <w:b/>
          <w:i w:val="false"/>
          <w:color w:val="000000"/>
          <w:sz w:val="22"/>
        </w:rPr>
        <w:t xml:space="preserve">Non-core services. </w:t>
      </w:r>
      <w:r>
        <w:rPr>
          <w:rFonts w:ascii="Times New Roman" w:hAnsi="Times New Roman"/>
          <w:b w:val="false"/>
          <w:i w:val="false"/>
          <w:color w:val="000000"/>
          <w:sz w:val="22"/>
        </w:rPr>
        <w:t>When a mental health and disability services region chooses to make the following non-core services available, the region shall ensure that such services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25.7(1)</w:t>
      </w:r>
      <w:r>
        <w:rPr>
          <w:rFonts w:ascii="Times New Roman" w:hAnsi="Times New Roman"/>
          <w:b w:val="false"/>
          <w:i w:val="false"/>
          <w:color w:val="000000"/>
          <w:sz w:val="22"/>
        </w:rPr>
        <w:t> </w:t>
      </w:r>
      <w:r>
        <w:rPr>
          <w:rFonts w:ascii="Times New Roman" w:hAnsi="Times New Roman"/>
          <w:b w:val="false"/>
          <w:i/>
          <w:color w:val="000000"/>
          <w:sz w:val="22"/>
        </w:rPr>
        <w:t xml:space="preserve">Prescreening assessments. </w:t>
      </w:r>
      <w:r>
        <w:rPr>
          <w:rFonts w:ascii="Times New Roman" w:hAnsi="Times New Roman"/>
          <w:b w:val="false"/>
          <w:i w:val="false"/>
          <w:color w:val="000000"/>
          <w:sz w:val="22"/>
        </w:rPr>
        <w:t>Prescreening assessments provided by the region or an entity contracting with the region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prescreening assessment shall be provided in an emergency room or other crisis assessment setting within four hours of an emergency detention of an individual believed to be mentally ill to determine if inpatient psychiatric hospitalization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prescreening assessment shall be performed by a licensed physician or mental health professional who shall also provide ongoing consultations while the individual remains in the emergency room or other crisis assessment setting. The services provided by the consulting professional are intended to supplement, but do not replace, the services of the emergency room or other crisis setting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licensed physician or mental health professional shall submit appropriate documentation and reports to the emergency room or other crisis setting and the court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region or entity contracting with the region shall ensure the coordination of appropriate levels of care. Coordination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Securing an inpatient psychiatric bed when inpatient psychiatric hospitalization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Utilizing community-based resources and services such as 23-hour observation and holding, crisis stabilization community-based or residential services, subacute facility-based mental health services or detoxification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Facilitating outpatient treatment appointments when inpatient psychiatric hospitalization is not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A service provider that is under contract with a region and transports individuals pursuant to an Iowa Code chapter </w:t>
      </w:r>
      <w:hyperlink r:id="rId3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court order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transport vehicle shall be secure such that the individual being transported cannot open doors or windows of the vehicle while it is moving.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staff shall complete a minimum of eight hours of training in mental health issues and crisis intervention in the first month of employment. After the initial training, each staff member shall complete a minimum of two hours of training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
        </w:r>
      </w:hyperlink>
      <w:hyperlink r:id="rId32">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441—25.8</w:t>
      </w:r>
      <w:r>
        <w:rPr>
          <w:rFonts w:ascii="Times New Roman" w:hAnsi="Times New Roman"/>
          <w:b w:val="false"/>
          <w:i w:val="false"/>
          <w:color w:val="000000"/>
          <w:sz w:val="22"/>
        </w:rPr>
        <w:t xml:space="preserve"> to </w:t>
      </w:r>
      <w:r>
        <w:rPr>
          <w:rFonts w:ascii="Times New Roman" w:hAnsi="Times New Roman"/>
          <w:b/>
          <w:i w:val="false"/>
          <w:color w:val="000000"/>
          <w:sz w:val="22"/>
        </w:rPr>
        <w:t>25.10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REGIONAL SERVICE SYSTEM</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These rules define the standards for a regional service system. The mental health and disability services and children’s behavioral health services shall be delivered in accordance with a regional service system management plan approved by the region’s governing board and implemented by the regional administrator (Iowa Code section </w:t>
      </w:r>
      <w:hyperlink r:id="rId33">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 It is the intent of the Iowa general assembly that the adult residents of this state should have access to needed mental health and disability services and that Iowa children should have access to needed behavioral health services regardless of the location of their residence.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441—25.11</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point” </w:t>
      </w:r>
      <w:r>
        <w:rPr>
          <w:rFonts w:ascii="Times New Roman" w:hAnsi="Times New Roman"/>
          <w:b w:val="false"/>
          <w:i w:val="false"/>
          <w:color w:val="000000"/>
          <w:sz w:val="22"/>
        </w:rPr>
        <w:t>means a provider, public or private institution, advocacy organization, legal representative, or educational institution with staff trained to complete applications and guide individuals with a disability to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and evaluation” </w:t>
      </w:r>
      <w:r>
        <w:rPr>
          <w:rFonts w:ascii="Times New Roman" w:hAnsi="Times New Roman"/>
          <w:b w:val="false"/>
          <w:i w:val="false"/>
          <w:color w:val="000000"/>
          <w:sz w:val="22"/>
        </w:rPr>
        <w:t>means the same as defined in rule 441—</w:t>
      </w:r>
      <w:hyperlink r:id="rId34">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account” </w:t>
      </w:r>
      <w:r>
        <w:rPr>
          <w:rFonts w:ascii="Times New Roman" w:hAnsi="Times New Roman"/>
          <w:b w:val="false"/>
          <w:i w:val="false"/>
          <w:color w:val="000000"/>
          <w:sz w:val="22"/>
        </w:rPr>
        <w:t>means funds in contracts, savings, trust or other financial accounts, financial instruments, or other arrangements with a definite cash value that are set aside and designated for the purchase, lease, or acquisition of assistive technology, assistive technology services, or assistive technology devices. Assistive technology accounts must be held separately from other accounts. Funds must be used to purchase, lease, or otherwise acquire assistive technology services or devices for a working individual with a disability. Any withdrawal from an assistive technology account other than for the designated purpose becomes a countable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means a person designated by the individual or by Iowa law to act on the individual’s behalf in specified affairs to the extent prescribed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flow” </w:t>
      </w:r>
      <w:r>
        <w:rPr>
          <w:rFonts w:ascii="Times New Roman" w:hAnsi="Times New Roman"/>
          <w:b w:val="false"/>
          <w:i w:val="false"/>
          <w:color w:val="000000"/>
          <w:sz w:val="22"/>
        </w:rPr>
        <w:t>means the same as “ending fund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executive officer” </w:t>
      </w:r>
      <w:r>
        <w:rPr>
          <w:rFonts w:ascii="Times New Roman" w:hAnsi="Times New Roman"/>
          <w:b w:val="false"/>
          <w:i w:val="false"/>
          <w:color w:val="000000"/>
          <w:sz w:val="22"/>
        </w:rPr>
        <w:t>means the person chosen and supervised by the governing board who serves as the single point of accountability for the mental health and disability services region and whose responsibilities include, but are not limited to, planning, budgeting, monitoring county and regional expenditures, and ensuring the delivery of quality services that achieve expected outcomes for the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“Choice” </w:t>
      </w:r>
      <w:r>
        <w:rPr>
          <w:rFonts w:ascii="Times New Roman" w:hAnsi="Times New Roman"/>
          <w:b w:val="false"/>
          <w:i w:val="false"/>
          <w:color w:val="000000"/>
          <w:sz w:val="22"/>
        </w:rPr>
        <w:t>means the individual or authorized representative chooses the services, supports, and goods needed to best meet the individual’s goals and accepts the responsibility and consequences of those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 lines of accountability” </w:t>
      </w:r>
      <w:r>
        <w:rPr>
          <w:rFonts w:ascii="Times New Roman" w:hAnsi="Times New Roman"/>
          <w:b w:val="false"/>
          <w:i w:val="false"/>
          <w:color w:val="000000"/>
          <w:sz w:val="22"/>
        </w:rPr>
        <w:t>means the structure of the governing board’s organization makes it evident that the ultimate responsibility for the administration of the non-Medicaid-funded mental health and disability services lies with the governing board and that the governing board directly and solely supervises the organization’s chief executive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means an integrated setting of an individual’s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“Conflict-free case management” </w:t>
      </w:r>
      <w:r>
        <w:rPr>
          <w:rFonts w:ascii="Times New Roman" w:hAnsi="Times New Roman"/>
          <w:b w:val="false"/>
          <w:i w:val="false"/>
          <w:color w:val="000000"/>
          <w:sz w:val="22"/>
        </w:rPr>
        <w:t>means there is no real or seeming incompatibility between the case manager’s other interests and the case manager’s duties to the individual served and includes case management separate from direct service provision; eligibility determination for services; establishment of funding levels for the individual’s services; and requirements that prohibit the case manager from performing evaluations, assessments, and plans of care if the case manager is related by blood or marriage to the individual or any of the individual’s paid caregivers or persons financially responsible for the individual or empowered to make financial or health-related decisions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of children’s behavioral health services” </w:t>
      </w:r>
      <w:r>
        <w:rPr>
          <w:rFonts w:ascii="Times New Roman" w:hAnsi="Times New Roman"/>
          <w:b w:val="false"/>
          <w:i w:val="false"/>
          <w:color w:val="000000"/>
          <w:sz w:val="22"/>
        </w:rPr>
        <w:t xml:space="preserve">means a member of the regional administrative entity staff who meets the requirements described in Iowa Code section </w:t>
      </w:r>
      <w:hyperlink r:id="rId35">
        <w:r>
          <w:rPr>
            <w:rStyle w:val="Hyperlink"/>
            <w:rFonts w:ascii="Times New Roman" w:hAnsi="Times New Roman"/>
            <w:b w:val="false"/>
            <w:i w:val="false"/>
            <w:color w:val="000000"/>
            <w:sz w:val="22"/>
          </w:rPr>
          <w:t>225C.57(3)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is responsible for coordinating behavioral health services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of mental health and disability services” </w:t>
      </w:r>
      <w:r>
        <w:rPr>
          <w:rFonts w:ascii="Times New Roman" w:hAnsi="Times New Roman"/>
          <w:b w:val="false"/>
          <w:i w:val="false"/>
          <w:color w:val="000000"/>
          <w:sz w:val="22"/>
        </w:rPr>
        <w:t xml:space="preserve">means a member of the regional administrative entity staff who meets the requirements described in Iowa Code section </w:t>
      </w:r>
      <w:hyperlink r:id="rId36">
        <w:r>
          <w:rPr>
            <w:rStyle w:val="Hyperlink"/>
            <w:rFonts w:ascii="Times New Roman" w:hAnsi="Times New Roman"/>
            <w:b w:val="false"/>
            <w:i w:val="false"/>
            <w:color w:val="000000"/>
            <w:sz w:val="22"/>
          </w:rPr>
          <w:t>225C.57(3)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is responsible for coordinating mental health and disability services for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household income” </w:t>
      </w:r>
      <w:r>
        <w:rPr>
          <w:rFonts w:ascii="Times New Roman" w:hAnsi="Times New Roman"/>
          <w:b w:val="false"/>
          <w:i w:val="false"/>
          <w:color w:val="000000"/>
          <w:sz w:val="22"/>
        </w:rPr>
        <w:t>means earned and unearned income of the family of a child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resource” </w:t>
      </w:r>
      <w:r>
        <w:rPr>
          <w:rFonts w:ascii="Times New Roman" w:hAnsi="Times New Roman"/>
          <w:b w:val="false"/>
          <w:i w:val="false"/>
          <w:color w:val="000000"/>
          <w:sz w:val="22"/>
        </w:rPr>
        <w:t>means real or personal property that has a cash value that is available to the owner upon disposition and is capable of being liquidated.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value” </w:t>
      </w:r>
      <w:r>
        <w:rPr>
          <w:rFonts w:ascii="Times New Roman" w:hAnsi="Times New Roman"/>
          <w:b w:val="false"/>
          <w:i w:val="false"/>
          <w:color w:val="000000"/>
          <w:sz w:val="22"/>
        </w:rPr>
        <w:t>means the equity value of a resource, which is the current fair market value minus any legal debt on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 residence”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225C.61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services” </w:t>
      </w:r>
      <w:r>
        <w:rPr>
          <w:rFonts w:ascii="Times New Roman" w:hAnsi="Times New Roman"/>
          <w:b w:val="false"/>
          <w:i w:val="false"/>
          <w:color w:val="000000"/>
          <w:sz w:val="22"/>
        </w:rPr>
        <w:t xml:space="preserve">means the same as defined in Iowa Code section </w:t>
      </w:r>
      <w:hyperlink r:id="rId38">
        <w:r>
          <w:rPr>
            <w:rStyle w:val="Hyperlink"/>
            <w:rFonts w:ascii="Times New Roman" w:hAnsi="Times New Roman"/>
            <w:b w:val="false"/>
            <w:i w:val="false"/>
            <w:color w:val="000000"/>
            <w:sz w:val="22"/>
          </w:rPr>
          <w:t>225C.2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 xml:space="preserve">means the same as defined in </w:t>
      </w:r>
      <w:hyperlink r:id="rId39">
        <w:r>
          <w:rPr>
            <w:rStyle w:val="Hyperlink"/>
            <w:rFonts w:ascii="Times New Roman" w:hAnsi="Times New Roman"/>
            <w:b w:val="false"/>
            <w:i w:val="false"/>
            <w:color w:val="000000"/>
            <w:sz w:val="22"/>
          </w:rPr>
          <w:t>441—subrule 24.4(15)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“Empowerment” </w:t>
      </w:r>
      <w:r>
        <w:rPr>
          <w:rFonts w:ascii="Times New Roman" w:hAnsi="Times New Roman"/>
          <w:b w:val="false"/>
          <w:i w:val="false"/>
          <w:color w:val="000000"/>
          <w:sz w:val="22"/>
        </w:rPr>
        <w:t>means that the service system ensures the rights, dignity, and ability of individuals and their families to exercise choices, take risks, provide input, and accept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“Encumbered”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“encumbrances” </w:t>
      </w:r>
      <w:r>
        <w:rPr>
          <w:rFonts w:ascii="Times New Roman" w:hAnsi="Times New Roman"/>
          <w:b w:val="false"/>
          <w:i w:val="false"/>
          <w:color w:val="000000"/>
          <w:sz w:val="22"/>
        </w:rPr>
        <w:t xml:space="preserve">means regional commitments related to obligations or contracts as defined in </w:t>
      </w:r>
      <w:hyperlink r:id="rId40">
        <w:r>
          <w:rPr>
            <w:rStyle w:val="Hyperlink"/>
            <w:rFonts w:ascii="Times New Roman" w:hAnsi="Times New Roman"/>
            <w:b w:val="false"/>
            <w:i w:val="false"/>
            <w:color w:val="000000"/>
            <w:sz w:val="22"/>
          </w:rPr>
          <w:t>subrule 25.13(6)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“Ending balance limitation” </w:t>
      </w:r>
      <w:r>
        <w:rPr>
          <w:rFonts w:ascii="Times New Roman" w:hAnsi="Times New Roman"/>
          <w:b w:val="false"/>
          <w:i w:val="false"/>
          <w:color w:val="000000"/>
          <w:sz w:val="22"/>
        </w:rPr>
        <w:t>means the percentage limit allowable by state law that a region’s ending fund balance can exceed actual expenditures for the previous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“Ending balance threshold”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“Ending fund balance” </w:t>
      </w:r>
      <w:r>
        <w:rPr>
          <w:rFonts w:ascii="Times New Roman" w:hAnsi="Times New Roman"/>
          <w:b w:val="false"/>
          <w:i w:val="false"/>
          <w:color w:val="000000"/>
          <w:sz w:val="22"/>
        </w:rPr>
        <w:t xml:space="preserve">means the amount of residual funds remaining in a region’s combined account at the conclusion of a fiscal year after the region has met the financial obligations for implementation of its regional service system management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“Exempt resource” </w:t>
      </w:r>
      <w:r>
        <w:rPr>
          <w:rFonts w:ascii="Times New Roman" w:hAnsi="Times New Roman"/>
          <w:b w:val="false"/>
          <w:i w:val="false"/>
          <w:color w:val="000000"/>
          <w:sz w:val="22"/>
        </w:rPr>
        <w:t>means a resource that is disregarded in the determination of eligibility for public funding assistance and in the calculation of client participation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means the most recently revised annual poverty income guidelines published in the Federal Register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person” </w:t>
      </w:r>
      <w:r>
        <w:rPr>
          <w:rFonts w:ascii="Times New Roman" w:hAnsi="Times New Roman"/>
          <w:b w:val="false"/>
          <w:i w:val="false"/>
          <w:color w:val="000000"/>
          <w:sz w:val="22"/>
        </w:rPr>
        <w:t xml:space="preserve">means the same as defined in Iowa Code section </w:t>
      </w:r>
      <w:hyperlink r:id="rId42">
        <w:r>
          <w:rPr>
            <w:rStyle w:val="Hyperlink"/>
            <w:rFonts w:ascii="Times New Roman" w:hAnsi="Times New Roman"/>
            <w:b w:val="false"/>
            <w:i w:val="false"/>
            <w:color w:val="000000"/>
            <w:sz w:val="22"/>
          </w:rPr>
          <w:t>48A.2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for an individual who is 18 years of age or over, the individual, the individual’s spouse or domestic partner, and any children, stepchildren, or wards under the age of 18 who reside with the individual. For an individual under the age of 18, “household” means the individual, the individual’s parents (or parent and domestic partner), stepparents or guardians, and any children, stepchildren, or wards under the age of 18 of the individual’s parents (or parent and domestic partner), stepparents, or guardians who reside with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means all gross income received by the individual’s household, including but not limited to wages, income from self-employment, retirement benefits, disability benefits, dividends, annuities, public assistance, unemployment compensation, alimony, child support, investment income, rental income, and income from trust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any person seeking or receiving services in a regional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“Individualized services” </w:t>
      </w:r>
      <w:r>
        <w:rPr>
          <w:rFonts w:ascii="Times New Roman" w:hAnsi="Times New Roman"/>
          <w:b w:val="false"/>
          <w:i w:val="false"/>
          <w:color w:val="000000"/>
          <w:sz w:val="22"/>
        </w:rPr>
        <w:t>means services and supports that are tailored to meet the personalized needs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“Judicial system” </w:t>
      </w:r>
      <w:r>
        <w:rPr>
          <w:rFonts w:ascii="Times New Roman" w:hAnsi="Times New Roman"/>
          <w:b w:val="false"/>
          <w:i w:val="false"/>
          <w:color w:val="000000"/>
          <w:sz w:val="22"/>
        </w:rPr>
        <w:t xml:space="preserve">means the same as described in Iowa Code section </w:t>
      </w:r>
      <w:hyperlink r:id="rId43">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“law enforcement representative” </w:t>
      </w:r>
      <w:r>
        <w:rPr>
          <w:rFonts w:ascii="Times New Roman" w:hAnsi="Times New Roman"/>
          <w:b w:val="false"/>
          <w:i w:val="false"/>
          <w:color w:val="000000"/>
          <w:sz w:val="22"/>
        </w:rPr>
        <w:t xml:space="preserve">means the same as “law enforcement officer” as defined in Iowa Code section </w:t>
      </w:r>
      <w:hyperlink r:id="rId44">
        <w:r>
          <w:rPr>
            <w:rStyle w:val="Hyperlink"/>
            <w:rFonts w:ascii="Times New Roman" w:hAnsi="Times New Roman"/>
            <w:b w:val="false"/>
            <w:i w:val="false"/>
            <w:color w:val="000000"/>
            <w:sz w:val="22"/>
          </w:rPr>
          <w:t>80B.3(3)</w:t>
        </w:r>
      </w:hyperlink>
      <w:r>
        <w:rPr>
          <w:rFonts w:ascii="Times New Roman" w:hAnsi="Times New Roman"/>
          <w:b w:val="false"/>
          <w:i w:val="false"/>
          <w:color w:val="000000"/>
          <w:sz w:val="22"/>
        </w:rPr>
        <w:t>, or state and local correctional officers, and community-based corrections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“Liquid assets” </w:t>
      </w:r>
      <w:r>
        <w:rPr>
          <w:rFonts w:ascii="Times New Roman" w:hAnsi="Times New Roman"/>
          <w:b w:val="false"/>
          <w:i w:val="false"/>
          <w:color w:val="000000"/>
          <w:sz w:val="22"/>
        </w:rPr>
        <w:t>means assets that can be converted to cash in 20 days. Liquid assets include but are not limited to cash on hand, checking accounts, savings accounts, stocks, bonds, cash value of life insurance, individual retirement accounts, certificates of deposit, and other investments.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 achieving high-quality outcomes for participants, coordinating access, and 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system” </w:t>
      </w:r>
      <w:r>
        <w:rPr>
          <w:rFonts w:ascii="Times New Roman" w:hAnsi="Times New Roman"/>
          <w:b w:val="false"/>
          <w:i w:val="false"/>
          <w:color w:val="000000"/>
          <w:sz w:val="22"/>
        </w:rPr>
        <w:t>means a system that integrates planning, administration, financing, and service delivery. The system consists of the financing or governing organization, the entity responsible for care management, and the network of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organization” </w:t>
      </w:r>
      <w:r>
        <w:rPr>
          <w:rFonts w:ascii="Times New Roman" w:hAnsi="Times New Roman"/>
          <w:b w:val="false"/>
          <w:i w:val="false"/>
          <w:color w:val="000000"/>
          <w:sz w:val="22"/>
        </w:rPr>
        <w:t>means an organization contracted to manage part or all of the service system for a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savings account” </w:t>
      </w:r>
      <w:r>
        <w:rPr>
          <w:rFonts w:ascii="Times New Roman" w:hAnsi="Times New Roman"/>
          <w:b w:val="false"/>
          <w:i w:val="false"/>
          <w:color w:val="000000"/>
          <w:sz w:val="22"/>
        </w:rPr>
        <w:t>means an account that is exempt from federal income taxation pursuant to Section 223 of the U.S. Internal Revenue Code (26 U.S.C. §223) (January 5, 2023) as supported by documentation provided by the bank or other financial institution. Any withdrawal from a medical savings account other than for the designated purpose becomes a countable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 xml:space="preserve">means the same as defined in Iowa Code section </w:t>
      </w:r>
      <w:hyperlink r:id="rId45">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“Modified adjusted gross income” </w:t>
      </w:r>
      <w:r>
        <w:rPr>
          <w:rFonts w:ascii="Times New Roman" w:hAnsi="Times New Roman"/>
          <w:b w:val="false"/>
          <w:i w:val="false"/>
          <w:color w:val="000000"/>
          <w:sz w:val="22"/>
        </w:rPr>
        <w:t xml:space="preserve">means the methodology prescribed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1396a(e)(14) and 42 CFR 435.603 (October 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“Non-liquid assets” </w:t>
      </w:r>
      <w:r>
        <w:rPr>
          <w:rFonts w:ascii="Times New Roman" w:hAnsi="Times New Roman"/>
          <w:b w:val="false"/>
          <w:i w:val="false"/>
          <w:color w:val="000000"/>
          <w:sz w:val="22"/>
        </w:rPr>
        <w:t>means assets that cannot be converted to cash in 20 days. Non-liquid assets include, but are not limited to, real estate, motor vehicles, motor vessels, livestock, tools, machinery, and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 </w:t>
      </w:r>
      <w:r>
        <w:rPr>
          <w:rFonts w:ascii="Times New Roman" w:hAnsi="Times New Roman"/>
          <w:b w:val="false"/>
          <w:i w:val="false"/>
          <w:color w:val="000000"/>
          <w:sz w:val="22"/>
        </w:rPr>
        <w:t xml:space="preserve">means the same as defined in Iowa Code section </w:t>
      </w:r>
      <w:hyperlink r:id="rId46">
        <w:r>
          <w:rPr>
            <w:rStyle w:val="Hyperlink"/>
            <w:rFonts w:ascii="Times New Roman" w:hAnsi="Times New Roman"/>
            <w:b w:val="false"/>
            <w:i w:val="false"/>
            <w:color w:val="000000"/>
            <w:sz w:val="22"/>
          </w:rPr>
          <w:t>225C.55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an individual, firm, corporation, association, or institution which is providing or has been approved to provide medical assistance, is accredited under </w:t>
      </w:r>
      <w:hyperlink r:id="rId4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holds a professional license to provide the service, is accredited by a national insurance panel, or holds other national accreditation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 incentive fund” </w:t>
      </w:r>
      <w:r>
        <w:rPr>
          <w:rFonts w:ascii="Times New Roman" w:hAnsi="Times New Roman"/>
          <w:b w:val="false"/>
          <w:i w:val="false"/>
          <w:color w:val="000000"/>
          <w:sz w:val="22"/>
        </w:rPr>
        <w:t xml:space="preserve">means the same as defined in Iowa Code section </w:t>
      </w:r>
      <w:hyperlink r:id="rId48">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administrator”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“regional administrative entity” </w:t>
      </w:r>
      <w:r>
        <w:rPr>
          <w:rFonts w:ascii="Times New Roman" w:hAnsi="Times New Roman"/>
          <w:b w:val="false"/>
          <w:i w:val="false"/>
          <w:color w:val="000000"/>
          <w:sz w:val="22"/>
        </w:rPr>
        <w:t>means the administrative office or organization formed by agreement of the counties participating in a mental health and disability services region to function on behalf of those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service growth factor” </w:t>
      </w:r>
      <w:r>
        <w:rPr>
          <w:rFonts w:ascii="Times New Roman" w:hAnsi="Times New Roman"/>
          <w:b w:val="false"/>
          <w:i w:val="false"/>
          <w:color w:val="000000"/>
          <w:sz w:val="22"/>
        </w:rPr>
        <w:t xml:space="preserve">means the same as defined in Iowa Code section </w:t>
      </w:r>
      <w:hyperlink r:id="rId49">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service fund” </w:t>
      </w:r>
      <w:r>
        <w:rPr>
          <w:rFonts w:ascii="Times New Roman" w:hAnsi="Times New Roman"/>
          <w:b w:val="false"/>
          <w:i w:val="false"/>
          <w:color w:val="000000"/>
          <w:sz w:val="22"/>
        </w:rPr>
        <w:t xml:space="preserve">means the mental health and disability regional service fund created in Iowa Code section </w:t>
      </w:r>
      <w:hyperlink r:id="rId50">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service system management plan” </w:t>
      </w:r>
      <w:r>
        <w:rPr>
          <w:rFonts w:ascii="Times New Roman" w:hAnsi="Times New Roman"/>
          <w:b w:val="false"/>
          <w:i w:val="false"/>
          <w:color w:val="000000"/>
          <w:sz w:val="22"/>
        </w:rPr>
        <w:t xml:space="preserve">means the regional service system plan developed pursuant to Iowa Code section </w:t>
      </w:r>
      <w:hyperlink r:id="rId51">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 xml:space="preserve"> for the funding and administration of non-Medicaid-funded mental health and disability services and includes an annual service and budget plan, a policies and procedures manual, and an annual report and how the region will coordinate with the department in the provision of mental health and disability services funded under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means all liquid and non-liquid assets that are owned in part or in whole by the individual household, that could be converted to cash to use for support and maintenance, and that the individual household is not legally restricted from using for support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“Retirement account” </w:t>
      </w:r>
      <w:r>
        <w:rPr>
          <w:rFonts w:ascii="Times New Roman" w:hAnsi="Times New Roman"/>
          <w:b w:val="false"/>
          <w:i w:val="false"/>
          <w:color w:val="000000"/>
          <w:sz w:val="22"/>
        </w:rPr>
        <w:t xml:space="preserve">means any retirement or pension fund or account listed in Iowa Code section </w:t>
      </w:r>
      <w:hyperlink r:id="rId52">
        <w:r>
          <w:rPr>
            <w:rStyle w:val="Hyperlink"/>
            <w:rFonts w:ascii="Times New Roman" w:hAnsi="Times New Roman"/>
            <w:b w:val="false"/>
            <w:i w:val="false"/>
            <w:color w:val="000000"/>
            <w:sz w:val="22"/>
          </w:rPr>
          <w:t>627.6(8)</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“Retirement account in the accumulation stage” </w:t>
      </w:r>
      <w:r>
        <w:rPr>
          <w:rFonts w:ascii="Times New Roman" w:hAnsi="Times New Roman"/>
          <w:b w:val="false"/>
          <w:i w:val="false"/>
          <w:color w:val="000000"/>
          <w:sz w:val="22"/>
        </w:rPr>
        <w:t>means a retirement account into which a deposit was made in the previous tax year. Any withdrawal from a retirement account becomes a countable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system” </w:t>
      </w:r>
      <w:r>
        <w:rPr>
          <w:rFonts w:ascii="Times New Roman" w:hAnsi="Times New Roman"/>
          <w:b w:val="false"/>
          <w:i w:val="false"/>
          <w:color w:val="000000"/>
          <w:sz w:val="22"/>
        </w:rPr>
        <w:t>refers to the mental health and disability services and supports administered by the regional administrative entity and paid from the regional services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case status” </w:t>
      </w:r>
      <w:r>
        <w:rPr>
          <w:rFonts w:ascii="Times New Roman" w:hAnsi="Times New Roman"/>
          <w:b w:val="false"/>
          <w:i w:val="false"/>
          <w:color w:val="000000"/>
          <w:sz w:val="22"/>
        </w:rPr>
        <w:t>means the standing of an individual who has no 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commission” </w:t>
      </w:r>
      <w:r>
        <w:rPr>
          <w:rFonts w:ascii="Times New Roman" w:hAnsi="Times New Roman"/>
          <w:b w:val="false"/>
          <w:i w:val="false"/>
          <w:color w:val="000000"/>
          <w:sz w:val="22"/>
        </w:rPr>
        <w:t xml:space="preserve">means the same as defined in Iowa Code section </w:t>
      </w:r>
      <w:hyperlink r:id="rId53">
        <w:r>
          <w:rPr>
            <w:rStyle w:val="Hyperlink"/>
            <w:rFonts w:ascii="Times New Roman" w:hAnsi="Times New Roman"/>
            <w:b w:val="false"/>
            <w:i w:val="false"/>
            <w:color w:val="000000"/>
            <w:sz w:val="22"/>
          </w:rPr>
          <w:t>225C.5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of care” </w:t>
      </w:r>
      <w:r>
        <w:rPr>
          <w:rFonts w:ascii="Times New Roman" w:hAnsi="Times New Roman"/>
          <w:b w:val="false"/>
          <w:i w:val="false"/>
          <w:color w:val="000000"/>
          <w:sz w:val="22"/>
        </w:rPr>
        <w:t>means the coordination of a system of services and supports to individuals and their families that ensures they optimally live, work, and recreate in integrated communities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principles” </w:t>
      </w:r>
      <w:r>
        <w:rPr>
          <w:rFonts w:ascii="Times New Roman" w:hAnsi="Times New Roman"/>
          <w:b w:val="false"/>
          <w:i w:val="false"/>
          <w:color w:val="000000"/>
          <w:sz w:val="22"/>
        </w:rPr>
        <w:t>means practices that include individual choice, community and empowerment.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6008C</w:t>
      </w:r>
      <w:r>
        <w:rPr>
          <w:rFonts w:ascii="Times New Roman" w:hAnsi="Times New Roman"/>
          <w:b w:val="false"/>
          <w:i w:val="false"/>
          <w:color w:val="000000"/>
          <w:sz w:val="16"/>
        </w:rPr>
        <w:t>, IAB 11/3/21, effective 10/4/21</w:t>
      </w:r>
      <w:r>
        <w:rPr>
          <w:rFonts w:ascii="Times New Roman" w:hAnsi="Times New Roman"/>
          <w:b w:val="false"/>
          <w:i w:val="false"/>
          <w:color w:val="000000"/>
          <w:sz w:val="16"/>
        </w:rPr>
        <w:t xml:space="preserve">; </w:t>
      </w:r>
      <w:r>
        <w:rPr>
          <w:rFonts w:ascii="Times New Roman" w:hAnsi="Times New Roman"/>
          <w:b/>
          <w:i w:val="false"/>
          <w:color w:val="000000"/>
          <w:sz w:val="16"/>
        </w:rPr>
        <w:t>ARC 6195C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441—25.12</w:t>
      </w:r>
      <w:r>
        <w:rPr>
          <w:rFonts w:ascii="Times New Roman" w:hAnsi="Times New Roman"/>
          <w:b/>
          <w:i w:val="false"/>
          <w:color w:val="000000"/>
          <w:sz w:val="22"/>
        </w:rPr>
        <w:t xml:space="preserve">(225C) </w:t>
      </w:r>
      <w:r>
        <w:rPr>
          <w:rFonts w:ascii="Times New Roman" w:hAnsi="Times New Roman"/>
          <w:b/>
          <w:i w:val="false"/>
          <w:color w:val="000000"/>
          <w:sz w:val="22"/>
        </w:rPr>
        <w:t xml:space="preserve">Regional governance structure. </w:t>
      </w:r>
      <w:r>
        <w:rPr>
          <w:rFonts w:ascii="Times New Roman" w:hAnsi="Times New Roman"/>
          <w:b w:val="false"/>
          <w:i w:val="false"/>
          <w:color w:val="000000"/>
          <w:sz w:val="22"/>
        </w:rPr>
        <w:t xml:space="preserve">The counties comprising a mental health and disability services region shall enter into an agreement to form a regional administrator under the control of a governing board to function on behalf of those counties as defined in Iowa Code chapter </w:t>
      </w:r>
      <w:hyperlink r:id="rId54">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sections </w:t>
      </w:r>
      <w:hyperlink r:id="rId55">
        <w:r>
          <w:rPr>
            <w:rStyle w:val="Hyperlink"/>
            <w:rFonts w:ascii="Times New Roman" w:hAnsi="Times New Roman"/>
            <w:b w:val="false"/>
            <w:i w:val="false"/>
            <w:color w:val="000000"/>
            <w:sz w:val="22"/>
          </w:rPr>
          <w:t>225C.55</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225C.57</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225C.59</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225C.68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color w:val="000000"/>
          <w:sz w:val="22"/>
        </w:rPr>
        <w:t xml:space="preserve">Governing board. </w:t>
      </w:r>
      <w:r>
        <w:rPr>
          <w:rFonts w:ascii="Times New Roman" w:hAnsi="Times New Roman"/>
          <w:b w:val="false"/>
          <w:i w:val="false"/>
          <w:color w:val="000000"/>
          <w:sz w:val="22"/>
        </w:rPr>
        <w:t xml:space="preserve">The governing board shall comply with the provisions of Iowa Code section </w:t>
      </w:r>
      <w:hyperlink r:id="rId59">
        <w:r>
          <w:rPr>
            <w:rStyle w:val="Hyperlink"/>
            <w:rFonts w:ascii="Times New Roman" w:hAnsi="Times New Roman"/>
            <w:b w:val="false"/>
            <w:i w:val="false"/>
            <w:color w:val="000000"/>
            <w:sz w:val="22"/>
          </w:rPr>
          <w:t>225C.57</w:t>
        </w:r>
      </w:hyperlink>
      <w:r>
        <w:rPr>
          <w:rFonts w:ascii="Times New Roman" w:hAnsi="Times New Roman"/>
          <w:b w:val="false"/>
          <w:i w:val="false"/>
          <w:color w:val="000000"/>
          <w:sz w:val="22"/>
        </w:rPr>
        <w:t xml:space="preserve">, Iowa Code chapter </w:t>
      </w:r>
      <w:hyperlink r:id="rId60">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other applicable laws relating to boards and commissions,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governing board shall include the following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of supervisors members’ counties comprising the region. Members representing boards of supervisors shall not exceed 49 percent of the total membership of the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adult person who utilizes mental health and disability services or is an actively involved relative of an adult who utilizes such services, designated by the regional adult mental health and disability services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education system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member who is a parent of a child who utilizes children’s behavioral health services or is an actively involved relative of a child who utilizes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an adult service provider in the region, designated by the regional adult mental health and disability services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a children’s behavioral health service provider in the region, designated by the regional children’s behavioral health services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law enforcement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judicial system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member of the governing board shall have one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governing board shall create a regional adult mental health and disability services advisory committee, which shall designate members to the governing board as defined in Iowa Code section </w:t>
      </w:r>
      <w:hyperlink r:id="rId61">
        <w:r>
          <w:rPr>
            <w:rStyle w:val="Hyperlink"/>
            <w:rFonts w:ascii="Times New Roman" w:hAnsi="Times New Roman"/>
            <w:b w:val="false"/>
            <w:i w:val="false"/>
            <w:color w:val="000000"/>
            <w:sz w:val="22"/>
          </w:rPr>
          <w:t>225C.57(2)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governing board shall create a regional children’s behavioral health services advisory committee, which shall designate members to the governing board as defined in Iowa Code section </w:t>
      </w:r>
      <w:hyperlink r:id="rId62">
        <w:r>
          <w:rPr>
            <w:rStyle w:val="Hyperlink"/>
            <w:rFonts w:ascii="Times New Roman" w:hAnsi="Times New Roman"/>
            <w:b w:val="false"/>
            <w:i w:val="false"/>
            <w:color w:val="000000"/>
            <w:sz w:val="22"/>
          </w:rPr>
          <w:t>225C.57(2)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governing board shall appoint and evaluate the performance of the chief executive officer of the regional administrative entity who will serve as the single point of accountability for the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color w:val="000000"/>
          <w:sz w:val="22"/>
        </w:rPr>
        <w:t xml:space="preserve">Regional administrator. </w:t>
      </w:r>
      <w:r>
        <w:rPr>
          <w:rFonts w:ascii="Times New Roman" w:hAnsi="Times New Roman"/>
          <w:b w:val="false"/>
          <w:i w:val="false"/>
          <w:color w:val="000000"/>
          <w:sz w:val="22"/>
        </w:rPr>
        <w:t xml:space="preserve">The formation of the regional administrator shall be as defined in Iowa Code sections </w:t>
      </w:r>
      <w:hyperlink r:id="rId63">
        <w:r>
          <w:rPr>
            <w:rStyle w:val="Hyperlink"/>
            <w:rFonts w:ascii="Times New Roman" w:hAnsi="Times New Roman"/>
            <w:b w:val="false"/>
            <w:i w:val="false"/>
            <w:color w:val="000000"/>
            <w:sz w:val="22"/>
          </w:rPr>
          <w:t>225C.55</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225C.57</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225C.68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regional administrative entity is under the control of the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regional administrative entity shall enter into and manage performance-based contracts in accordance with Iowa Code section </w:t>
      </w:r>
      <w:hyperlink r:id="rId66">
        <w:r>
          <w:rPr>
            <w:rStyle w:val="Hyperlink"/>
            <w:rFonts w:ascii="Times New Roman" w:hAnsi="Times New Roman"/>
            <w:b w:val="false"/>
            <w:i w:val="false"/>
            <w:color w:val="000000"/>
            <w:sz w:val="22"/>
          </w:rPr>
          <w:t>225C.4(1)</w:t>
        </w:r>
      </w:hyperlink>
      <w:r>
        <w:rPr>
          <w:rFonts w:ascii="Times New Roman" w:hAnsi="Times New Roman"/>
          <w:b w:val="false"/>
          <w:i/>
          <w:color w:val="000000"/>
          <w:sz w:val="22"/>
        </w:rPr>
        <w:t>“x.”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regional administrative entity structure shall have clear lines of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regional administrative entity functions as a lead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regional administrative entity staff shall include one or more coordinators of mental health and disability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regional administrative entity staff shall include one or more coordinators of children’s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25.12(3)</w:t>
      </w:r>
      <w:r>
        <w:rPr>
          <w:rFonts w:ascii="Times New Roman" w:hAnsi="Times New Roman"/>
          <w:b w:val="false"/>
          <w:i w:val="false"/>
          <w:color w:val="000000"/>
          <w:sz w:val="22"/>
        </w:rPr>
        <w:t> </w:t>
      </w:r>
      <w:r>
        <w:rPr>
          <w:rFonts w:ascii="Times New Roman" w:hAnsi="Times New Roman"/>
          <w:b w:val="false"/>
          <w:i/>
          <w:color w:val="000000"/>
          <w:sz w:val="22"/>
        </w:rPr>
        <w:t xml:space="preserve">Regional service system management. </w:t>
      </w:r>
      <w:r>
        <w:rPr>
          <w:rFonts w:ascii="Times New Roman" w:hAnsi="Times New Roman"/>
          <w:b w:val="false"/>
          <w:i w:val="false"/>
          <w:color w:val="000000"/>
          <w:sz w:val="22"/>
        </w:rPr>
        <w:t xml:space="preserve">The region may either directly implement a system of service management and contract with service providers, or contract with a private entity to manage the regional service system, provided all requirements of Iowa Code section </w:t>
      </w:r>
      <w:hyperlink r:id="rId67">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 xml:space="preserve"> are met by the private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441—25.13</w:t>
      </w:r>
      <w:r>
        <w:rPr>
          <w:rFonts w:ascii="Times New Roman" w:hAnsi="Times New Roman"/>
          <w:b/>
          <w:i w:val="false"/>
          <w:color w:val="000000"/>
          <w:sz w:val="22"/>
        </w:rPr>
        <w:t xml:space="preserve">(225C) </w:t>
      </w:r>
      <w:r>
        <w:rPr>
          <w:rFonts w:ascii="Times New Roman" w:hAnsi="Times New Roman"/>
          <w:b/>
          <w:i w:val="false"/>
          <w:color w:val="000000"/>
          <w:sz w:val="22"/>
        </w:rPr>
        <w:t xml:space="preserve">Regional finances.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25.13(1)</w:t>
      </w:r>
      <w:r>
        <w:rPr>
          <w:rFonts w:ascii="Times New Roman" w:hAnsi="Times New Roman"/>
          <w:b w:val="false"/>
          <w:i w:val="false"/>
          <w:color w:val="000000"/>
          <w:sz w:val="22"/>
        </w:rPr>
        <w:t> </w:t>
      </w:r>
      <w:r>
        <w:rPr>
          <w:rFonts w:ascii="Times New Roman" w:hAnsi="Times New Roman"/>
          <w:b w:val="false"/>
          <w:i/>
          <w:color w:val="000000"/>
          <w:sz w:val="22"/>
        </w:rPr>
        <w:t xml:space="preserve">Regional service payments. </w:t>
      </w:r>
      <w:r>
        <w:rPr>
          <w:rFonts w:ascii="Times New Roman" w:hAnsi="Times New Roman"/>
          <w:b w:val="false"/>
          <w:i w:val="false"/>
          <w:color w:val="000000"/>
          <w:sz w:val="22"/>
        </w:rPr>
        <w:t xml:space="preserve">The department will distribute funds from the mental health and disability services regional service fund to regions in accordance with Iowa Code section </w:t>
      </w:r>
      <w:hyperlink r:id="rId68">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 Funds will be distributed in July, October, January, and April.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Funding for non-Medicaid mental health and disability services and children’s behavioral health services is under the control of the governing board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maintained to limit administrative burden and provide public transparency regarding financial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maintained in a combined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used to fund services in accordance with the regional service system management plan and the performance-based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maintained in a county mental health and disability services fund for the deposit of regional service payments for those counties exempted under Iowa Code section </w:t>
      </w:r>
      <w:hyperlink r:id="rId69">
        <w:r>
          <w:rPr>
            <w:rStyle w:val="Hyperlink"/>
            <w:rFonts w:ascii="Times New Roman" w:hAnsi="Times New Roman"/>
            <w:b w:val="false"/>
            <w:i w:val="false"/>
            <w:color w:val="000000"/>
            <w:sz w:val="22"/>
          </w:rPr>
          <w:t>225C.56</w:t>
        </w:r>
      </w:hyperlink>
      <w:r>
        <w:rPr>
          <w:rFonts w:ascii="Times New Roman" w:hAnsi="Times New Roman"/>
          <w:b w:val="false"/>
          <w:i w:val="false"/>
          <w:color w:val="000000"/>
          <w:sz w:val="22"/>
        </w:rPr>
        <w:t>. Expenditures to be made from the county mental health and disability services fund will not be made from any other fund of the county. The exempted county mental health and disability services fund is considered to be the same as a region combined account and is subject to the same requirements as a region combined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25.13(3)</w:t>
      </w:r>
      <w:r>
        <w:rPr>
          <w:rFonts w:ascii="Times New Roman" w:hAnsi="Times New Roman"/>
          <w:b w:val="false"/>
          <w:i w:val="false"/>
          <w:color w:val="000000"/>
          <w:sz w:val="22"/>
        </w:rPr>
        <w:t> </w:t>
      </w:r>
      <w:r>
        <w:rPr>
          <w:rFonts w:ascii="Times New Roman" w:hAnsi="Times New Roman"/>
          <w:b w:val="false"/>
          <w:i/>
          <w:color w:val="000000"/>
          <w:sz w:val="22"/>
        </w:rPr>
        <w:t xml:space="preserve">Accounting system and financial reporting. </w:t>
      </w:r>
      <w:r>
        <w:rPr>
          <w:rFonts w:ascii="Times New Roman" w:hAnsi="Times New Roman"/>
          <w:b w:val="false"/>
          <w:i w:val="false"/>
          <w:color w:val="000000"/>
          <w:sz w:val="22"/>
        </w:rPr>
        <w:t xml:space="preserve">The accounting system and financial reporting to the department shall conform to Iowa Code section </w:t>
      </w:r>
      <w:hyperlink r:id="rId70">
        <w:r>
          <w:rPr>
            <w:rStyle w:val="Hyperlink"/>
            <w:rFonts w:ascii="Times New Roman" w:hAnsi="Times New Roman"/>
            <w:b w:val="false"/>
            <w:i w:val="false"/>
            <w:color w:val="000000"/>
            <w:sz w:val="22"/>
          </w:rPr>
          <w:t>225C.58</w:t>
        </w:r>
      </w:hyperlink>
      <w:r>
        <w:rPr>
          <w:rFonts w:ascii="Times New Roman" w:hAnsi="Times New Roman"/>
          <w:b w:val="false"/>
          <w:i w:val="false"/>
          <w:color w:val="000000"/>
          <w:sz w:val="22"/>
        </w:rPr>
        <w:t xml:space="preserve"> and include all non-Medicaid mental health and disability expenditures. Information shall be separated and identified in a uniform chart of accounts, including but not limited to the following: expenses for administration; purchase of services; and enterprise costs for which the region is a service provider or is directly billing and collecting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25.13(4)</w:t>
      </w:r>
      <w:r>
        <w:rPr>
          <w:rFonts w:ascii="Times New Roman" w:hAnsi="Times New Roman"/>
          <w:b w:val="false"/>
          <w:i w:val="false"/>
          <w:color w:val="000000"/>
          <w:sz w:val="22"/>
        </w:rPr>
        <w:t> </w:t>
      </w:r>
      <w:r>
        <w:rPr>
          <w:rFonts w:ascii="Times New Roman" w:hAnsi="Times New Roman"/>
          <w:b w:val="false"/>
          <w:i/>
          <w:color w:val="000000"/>
          <w:sz w:val="22"/>
        </w:rPr>
        <w:t xml:space="preserve">Ending fund balance. </w:t>
      </w:r>
      <w:r>
        <w:rPr>
          <w:rFonts w:ascii="Times New Roman" w:hAnsi="Times New Roman"/>
          <w:b w:val="false"/>
          <w:i w:val="false"/>
          <w:color w:val="000000"/>
          <w:sz w:val="22"/>
        </w:rPr>
        <w:t>Each region shall certify to the department of human services on or before December 1 the region’s cash flow amount in the combined account at the conclusion of the most recently completed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region must submit the ending fund balance on forms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ending fund balance shall exclude encumbered amounts for which resources already have been committed and been approved by the department in accordance with </w:t>
      </w:r>
      <w:hyperlink r:id="rId71">
        <w:r>
          <w:rPr>
            <w:rStyle w:val="Hyperlink"/>
            <w:rFonts w:ascii="Times New Roman" w:hAnsi="Times New Roman"/>
            <w:b w:val="false"/>
            <w:i w:val="false"/>
            <w:color w:val="000000"/>
            <w:sz w:val="22"/>
          </w:rPr>
          <w:t>subrule 25.13(7)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submission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approved by the region’s governing board prior to submittal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signed by the chairperson of the regional governing board and the regional chief executive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25.13(5)</w:t>
      </w:r>
      <w:r>
        <w:rPr>
          <w:rFonts w:ascii="Times New Roman" w:hAnsi="Times New Roman"/>
          <w:b w:val="false"/>
          <w:i w:val="false"/>
          <w:color w:val="000000"/>
          <w:sz w:val="22"/>
        </w:rPr>
        <w:t> </w:t>
      </w:r>
      <w:r>
        <w:rPr>
          <w:rFonts w:ascii="Times New Roman" w:hAnsi="Times New Roman"/>
          <w:b w:val="false"/>
          <w:i/>
          <w:color w:val="000000"/>
          <w:sz w:val="22"/>
        </w:rPr>
        <w:t xml:space="preserve">Ending balance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region’s certified ending fund balance as determined in </w:t>
      </w:r>
      <w:hyperlink r:id="rId72">
        <w:r>
          <w:rPr>
            <w:rStyle w:val="Hyperlink"/>
            <w:rFonts w:ascii="Times New Roman" w:hAnsi="Times New Roman"/>
            <w:b w:val="false"/>
            <w:i w:val="false"/>
            <w:color w:val="000000"/>
            <w:sz w:val="22"/>
          </w:rPr>
          <w:t>subrule 25.13(4)</w:t>
        </w:r>
      </w:hyperlink>
      <w:r>
        <w:rPr>
          <w:rFonts w:ascii="Times New Roman" w:hAnsi="Times New Roman"/>
          <w:b w:val="false"/>
          <w:i w:val="false"/>
          <w:color w:val="000000"/>
          <w:sz w:val="22"/>
        </w:rPr>
        <w:t xml:space="preserve"> will not exceed a percentage of the region’s actual expenditures for the preceding fiscal year. The ending balance limitations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fiscal year beginning July 1, 2021, the ending balance shall be no more than 40 percent of the actual expenditures of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fiscal year beginning July 1, 2022, the ending balance shall be no more than 20 percent of the actual expenditures of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fiscal year beginning July 1, 2023, and each succeeding fiscal year thereafter, the ending balance shall be no more than 5 percent of the actual expenditures of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region has an ending fund balance more than the limitation, the department will reduce the current fiscal year’s remaining quarterly regional service payments equal to the excess ending fund balance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withholding a region’s remaining quarterly payments does not sufficiently effectuate the required reduction, the region shall pay to the department any additional excess ending fund balance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reductions to regional service payments and amounts paid to the department under </w:t>
      </w:r>
      <w:hyperlink r:id="rId73">
        <w:r>
          <w:rPr>
            <w:rStyle w:val="Hyperlink"/>
            <w:rFonts w:ascii="Times New Roman" w:hAnsi="Times New Roman"/>
            <w:b w:val="false"/>
            <w:i w:val="false"/>
            <w:color w:val="000000"/>
            <w:sz w:val="22"/>
          </w:rPr>
          <w:t>paragraph 25.13(5)</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be transferred and credited to the regional incentive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25.13(6)</w:t>
      </w:r>
      <w:r>
        <w:rPr>
          <w:rFonts w:ascii="Times New Roman" w:hAnsi="Times New Roman"/>
          <w:b w:val="false"/>
          <w:i w:val="false"/>
          <w:color w:val="000000"/>
          <w:sz w:val="22"/>
        </w:rPr>
        <w:t> </w:t>
      </w:r>
      <w:r>
        <w:rPr>
          <w:rFonts w:ascii="Times New Roman" w:hAnsi="Times New Roman"/>
          <w:b w:val="false"/>
          <w:i/>
          <w:color w:val="000000"/>
          <w:sz w:val="22"/>
        </w:rPr>
        <w:t xml:space="preserve">Acceptable encumbrances. </w:t>
      </w:r>
      <w:r>
        <w:rPr>
          <w:rFonts w:ascii="Times New Roman" w:hAnsi="Times New Roman"/>
          <w:b w:val="false"/>
          <w:i w:val="false"/>
          <w:color w:val="000000"/>
          <w:sz w:val="22"/>
        </w:rPr>
        <w:t>A region shall report to the department moneys for which a commitment is imposed and binding.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obligations entered into by the region may be considered an acceptable encumbrance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Existence of evidence as demonstrated by a contract or purchase order that details the services to be delivered and cost to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Entry of the region into executed contracts or binding commitments shall occur through formal action of the region’s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Acceptable encumbrances shall be entered into and fulfilled according to the time frames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year beginning July 1, 2021, funds shall be obligated by the end of the fiscal year. Services shall be fully executed and moneys expended by June 30, 2023.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fiscal year beginning July 1, 2022, funds shall be obligated by the end of the fiscal year. Services shall be fully executed and moneys expended by December 31,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fiscal year beginning July 1, 2023, and each succeeding fiscal year thereafter, funds shall be obligated by the end of the current fiscal year. Services shall be fully executed and moneys expended by August 31 of the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 to 10 percent of the direct and purchased administration expenditure total identified in the region’s current approved annual service and budget plan may be claimed as an encumbrance.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Requests to encumber funds toward multiyear projects with the purpose to provide access to required core services shall be limited to actual needs for the current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25.13(7)</w:t>
      </w:r>
      <w:r>
        <w:rPr>
          <w:rFonts w:ascii="Times New Roman" w:hAnsi="Times New Roman"/>
          <w:b w:val="false"/>
          <w:i w:val="false"/>
          <w:color w:val="000000"/>
          <w:sz w:val="22"/>
        </w:rPr>
        <w:t> </w:t>
      </w:r>
      <w:r>
        <w:rPr>
          <w:rFonts w:ascii="Times New Roman" w:hAnsi="Times New Roman"/>
          <w:b w:val="false"/>
          <w:i/>
          <w:color w:val="000000"/>
          <w:sz w:val="22"/>
        </w:rPr>
        <w:t xml:space="preserve">Encumbrance reporting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region shall submit a detailed accounting of encumbered funds to the department on or before July 31 on forms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to determine whether the region’s reported contracts and binding commitments qualify as acceptable encumbrances.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for expenditure, including a description of activities related to required core services, shall accompany documentation for multiyear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August 31, the department shall notify the region, in writing, of the decision and the accepted amount to be considered encumbered. The decision of the department is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commitments that are denied as acceptable encumbrances shall be included in the calculation of the ending fund balance for the previous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Encumbrances that are not fulfilled within the time frames specified in </w:t>
      </w:r>
      <w:hyperlink r:id="rId74">
        <w:r>
          <w:rPr>
            <w:rStyle w:val="Hyperlink"/>
            <w:rFonts w:ascii="Times New Roman" w:hAnsi="Times New Roman"/>
            <w:b w:val="false"/>
            <w:i w:val="false"/>
            <w:color w:val="000000"/>
            <w:sz w:val="22"/>
          </w:rPr>
          <w:t>subrule 25.13(6)</w:t>
        </w:r>
      </w:hyperlink>
      <w:r>
        <w:rPr>
          <w:rFonts w:ascii="Times New Roman" w:hAnsi="Times New Roman"/>
          <w:b w:val="false"/>
          <w:i w:val="false"/>
          <w:color w:val="000000"/>
          <w:sz w:val="22"/>
        </w:rPr>
        <w:t xml:space="preserve"> shall be included in the ending fund balance amount.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441—25.14</w:t>
      </w:r>
      <w:r>
        <w:rPr>
          <w:rFonts w:ascii="Times New Roman" w:hAnsi="Times New Roman"/>
          <w:b/>
          <w:i w:val="false"/>
          <w:color w:val="000000"/>
          <w:sz w:val="22"/>
        </w:rPr>
        <w:t xml:space="preserve">(225C) </w:t>
      </w:r>
      <w:r>
        <w:rPr>
          <w:rFonts w:ascii="Times New Roman" w:hAnsi="Times New Roman"/>
          <w:b/>
          <w:i w:val="false"/>
          <w:color w:val="000000"/>
          <w:sz w:val="22"/>
        </w:rPr>
        <w:t xml:space="preserve">Regional governance agreement. </w:t>
      </w:r>
      <w:r>
        <w:rPr>
          <w:rFonts w:ascii="Times New Roman" w:hAnsi="Times New Roman"/>
          <w:b w:val="false"/>
          <w:i w:val="false"/>
          <w:color w:val="000000"/>
          <w:sz w:val="22"/>
        </w:rPr>
        <w:t xml:space="preserve">The expectations for regional governance agreements entered into by the counties comprising a mental health and disability services region are defined in Iowa Code sections </w:t>
      </w:r>
      <w:hyperlink r:id="rId75">
        <w:r>
          <w:rPr>
            <w:rStyle w:val="Hyperlink"/>
            <w:rFonts w:ascii="Times New Roman" w:hAnsi="Times New Roman"/>
            <w:b w:val="false"/>
            <w:i w:val="false"/>
            <w:color w:val="000000"/>
            <w:sz w:val="22"/>
          </w:rPr>
          <w:t>28E.1</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225C.55</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225C.57</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225C.59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provisions. </w:t>
      </w:r>
      <w:r>
        <w:rPr>
          <w:rFonts w:ascii="Times New Roman" w:hAnsi="Times New Roman"/>
          <w:b w:val="false"/>
          <w:i w:val="false"/>
          <w:color w:val="000000"/>
          <w:sz w:val="22"/>
        </w:rPr>
        <w:t>The organizational provisions of the regional governance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purpose, goals, and objective of entering into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the governing board membership and the terms, methods of appointment, and voting procedures, including whether or not voting will be weighted.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process for selecting the executive staff, including but not limited to the chief executive officer of the regional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counties participating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time period of the agreement and terms for termination or renewal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for joining a region. Additional counties may join the region. The agreement shall not prohibit a county from being assigned by the department to a region according to Iowa Code section </w:t>
      </w:r>
      <w:hyperlink r:id="rId79">
        <w:r>
          <w:rPr>
            <w:rStyle w:val="Hyperlink"/>
            <w:rFonts w:ascii="Times New Roman" w:hAnsi="Times New Roman"/>
            <w:b w:val="false"/>
            <w:i w:val="false"/>
            <w:color w:val="000000"/>
            <w:sz w:val="22"/>
          </w:rPr>
          <w:t>225C.56(4)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for dispute resolution and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Methods for termination of a county’s participation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Provision for formation and assigned responsibilities for one or more regional advisory committees for adult mental health and disability services consisting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who utilize services or the actively involved relatives of such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providers of adult mental health and disability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Governing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interests identified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Provision for formation and assigned responsibilities for one or more regional advisory committees for children’s behavioral health services consisting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of a child who utilizes services or an actively involved relative of such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of the education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early childhood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child welfare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children’s behavioral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member of the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pediatrician.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child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local law enforcement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regional governing board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Methods for reimbursing member counties if county employees are conducting regional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provisions. </w:t>
      </w:r>
      <w:r>
        <w:rPr>
          <w:rFonts w:ascii="Times New Roman" w:hAnsi="Times New Roman"/>
          <w:b w:val="false"/>
          <w:i w:val="false"/>
          <w:color w:val="000000"/>
          <w:sz w:val="22"/>
        </w:rPr>
        <w:t>The administrative provisions of the regional governance agreement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whether the region will either directly implement a system of service management or contract with a private entity to manage the regional service system as defined in Iowa Code section </w:t>
      </w:r>
      <w:hyperlink r:id="rId80">
        <w:r>
          <w:rPr>
            <w:rStyle w:val="Hyperlink"/>
            <w:rFonts w:ascii="Times New Roman" w:hAnsi="Times New Roman"/>
            <w:b w:val="false"/>
            <w:i w:val="false"/>
            <w:color w:val="000000"/>
            <w:sz w:val="22"/>
          </w:rPr>
          <w:t>225C.60(7)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Responsibility of the governing board in appointing and evaluating the performance of the chief executive officer of the regional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list of the functions and responsibilities of the regional administrative entity’s chief executive officer and other staff including but not limited to coordinators of mental health and disability services and coordinators of children’s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Specification of the functions to be carried out by each party to the agreement and by any subcontractor of a party to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25.14(3)</w:t>
      </w:r>
      <w:r>
        <w:rPr>
          <w:rFonts w:ascii="Times New Roman" w:hAnsi="Times New Roman"/>
          <w:b w:val="false"/>
          <w:i w:val="false"/>
          <w:color w:val="000000"/>
          <w:sz w:val="22"/>
        </w:rPr>
        <w:t> </w:t>
      </w:r>
      <w:r>
        <w:rPr>
          <w:rFonts w:ascii="Times New Roman" w:hAnsi="Times New Roman"/>
          <w:b w:val="false"/>
          <w:i/>
          <w:color w:val="000000"/>
          <w:sz w:val="22"/>
        </w:rPr>
        <w:t xml:space="preserve">Financial provisions. </w:t>
      </w:r>
      <w:r>
        <w:rPr>
          <w:rFonts w:ascii="Times New Roman" w:hAnsi="Times New Roman"/>
          <w:b w:val="false"/>
          <w:i w:val="false"/>
          <w:color w:val="000000"/>
          <w:sz w:val="22"/>
        </w:rPr>
        <w:t>The financial provisions of the regional governance agreement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for pooling, managing and expending funds under control of the regional administrative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for allocating administrative funding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for allocating a region’s cash flow amount in the event a county leaves the region. A region’s cash flow amount shall be divided by the percentage of each county’s population according to the region’s population indicated in the region’s annual service and budget plan and shall be allocated to the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for contributing initial funds to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Methods for acquiring or disposing of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process for how to use savings achieved for reinvestment.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process for performance of an annual independent audit of the regional administrator, and methods for submitting the audit to the department upon completion.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5956C</w:t>
      </w:r>
      <w:r>
        <w:rPr>
          <w:rFonts w:ascii="Times New Roman" w:hAnsi="Times New Roman"/>
          <w:b w:val="false"/>
          <w:i w:val="false"/>
          <w:color w:val="000000"/>
          <w:sz w:val="16"/>
        </w:rPr>
        <w:t>, IAB 10/6/21, effective 12/1/21</w:t>
      </w:r>
      <w:r>
        <w:rPr>
          <w:rFonts w:ascii="Times New Roman" w:hAnsi="Times New Roman"/>
          <w:b w:val="false"/>
          <w:i w:val="false"/>
          <w:color w:val="000000"/>
          <w:sz w:val="16"/>
        </w:rPr>
        <w:t xml:space="preserve">; </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441—25.15</w:t>
      </w:r>
      <w:r>
        <w:rPr>
          <w:rFonts w:ascii="Times New Roman" w:hAnsi="Times New Roman"/>
          <w:b/>
          <w:i w:val="false"/>
          <w:color w:val="000000"/>
          <w:sz w:val="22"/>
        </w:rPr>
        <w:t xml:space="preserve">(225C) </w:t>
      </w:r>
      <w:r>
        <w:rPr>
          <w:rFonts w:ascii="Times New Roman" w:hAnsi="Times New Roman"/>
          <w:b/>
          <w:i w:val="false"/>
          <w:color w:val="000000"/>
          <w:sz w:val="22"/>
        </w:rPr>
        <w:t xml:space="preserve">Eligibility, diagnosis, and functional assessment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mental health services. </w:t>
      </w:r>
      <w:r>
        <w:rPr>
          <w:rFonts w:ascii="Times New Roman" w:hAnsi="Times New Roman"/>
          <w:b w:val="false"/>
          <w:i w:val="false"/>
          <w:color w:val="000000"/>
          <w:sz w:val="22"/>
        </w:rPr>
        <w:t>An individual must comply with all of the following requirements to be eligible for mental health services under the regional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complies with the financial eligibility requirements in rule 441—</w:t>
      </w:r>
      <w:hyperlink r:id="rId81">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is a resident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had at any time during the preceding 12-month period a mental health, behavioral, or emotional disorder or, in the opinion of a mental health professional, may now have such a diagnosable disorder. The diagnosis shall be made in accordance with the criteria provided in the most recent Diagnostic and Statistical Manual of Mental Disorders published by the American Psychiatric Association (published 2013, with all changes and updates approved by the American Psychiatric Association through September 2023 incorporated herein) and shall not include the manual’s “V” codes identifying conditions other than a disease or injury. The diagnosis shall also not include substance-related disorders, dementia, antisocial personality, or developmental disabilities, unless co-occurring with another diagnosable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results of a standardized functional assessment support the need for mental health services of the type and frequency identified in the individual’s case plan. The standardized functional assessment methodology shall be designated for mental health services by the director in consultation with the state commission. A functional assessment must be completed within 90 days of application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children’s behavioral health services. </w:t>
      </w:r>
      <w:r>
        <w:rPr>
          <w:rFonts w:ascii="Times New Roman" w:hAnsi="Times New Roman"/>
          <w:b w:val="false"/>
          <w:i w:val="false"/>
          <w:color w:val="000000"/>
          <w:sz w:val="22"/>
        </w:rPr>
        <w:t>An individual must comply with all of the following requirements to be eligible for children’s behavioral health services under the regional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 child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custodial parent is a resident of the state of Iowa, and the child is physically present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family meets the financial eligibility requirements in rule 441—</w:t>
      </w:r>
      <w:hyperlink r:id="rId82">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has been diagnosed with a serious emotional disturbance. A serious emotional disturbance diagnosis is not required to access comprehensive facility and community-based crisis services according to Iowa Code section </w:t>
      </w:r>
      <w:hyperlink r:id="rId83">
        <w:r>
          <w:rPr>
            <w:rStyle w:val="Hyperlink"/>
            <w:rFonts w:ascii="Times New Roman" w:hAnsi="Times New Roman"/>
            <w:b w:val="false"/>
            <w:i w:val="false"/>
            <w:color w:val="000000"/>
            <w:sz w:val="22"/>
          </w:rPr>
          <w:t>225C.66(4)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25.15(3)</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intellectual disability services. </w:t>
      </w:r>
      <w:r>
        <w:rPr>
          <w:rFonts w:ascii="Times New Roman" w:hAnsi="Times New Roman"/>
          <w:b w:val="false"/>
          <w:i w:val="false"/>
          <w:color w:val="000000"/>
          <w:sz w:val="22"/>
        </w:rPr>
        <w:t>An individual must comply with all of the following requirements to be eligible for intellectual disability services under the regional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complies with the financial eligibility requirements in rule 441—</w:t>
      </w:r>
      <w:hyperlink r:id="rId84">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is a resident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a diagnosis of intellectual disability as defined by rule </w:t>
      </w:r>
      <w:hyperlink r:id="rId85">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results of a standardized functional assessment support the need for intellectual disability services of the type and frequency identified in the individual’s case plan. The standardized functional assessment methodology shall be designated for intellectual services by the director in consultation with the state commission. A functional assessment must be completed within 90 days of application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for intellectual disability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is 17 years of age, is a resident of this state, and is receiving publicly funded children’s services may be considered eligible for services through the regional service system during the three-month period preceding the individual’s eighteenth birthday in order to provide a smooth transition from children’s to adult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less than 18 years of age and a resident of the state may be considered eligible for those intellectual disability services made available to all or a portion of the residents of the region of the same age and eligibility class under the county management plan of one or more counties of the region applicable prior to formation of the region. Eligibility for services under this paragraph is limited to availability of regional service system funds without limiting or reducing core services, and if part of the approved regional service system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brain injury services. </w:t>
      </w:r>
      <w:r>
        <w:rPr>
          <w:rFonts w:ascii="Times New Roman" w:hAnsi="Times New Roman"/>
          <w:b w:val="false"/>
          <w:i w:val="false"/>
          <w:color w:val="000000"/>
          <w:sz w:val="22"/>
        </w:rPr>
        <w:t>An individual must comply with all of the following requirements to be eligible for brain injury services under the regional service system, if such services were provided to the same class of individuals by a county in the region prior to regional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complies with the financial eligibility requirements in rule 441—</w:t>
      </w:r>
      <w:hyperlink r:id="rId86">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is a resident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a diagnosis of brain injury as defined in rule </w:t>
      </w:r>
      <w:hyperlink r:id="rId87">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results of a standardized functional assessment support the need for brain injury services of the type and frequency identified in the individual’s case plan. The standardized functional assessment methodology used is the methodology approved for brain injury services by the director in consultation with the state commission. A functional assessment must be completed within 90 days of application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25.15(6)</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for brain injury services. </w:t>
      </w:r>
      <w:r>
        <w:rPr>
          <w:rFonts w:ascii="Times New Roman" w:hAnsi="Times New Roman"/>
          <w:b w:val="false"/>
          <w:i w:val="false"/>
          <w:color w:val="000000"/>
          <w:sz w:val="22"/>
        </w:rPr>
        <w:t>An individual who is 17 years of age, is a resident of this state, and is receiving publicly funded children’s services may be considered eligible for services through the regional service system during the three-month period preceding the individual’s eighteenth birthday in order to provide a smooth transition from children’s to adult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25.15(7)</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developmental disability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Until funding is designated for other service populations, eligibility for the core service domains shall be as identified in Iowa Code section </w:t>
      </w:r>
      <w:hyperlink r:id="rId88">
        <w:r>
          <w:rPr>
            <w:rStyle w:val="Hyperlink"/>
            <w:rFonts w:ascii="Times New Roman" w:hAnsi="Times New Roman"/>
            <w:b w:val="false"/>
            <w:i w:val="false"/>
            <w:color w:val="000000"/>
            <w:sz w:val="22"/>
          </w:rPr>
          <w:t>225C.65(2)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county in a region was providing services to an eligibility class of individuals with a developmental disability other than intellectual disability prior to formation of the region, the class of individuals shall remain eligible for the services provided when the region is formed, providing that funds are available to continue such services without limiting or reducing core services. The individual must also meet the requirements in paragraphs 25.15(7)</w:t>
      </w:r>
      <w:r>
        <w:rPr>
          <w:rFonts w:ascii="Times New Roman" w:hAnsi="Times New Roman"/>
          <w:b w:val="false"/>
          <w:i/>
          <w:color w:val="000000"/>
          <w:sz w:val="22"/>
        </w:rPr>
        <w:t>“c,” “d,” “e”</w:t>
      </w:r>
      <w:r>
        <w:rPr>
          <w:rFonts w:ascii="Times New Roman" w:hAnsi="Times New Roman"/>
          <w:b w:val="false"/>
          <w:i w:val="false"/>
          <w:color w:val="000000"/>
          <w:sz w:val="22"/>
        </w:rPr>
        <w:t xml:space="preserve"> and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complies with the financial eligibility requirements in rule 441—</w:t>
      </w:r>
      <w:hyperlink r:id="rId89">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is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is a resident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a diagnosis of a developmental disability other than an intellectual disability as defined in rule </w:t>
      </w:r>
      <w:hyperlink r:id="rId90">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441—25.16</w:t>
      </w:r>
      <w:r>
        <w:rPr>
          <w:rFonts w:ascii="Times New Roman" w:hAnsi="Times New Roman"/>
          <w:b/>
          <w:i w:val="false"/>
          <w:color w:val="000000"/>
          <w:sz w:val="22"/>
        </w:rPr>
        <w:t xml:space="preserve">(225C) </w:t>
      </w:r>
      <w:r>
        <w:rPr>
          <w:rFonts w:ascii="Times New Roman" w:hAnsi="Times New Roman"/>
          <w:b/>
          <w:i w:val="false"/>
          <w:color w:val="000000"/>
          <w:sz w:val="22"/>
        </w:rPr>
        <w:t xml:space="preserve">Financial eligibility requirements. </w:t>
      </w:r>
      <w:r>
        <w:rPr>
          <w:rFonts w:ascii="Times New Roman" w:hAnsi="Times New Roman"/>
          <w:b w:val="false"/>
          <w:i w:val="false"/>
          <w:color w:val="000000"/>
          <w:sz w:val="22"/>
        </w:rPr>
        <w:t xml:space="preserve">The regional service system management plan shall identify basic financial eligibility standards for mental health and disability services as defined in Iowa Code sections </w:t>
      </w:r>
      <w:hyperlink r:id="rId91">
        <w:r>
          <w:rPr>
            <w:rStyle w:val="Hyperlink"/>
            <w:rFonts w:ascii="Times New Roman" w:hAnsi="Times New Roman"/>
            <w:b w:val="false"/>
            <w:i w:val="false"/>
            <w:color w:val="000000"/>
            <w:sz w:val="22"/>
          </w:rPr>
          <w:t>225C.62</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225C.64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25.16(1)</w:t>
      </w:r>
      <w:r>
        <w:rPr>
          <w:rFonts w:ascii="Times New Roman" w:hAnsi="Times New Roman"/>
          <w:b w:val="false"/>
          <w:i w:val="false"/>
          <w:color w:val="000000"/>
          <w:sz w:val="22"/>
        </w:rPr>
        <w:t> </w:t>
      </w:r>
      <w:r>
        <w:rPr>
          <w:rFonts w:ascii="Times New Roman" w:hAnsi="Times New Roman"/>
          <w:b w:val="false"/>
          <w:i/>
          <w:color w:val="000000"/>
          <w:sz w:val="22"/>
        </w:rPr>
        <w:t xml:space="preserve">Income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requirements for adult mental health and disability services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have an income equal to or less than 150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 is eligible for federally funded services and other support must apply for such services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requirements for children’s behavioral health services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family has countable household income equal to or less than 500 percent of the federal poverty level. Countable household income and family size shall be determined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child whose family’s countable household income is at least 150 percent and not more than 500 percent of the federal poverty level shall be subject to a cost share as described in subrule </w:t>
      </w:r>
      <w:hyperlink r:id="rId93">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Income shall be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stubs, tip records and employers’ statements are acceptable forms of verification of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Self-employment income can be verified through business records from the previous year if they are representative of anticipated earnings. If business records from the previous year are not representative of anticipated earnings, an average of the business records from the previous two or three years may be used if that average is representative of anticipated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Changes in income. Financial eligibility shall be reviewed on an annual basis and may be reviewed more often in response to increases or decreases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child who is eligible for federally funded services and other support must apply for such services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25.16(2)</w:t>
      </w:r>
      <w:r>
        <w:rPr>
          <w:rFonts w:ascii="Times New Roman" w:hAnsi="Times New Roman"/>
          <w:b w:val="false"/>
          <w:i w:val="false"/>
          <w:color w:val="000000"/>
          <w:sz w:val="22"/>
        </w:rPr>
        <w:t> </w:t>
      </w:r>
      <w:r>
        <w:rPr>
          <w:rFonts w:ascii="Times New Roman" w:hAnsi="Times New Roman"/>
          <w:b w:val="false"/>
          <w:i/>
          <w:color w:val="000000"/>
          <w:sz w:val="22"/>
        </w:rPr>
        <w:t xml:space="preserve">Resource requirements. </w:t>
      </w:r>
      <w:r>
        <w:rPr>
          <w:rFonts w:ascii="Times New Roman" w:hAnsi="Times New Roman"/>
          <w:b w:val="false"/>
          <w:i w:val="false"/>
          <w:color w:val="000000"/>
          <w:sz w:val="22"/>
        </w:rPr>
        <w:t>There are no resource limits for the family of a child seeking children’s behavioral health services. An adult seeking mental health and disability services must have resources that are equal to or less than $2,000 in countable value for a single-person household or $3,000 in countable value for a multiperson household or follow the most recent federal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countable value of all countable resources, both liquid and non-liquid, shall be included in the eligibility determination except as exempted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transfer of property or other assets within five years of the time of application with the result of, or intent to, qualify for assistance may result in denial or discontinuation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resources shall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homestead, including equity in a family home or farm that is used as the individual household’s principal place of residence. The homestead shall include all land that is contiguous to the home and the buildings located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automobile used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Tools of an actively pursued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household furnishings and personal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Cash surrender value of life insurance with a face value of less than $1,500 on any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resource determined excludable by the Social Security Administration as a result of an approved Social Security Administration work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qualify for federally funded or state-funded services or other support but meets all income, resource, and functional eligibility requirements of this chapter, the following types of resources shall additionally be considered exempt from consideration in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retirement account that is in the accumulation 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savings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who is eligible for federally funded services and other support must apply for and accept such funding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25.16(3)</w:t>
      </w:r>
      <w:r>
        <w:rPr>
          <w:rFonts w:ascii="Times New Roman" w:hAnsi="Times New Roman"/>
          <w:b w:val="false"/>
          <w:i w:val="false"/>
          <w:color w:val="000000"/>
          <w:sz w:val="22"/>
        </w:rPr>
        <w:t> </w:t>
      </w:r>
      <w:r>
        <w:rPr>
          <w:rFonts w:ascii="Times New Roman" w:hAnsi="Times New Roman"/>
          <w:b w:val="false"/>
          <w:i/>
          <w:color w:val="000000"/>
          <w:sz w:val="22"/>
        </w:rPr>
        <w:t xml:space="preserve">Cost-share standards. </w:t>
      </w:r>
      <w:r>
        <w:rPr>
          <w:rFonts w:ascii="Times New Roman" w:hAnsi="Times New Roman"/>
          <w:b w:val="false"/>
          <w:i w:val="false"/>
          <w:color w:val="000000"/>
          <w:sz w:val="22"/>
        </w:rPr>
        <w:t xml:space="preserve">A regional administrative entity must comply with cost-share standards as defined in Iowa Code sections </w:t>
      </w:r>
      <w:hyperlink r:id="rId94">
        <w:r>
          <w:rPr>
            <w:rStyle w:val="Hyperlink"/>
            <w:rFonts w:ascii="Times New Roman" w:hAnsi="Times New Roman"/>
            <w:b w:val="false"/>
            <w:i w:val="false"/>
            <w:color w:val="000000"/>
            <w:sz w:val="22"/>
          </w:rPr>
          <w:t>225C.62</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225C.64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 sharing is allowed for adults with income above 150 percent of the federal poverty level as defined by the most recently revised poverty guidelines published by the United States Department of Health and Human Services.</w:t>
      </w:r>
    </w:p>
    <w:p>
      <w:pPr>
        <w:spacing w:before="0" w:after="0"/>
        <w:ind w:left="120"/>
        <w:jc w:val="both"/>
      </w:pPr>
      <w:r>
        <w:rPr>
          <w:rFonts w:ascii="Times New Roman" w:hAnsi="Times New Roman"/>
          <w:b w:val="false"/>
          <w:i w:val="false"/>
          <w:color w:val="000000"/>
          <w:sz w:val="22"/>
        </w:rPr>
        <w:t xml:space="preserve">Cost-share amounts for regionally funded adult mental health and disability services in this rule are related to core services as defined in Iowa Code section </w:t>
      </w:r>
      <w:hyperlink r:id="rId96">
        <w:r>
          <w:rPr>
            <w:rStyle w:val="Hyperlink"/>
            <w:rFonts w:ascii="Times New Roman" w:hAnsi="Times New Roman"/>
            <w:b w:val="false"/>
            <w:i w:val="false"/>
            <w:color w:val="000000"/>
            <w:sz w:val="22"/>
          </w:rPr>
          <w:t>225C.65</w:t>
        </w:r>
      </w:hyperlink>
      <w:r>
        <w:rPr>
          <w:rFonts w:ascii="Times New Roman" w:hAnsi="Times New Roman"/>
          <w:b w:val="false"/>
          <w:i w:val="false"/>
          <w:color w:val="000000"/>
          <w:sz w:val="22"/>
        </w:rPr>
        <w:t xml:space="preserve"> and must be identified in the enrollment and eligibility section of the region’s policy and procedures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Cost-share amounts for children’s behavioral health services are applicable to core services as defined in Iowa Code section </w:t>
      </w:r>
      <w:hyperlink r:id="rId97">
        <w:r>
          <w:rPr>
            <w:rStyle w:val="Hyperlink"/>
            <w:rFonts w:ascii="Times New Roman" w:hAnsi="Times New Roman"/>
            <w:b w:val="false"/>
            <w:i w:val="false"/>
            <w:color w:val="000000"/>
            <w:sz w:val="22"/>
          </w:rPr>
          <w:t>225C.66</w:t>
        </w:r>
      </w:hyperlink>
      <w:r>
        <w:rPr>
          <w:rFonts w:ascii="Times New Roman" w:hAnsi="Times New Roman"/>
          <w:b w:val="false"/>
          <w:i w:val="false"/>
          <w:color w:val="000000"/>
          <w:sz w:val="22"/>
        </w:rPr>
        <w:t>. The family of a child receiving regional funding for behavioral health services shall be responsible for a cost-share amount based on the family’s household income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Family Income as a % of FPL</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Cost Share % Paid by Family</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 to 150%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151 to 200% </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201 to 250% </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251 to 300%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301 to 350% </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351 to 400%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401 to 450%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451 to 500%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w:t>
            </w:r>
          </w:p>
        </w:tc>
      </w:tr>
      <w:tr>
        <w:trPr>
          <w:trHeight w:val="225" w:hRule="atLeast"/>
        </w:trPr>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Over 500%</w:t>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25.16(4)</w:t>
      </w:r>
      <w:r>
        <w:rPr>
          <w:rFonts w:ascii="Times New Roman" w:hAnsi="Times New Roman"/>
          <w:b w:val="false"/>
          <w:i w:val="false"/>
          <w:color w:val="000000"/>
          <w:sz w:val="22"/>
        </w:rPr>
        <w:t> </w:t>
      </w:r>
      <w:r>
        <w:rPr>
          <w:rFonts w:ascii="Times New Roman" w:hAnsi="Times New Roman"/>
          <w:b w:val="false"/>
          <w:i/>
          <w:color w:val="000000"/>
          <w:sz w:val="22"/>
        </w:rPr>
        <w:t xml:space="preserve">Cost-share standards required by any federal, state, regional, or municipal program. </w:t>
      </w:r>
      <w:r>
        <w:rPr>
          <w:rFonts w:ascii="Times New Roman" w:hAnsi="Times New Roman"/>
          <w:b w:val="false"/>
          <w:i w:val="false"/>
          <w:color w:val="000000"/>
          <w:sz w:val="22"/>
        </w:rPr>
        <w:t>Any cost sharing or other client participation required by any federal, state, regional or municipal program in which the individual participates shall be required by the regional administrative entity. Such cost sharing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Client participation for maintenance in a residential care facility through the state supplementary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financial liability for institutional services paid by counties as provided in Iowa Code section </w:t>
      </w:r>
      <w:hyperlink r:id="rId98">
        <w:r>
          <w:rPr>
            <w:rStyle w:val="Hyperlink"/>
            <w:rFonts w:ascii="Times New Roman" w:hAnsi="Times New Roman"/>
            <w:b w:val="false"/>
            <w:i w:val="false"/>
            <w:color w:val="000000"/>
            <w:sz w:val="22"/>
          </w:rPr>
          <w:t>230.15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financial liability for attorney fees related to commitment as provided by Iowa Code section </w:t>
      </w:r>
      <w:hyperlink r:id="rId99">
        <w:r>
          <w:rPr>
            <w:rStyle w:val="Hyperlink"/>
            <w:rFonts w:ascii="Times New Roman" w:hAnsi="Times New Roman"/>
            <w:b w:val="false"/>
            <w:i w:val="false"/>
            <w:color w:val="000000"/>
            <w:sz w:val="22"/>
          </w:rPr>
          <w:t>229.8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441—25.17</w:t>
      </w:r>
      <w:r>
        <w:rPr>
          <w:rFonts w:ascii="Times New Roman" w:hAnsi="Times New Roman"/>
          <w:b/>
          <w:i w:val="false"/>
          <w:color w:val="000000"/>
          <w:sz w:val="22"/>
        </w:rPr>
        <w:t xml:space="preserve">(225C) </w:t>
      </w:r>
      <w:r>
        <w:rPr>
          <w:rFonts w:ascii="Times New Roman" w:hAnsi="Times New Roman"/>
          <w:b/>
          <w:i w:val="false"/>
          <w:color w:val="000000"/>
          <w:sz w:val="22"/>
        </w:rPr>
        <w:t xml:space="preserve">Exempted counties. </w:t>
      </w:r>
      <w:r>
        <w:rPr>
          <w:rFonts w:ascii="Times New Roman" w:hAnsi="Times New Roman"/>
          <w:b w:val="false"/>
          <w:i w:val="false"/>
          <w:color w:val="000000"/>
          <w:sz w:val="22"/>
        </w:rPr>
        <w:t xml:space="preserve">If a county has been exempted pursuant to Iowa Code section </w:t>
      </w:r>
      <w:hyperlink r:id="rId100">
        <w:r>
          <w:rPr>
            <w:rStyle w:val="Hyperlink"/>
            <w:rFonts w:ascii="Times New Roman" w:hAnsi="Times New Roman"/>
            <w:b w:val="false"/>
            <w:i w:val="false"/>
            <w:color w:val="000000"/>
            <w:sz w:val="22"/>
          </w:rPr>
          <w:t>225C.56</w:t>
        </w:r>
      </w:hyperlink>
      <w:r>
        <w:rPr>
          <w:rFonts w:ascii="Times New Roman" w:hAnsi="Times New Roman"/>
          <w:b w:val="false"/>
          <w:i w:val="false"/>
          <w:color w:val="000000"/>
          <w:sz w:val="22"/>
        </w:rPr>
        <w:t xml:space="preserve"> from the requirement to enter into a regional service system, the county and the county’s board of supervisors shall fulfill all the requirements of this chapter for a regional service system management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441—25.18</w:t>
      </w:r>
      <w:r>
        <w:rPr>
          <w:rFonts w:ascii="Times New Roman" w:hAnsi="Times New Roman"/>
          <w:b/>
          <w:i w:val="false"/>
          <w:color w:val="000000"/>
          <w:sz w:val="22"/>
        </w:rPr>
        <w:t xml:space="preserve">(225C) </w:t>
      </w:r>
      <w:r>
        <w:rPr>
          <w:rFonts w:ascii="Times New Roman" w:hAnsi="Times New Roman"/>
          <w:b/>
          <w:i w:val="false"/>
          <w:color w:val="000000"/>
          <w:sz w:val="22"/>
        </w:rPr>
        <w:t xml:space="preserve">Annual service and budget plan. </w:t>
      </w:r>
      <w:r>
        <w:rPr>
          <w:rFonts w:ascii="Times New Roman" w:hAnsi="Times New Roman"/>
          <w:b w:val="false"/>
          <w:i w:val="false"/>
          <w:color w:val="000000"/>
          <w:sz w:val="22"/>
        </w:rPr>
        <w:t>The annual service and budget plan shall describe the services to be provided and the cost of those services for the ensuing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service and budget plan is due on April 1 prior to the July 1 implementation of the annual plan and shall be approved by the region’s governing board prior to submittal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25.18(2)</w:t>
      </w:r>
      <w:r>
        <w:rPr>
          <w:rFonts w:ascii="Times New Roman" w:hAnsi="Times New Roman"/>
          <w:b w:val="false"/>
          <w:i w:val="false"/>
          <w:color w:val="000000"/>
          <w:sz w:val="22"/>
        </w:rPr>
        <w:t> </w:t>
      </w:r>
      <w:r>
        <w:rPr>
          <w:rFonts w:ascii="Times New Roman" w:hAnsi="Times New Roman"/>
          <w:b w:val="false"/>
          <w:i w:val="false"/>
          <w:color w:val="000000"/>
          <w:sz w:val="22"/>
        </w:rPr>
        <w:t>The annual service and budget plan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points. A list of the local access points for mental health and disability services and children’s behavioral health services, including the names of the access points and the physical locations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coordination and targeted case management. A list of the service coordination and targeted case management agencies utilized in the region, whether funded by the region, the medical assistance program, or third-party payers, including the physical location and contact information for those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Crisis planning. A list of accredited crisis services available in the region for crisis prevention, response and resolution, including contact information for the agencies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Intensive mental health services. Identification of the intensive mental health services designated by the region according to rule 441—</w:t>
      </w:r>
      <w:hyperlink r:id="rId10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(225C), including the provider name, contact information, and location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Access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Intensive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Children’s behavioral health services. Identification of children’s behavioral health services as described in </w:t>
      </w:r>
      <w:hyperlink r:id="rId102">
        <w:r>
          <w:rPr>
            <w:rStyle w:val="Hyperlink"/>
            <w:rFonts w:ascii="Times New Roman" w:hAnsi="Times New Roman"/>
            <w:b w:val="false"/>
            <w:i w:val="false"/>
            <w:color w:val="000000"/>
            <w:sz w:val="22"/>
          </w:rPr>
          <w:t>subrule 25.2(4)</w:t>
        </w:r>
      </w:hyperlink>
      <w:r>
        <w:rPr>
          <w:rFonts w:ascii="Times New Roman" w:hAnsi="Times New Roman"/>
          <w:b w:val="false"/>
          <w:i w:val="false"/>
          <w:color w:val="000000"/>
          <w:sz w:val="22"/>
        </w:rPr>
        <w:t>, including contact information for the agencies responsible and eligibility requirements or reference to where eligibility requirements can be found in the policies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Scope of services. A description of the scope of services to be provided, a projection of need for the service, and the funding necessary to meet the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scope shall include the regional core services as identified in rule 441—</w:t>
      </w:r>
      <w:hyperlink r:id="rId103">
        <w:r>
          <w:rPr>
            <w:rStyle w:val="Hyperlink"/>
            <w:rFonts w:ascii="Times New Roman" w:hAnsi="Times New Roman"/>
            <w:b w:val="false"/>
            <w:i w:val="false"/>
            <w:color w:val="000000"/>
            <w:sz w:val="22"/>
          </w:rPr>
          <w:t>25.2</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scope shall also include services in addition to the required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Budget and financing provisions for the next year. The provisions shall address how regional, state and other funding sources will be used to meet the service needs within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forecasting measures. A description of the financial forecasting measures used in the identification of service need and funding necessary for services and a financial statement of actual revenues and actual expenses by chart of account codes.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Provider reimbursement provisions. A description of the types of provider reimbursement methods that will be used, including fee for service, compensation for a “system of care” approach, and for use of nontraditional providers. A region also shall provide information on funding approaches that identify and incorporate all services and sources of funding used by the individuals receiving services, including the medical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441—25.19</w:t>
      </w:r>
      <w:r>
        <w:rPr>
          <w:rFonts w:ascii="Times New Roman" w:hAnsi="Times New Roman"/>
          <w:b/>
          <w:i w:val="false"/>
          <w:color w:val="000000"/>
          <w:sz w:val="22"/>
        </w:rPr>
        <w:t xml:space="preserve">(225C) </w:t>
      </w:r>
      <w:r>
        <w:rPr>
          <w:rFonts w:ascii="Times New Roman" w:hAnsi="Times New Roman"/>
          <w:b/>
          <w:i w:val="false"/>
          <w:color w:val="000000"/>
          <w:sz w:val="22"/>
        </w:rPr>
        <w:t xml:space="preserve">Annual service and budget plan approval. </w:t>
      </w:r>
      <w:r>
        <w:rPr>
          <w:rFonts w:ascii="Times New Roman" w:hAnsi="Times New Roman"/>
          <w:b w:val="false"/>
          <w:i w:val="false"/>
          <w:color w:val="000000"/>
          <w:sz w:val="22"/>
        </w:rPr>
        <w:t>The annual service and budget plan shall be submitted each year by April 1. The director shall review all regional annual service and budget plans submitted by the dates specified. If the director finds the regional annual service and budget plan in compliance with these rules and state and federal laws, the director may approve the plan. A plan approved by the director for a fiscal year beginning July 1 shall remain in effect until June 30, subject to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25.19(1)</w:t>
      </w:r>
      <w:r>
        <w:rPr>
          <w:rFonts w:ascii="Times New Roman" w:hAnsi="Times New Roman"/>
          <w:b w:val="false"/>
          <w:i w:val="false"/>
          <w:color w:val="000000"/>
          <w:sz w:val="22"/>
        </w:rPr>
        <w:t> </w:t>
      </w:r>
      <w:r>
        <w:rPr>
          <w:rFonts w:ascii="Times New Roman" w:hAnsi="Times New Roman"/>
          <w:b w:val="false"/>
          <w:i/>
          <w:color w:val="000000"/>
          <w:sz w:val="22"/>
        </w:rPr>
        <w:t xml:space="preserve">Criteria for acceptance. </w:t>
      </w:r>
      <w:r>
        <w:rPr>
          <w:rFonts w:ascii="Times New Roman" w:hAnsi="Times New Roman"/>
          <w:b w:val="false"/>
          <w:i w:val="false"/>
          <w:color w:val="000000"/>
          <w:sz w:val="22"/>
        </w:rPr>
        <w:t>The director shall determine a plan is acceptable when it contains all the required information, meets the criteria described in this division, and is in compliance with all applicable state and federal laws. The director may request additional information to determine whether or not the plan contains all the required information and meets criteria described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Except as specified in subrule </w:t>
      </w:r>
      <w:hyperlink r:id="rId104">
        <w:r>
          <w:rPr>
            <w:rStyle w:val="Hyperlink"/>
            <w:rFonts w:ascii="Times New Roman" w:hAnsi="Times New Roman"/>
            <w:b w:val="false"/>
            <w:i w:val="false"/>
            <w:color w:val="000000"/>
            <w:sz w:val="22"/>
          </w:rPr>
          <w:t>25.19(3)</w:t>
        </w:r>
      </w:hyperlink>
      <w:r>
        <w:rPr>
          <w:rFonts w:ascii="Times New Roman" w:hAnsi="Times New Roman"/>
          <w:b w:val="false"/>
          <w:i w:val="false"/>
          <w:color w:val="000000"/>
          <w:sz w:val="22"/>
        </w:rPr>
        <w:t>, the director shall notify the region in writing of the decision on the plan by June 1 of each year. The decision shall specify that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annual service and budget plan is approved as it was submitted, either with or without supplemental information already requested and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service and budget plan will not be approved until revisions are made. The letter will specify the nature of the revisions requested and the time frames for their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25.19(3)</w:t>
      </w:r>
      <w:r>
        <w:rPr>
          <w:rFonts w:ascii="Times New Roman" w:hAnsi="Times New Roman"/>
          <w:b w:val="false"/>
          <w:i w:val="false"/>
          <w:color w:val="000000"/>
          <w:sz w:val="22"/>
        </w:rPr>
        <w:t> </w:t>
      </w:r>
      <w:r>
        <w:rPr>
          <w:rFonts w:ascii="Times New Roman" w:hAnsi="Times New Roman"/>
          <w:b w:val="false"/>
          <w:i/>
          <w:color w:val="000000"/>
          <w:sz w:val="22"/>
        </w:rPr>
        <w:t xml:space="preserve">Review of late submittals. </w:t>
      </w:r>
      <w:r>
        <w:rPr>
          <w:rFonts w:ascii="Times New Roman" w:hAnsi="Times New Roman"/>
          <w:b w:val="false"/>
          <w:i w:val="false"/>
          <w:color w:val="000000"/>
          <w:sz w:val="22"/>
        </w:rPr>
        <w:t>The director may review plans not submitted by April 1 after all plans submitted by that date have been reviewed. The director will proceed with the late submittals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25.19(4)</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 amendment to the annual service and budget plan shall be approved by the regional governance board and submitted to the department at least 45 days before the date of implementation. Before implementation of any amendment to the plan, the director must approve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Criteria for acceptance. </w:t>
      </w:r>
      <w:r>
        <w:rPr>
          <w:rFonts w:ascii="Times New Roman" w:hAnsi="Times New Roman"/>
          <w:b w:val="false"/>
          <w:i w:val="false"/>
          <w:color w:val="000000"/>
          <w:sz w:val="22"/>
        </w:rPr>
        <w:t>The director shall determine an amendment is acceptable when it contains all the required information and meets the criteria described in this division for the applicable part of the annual service and budget plan and is in compliance with all applicable state and federal laws. The director may request additional information to determine whether or not the amendment contains all the required information and meets criteria described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director shall notify the region, in writing, of the decision on the amendment within 45 days of receipt of the amendment. The decision shall specify either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amendment is approved as it was submitted, either with or without supplemental information already requested and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amendment is not approved. The notification will include why the amendment is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25.19(5)</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r>
        <w:rPr>
          <w:rFonts w:ascii="Times New Roman" w:hAnsi="Times New Roman"/>
          <w:b w:val="false"/>
          <w:i w:val="false"/>
          <w:color w:val="000000"/>
          <w:sz w:val="22"/>
        </w:rPr>
        <w:t>Regions dissatisfied with the director’s decision on a plan or an amendment may file a letter with the director requesting reconsideration. The letter requesting reconsideration must be received within 30 working days of the date of the notice of decision and shall include a request for the director to review the decision and the reasons for dissatisfaction. Within 30 working days of the receipt of the letter requesting reconsideration, the director will review both the reconsideration request and evidence provided. The director shall issue a final decision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441—25.20</w:t>
      </w:r>
      <w:r>
        <w:rPr>
          <w:rFonts w:ascii="Times New Roman" w:hAnsi="Times New Roman"/>
          <w:b/>
          <w:i w:val="false"/>
          <w:color w:val="000000"/>
          <w:sz w:val="22"/>
        </w:rPr>
        <w:t xml:space="preserve">(225C) </w:t>
      </w:r>
      <w:r>
        <w:rPr>
          <w:rFonts w:ascii="Times New Roman" w:hAnsi="Times New Roman"/>
          <w:b/>
          <w:i w:val="false"/>
          <w:color w:val="000000"/>
          <w:sz w:val="22"/>
        </w:rPr>
        <w:t xml:space="preserve">Annual report. </w:t>
      </w:r>
      <w:r>
        <w:rPr>
          <w:rFonts w:ascii="Times New Roman" w:hAnsi="Times New Roman"/>
          <w:b w:val="false"/>
          <w:i w:val="false"/>
          <w:color w:val="000000"/>
          <w:sz w:val="22"/>
        </w:rPr>
        <w:t>The annual report shall describe the services provided, the cost of those services, the number of individuals served, and the outcomes achieved for the previous fiscal year. The annual report is due on December 1 following a completed fiscal year of implementing the annual service and budget plan. The annual report shall include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Services actually provided.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status of service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Actual numbers of children and adults served.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Documentation that each regionally designated access center has met the service standards in </w:t>
      </w:r>
      <w:hyperlink r:id="rId105">
        <w:r>
          <w:rPr>
            <w:rStyle w:val="Hyperlink"/>
            <w:rFonts w:ascii="Times New Roman" w:hAnsi="Times New Roman"/>
            <w:b w:val="false"/>
            <w:i w:val="false"/>
            <w:color w:val="000000"/>
            <w:sz w:val="22"/>
          </w:rPr>
          <w:t>subrule 25.6(1)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Documentation that each regionally designated ACT team has been evaluated for program fidelity, including a peer review as required by </w:t>
      </w:r>
      <w:hyperlink r:id="rId106">
        <w:r>
          <w:rPr>
            <w:rStyle w:val="Hyperlink"/>
            <w:rFonts w:ascii="Times New Roman" w:hAnsi="Times New Roman"/>
            <w:b w:val="false"/>
            <w:i w:val="false"/>
            <w:color w:val="000000"/>
            <w:sz w:val="22"/>
          </w:rPr>
          <w:t>subrule 25.6(2)</w:t>
        </w:r>
      </w:hyperlink>
      <w:r>
        <w:rPr>
          <w:rFonts w:ascii="Times New Roman" w:hAnsi="Times New Roman"/>
          <w:b w:val="false"/>
          <w:i w:val="false"/>
          <w:color w:val="000000"/>
          <w:sz w:val="22"/>
        </w:rPr>
        <w:t>, and documentation of each team’s most recent fidelity score.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Documentation that each regionally designated subacute service has met the service standards in </w:t>
      </w:r>
      <w:hyperlink r:id="rId107">
        <w:r>
          <w:rPr>
            <w:rStyle w:val="Hyperlink"/>
            <w:rFonts w:ascii="Times New Roman" w:hAnsi="Times New Roman"/>
            <w:b w:val="false"/>
            <w:i w:val="false"/>
            <w:color w:val="000000"/>
            <w:sz w:val="22"/>
          </w:rPr>
          <w:t>subrule 25.6(7)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Documentation that each regionally designated intensive residential service home or intensive residential service has met the service standards in </w:t>
      </w:r>
      <w:hyperlink r:id="rId108">
        <w:r>
          <w:rPr>
            <w:rStyle w:val="Hyperlink"/>
            <w:rFonts w:ascii="Times New Roman" w:hAnsi="Times New Roman"/>
            <w:b w:val="false"/>
            <w:i w:val="false"/>
            <w:color w:val="000000"/>
            <w:sz w:val="22"/>
          </w:rPr>
          <w:t>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Financial statement of actual revenues and actual expenditures by chart of account codes, including levies by county.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Outcomes achieved.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441—25.21</w:t>
      </w:r>
      <w:r>
        <w:rPr>
          <w:rFonts w:ascii="Times New Roman" w:hAnsi="Times New Roman"/>
          <w:b/>
          <w:i w:val="false"/>
          <w:color w:val="000000"/>
          <w:sz w:val="22"/>
        </w:rPr>
        <w:t xml:space="preserve">(225C) </w:t>
      </w:r>
      <w:r>
        <w:rPr>
          <w:rFonts w:ascii="Times New Roman" w:hAnsi="Times New Roman"/>
          <w:b/>
          <w:i w:val="false"/>
          <w:color w:val="000000"/>
          <w:sz w:val="22"/>
        </w:rPr>
        <w:t xml:space="preserve">Policies and procedures manual for the regional service system. </w:t>
      </w:r>
      <w:r>
        <w:rPr>
          <w:rFonts w:ascii="Times New Roman" w:hAnsi="Times New Roman"/>
          <w:b w:val="false"/>
          <w:i w:val="false"/>
          <w:color w:val="000000"/>
          <w:sz w:val="22"/>
        </w:rPr>
        <w:t xml:space="preserve">The policies and procedures manual shall describe the policies and process developed to direct the management and administration of the regional service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manual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Financing and delivery of services and supports. A description of the region’s process used to develop and ensure the ongoing financial accountability and delivery of services outlined in the region’s annual service and budget plan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Enrollment. The application and enrollment process that is readily accessible to individuals and their families or authorized representatives shall be included. This procedure shall identify regional access points and where individuals can apply for services and how and when the applications will reach the regional administrative entity’s designated staff for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Eligibility. The process utilized to determine eligibility shall be included in the manual and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criteria used to authorize or deny funding for services and supports. This shall include guidelines for who is eligible to receive services and supports by eligibility group, and type of service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Financial eligibility and copayment criteria, which shall meet the requirements of rule 441—</w:t>
      </w:r>
      <w:hyperlink r:id="rId109">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frames for conducting eligibility determination that provide for timely access to services, including necessary and immediate services not to exceed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 for development of a written notice of decision. The time frame for sending a written notice of decision to the individual and guardian (if applicable) and the service providers identified in the notice shall be included. The notice of decision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Explain the action taken on the application and the reasons for that 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what services are approved and name the service providers.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Outline the individual’s right to appeal.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Describe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Utilization of and access to services. The process for managing utilization of and access to services and other assistance shall be included. The process shall describe how coordination between the services included in the annual service and budget plan and the disability services administered by the state and others will be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Quality management and improvement process. The quality management and improvement process shall at a minimum meet the requirements of the department’s outcome and performance measures process as outlined in Iowa Code sections </w:t>
      </w:r>
      <w:hyperlink r:id="rId110">
        <w:r>
          <w:rPr>
            <w:rStyle w:val="Hyperlink"/>
            <w:rFonts w:ascii="Times New Roman" w:hAnsi="Times New Roman"/>
            <w:b w:val="false"/>
            <w:i w:val="false"/>
            <w:color w:val="000000"/>
            <w:sz w:val="22"/>
          </w:rPr>
          <w:t>225C.4(1)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225C.6A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Risk management and fiscal viability. If the region contracts with a private entity, the manual must include risk management provisions and fiscal viability of the annual services and budget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Targeted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Designation of targeted case management providers. The process used to identify and designate targeted case management providers for the region shall be described. This process shall include the requirement for the implementation of evidence-based practice models of case management within the region. Requirements of this practice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the individual receiving the case management with a choice of providers.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Allowing a service provider to be the case manager but prohibiting the provider from referring that individual only to services administered by the provider.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Provisions to ensure compliance with, but not exceed, federal requirements for conflict-free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Qualifications of targeted case managers. A region’s manual shall require that any targeted case managers or other persons providing service coordination while working for the designated provider meet the qualifications of qualified case managers and supervisors as defined in rule </w:t>
      </w:r>
      <w:hyperlink r:id="rId112">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Targeted case management and service coordination services. Targeted case management and service coordination services utilized in a regional service system shall include but are not limited to the following as defined in Iowa Code section </w:t>
      </w:r>
      <w:hyperlink r:id="rId113">
        <w:r>
          <w:rPr>
            <w:rStyle w:val="Hyperlink"/>
            <w:rFonts w:ascii="Times New Roman" w:hAnsi="Times New Roman"/>
            <w:b w:val="false"/>
            <w:i w:val="false"/>
            <w:color w:val="000000"/>
            <w:sz w:val="22"/>
          </w:rPr>
          <w:t>225C.60(4)</w:t>
        </w:r>
      </w:hyperlink>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Performance and outcome measures relating to the health, safety, school attendance and performance, work performance, and community residency of the individuals receiving the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Standards for delivery of the services, including but not limited to the social history, assessment, service planning, incident reporting, crisis planning, coordination, and monitoring for individuals receiving the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Methodologies for complying with the requirements of paragraph </w:t>
      </w:r>
      <w:hyperlink r:id="rId114">
        <w:r>
          <w:rPr>
            <w:rStyle w:val="Hyperlink"/>
            <w:rFonts w:ascii="Times New Roman" w:hAnsi="Times New Roman"/>
            <w:b w:val="false"/>
            <w:i w:val="false"/>
            <w:color w:val="000000"/>
            <w:sz w:val="22"/>
          </w:rPr>
          <w:t>25.21(1)</w:t>
        </w:r>
        <w:r>
          <w:rPr>
            <w:rFonts w:ascii="Times New Roman" w:hAnsi="Times New Roman"/>
            <w:b w:val="false"/>
            <w:i/>
            <w:color w:val="000000"/>
            <w:sz w:val="22"/>
          </w:rPr>
          <w:t>“g.”</w:t>
        </w:r>
      </w:hyperlink>
      <w:r>
        <w:rPr>
          <w:rFonts w:ascii="Times New Roman" w:hAnsi="Times New Roman"/>
          <w:b w:val="false"/>
          <w:i w:val="false"/>
          <w:color w:val="000000"/>
          <w:sz w:val="22"/>
        </w:rPr>
        <w:t xml:space="preserve"> Methodologies may include the use of electronic record keeping and remote or Internet-based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System of care approach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Decentralized service provision. Measures to provide services in a dispersed manner that meet the minimum access standards of core services and that utilize the strengths and assets of the service providers within and available to the region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Provider network formation and management. The manual shall require that providers that are subject to license, accreditation or approval meet established standards. The manual shall detail the approval process, including criteria, developed to select providers that are not currently subject to license, accreditation or approval standards. The manual shall identify the process the regional administrative entity will use to contract with providers and manage the provider network to ensure it meets the needs of the individuals in the region. The provider network will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contract with a community mental health center that provides services in the individual’s region or with a federally qualified health center that provides psychiatric and outpatient mental health services in the individual’s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Contracts with licensed and accredited providers to provide each service in the required core service domains.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Adequate numbers of licensed and accredited providers to ensure availability of core services so that there is no waiting list for services due to lack of available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contract with an inpatient psychiatric hospital unit or state mental health institute within reasonably close proximity.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Service provider payment provisions. A policy for payment of service providers which describes the method and process of paying for services and supports delivered to the region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Grievance processes. The manual shall develop and implement processes for appealing the decisions of the regional administrative entity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Nonexpedited appeal process. The appeal process shall be based on objective criteria, specify time frames, provide for notification in accessible formats of the decisions to all parties, and provide some assistance to individuals with disabilities using the process. Responsibility for the final step in the appeal process shall be a state administrative law judge in nonexpedited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Expedited appeal process. This appeal process is to be used when the decision of the regional administrative entity concerning an individual varies from the type and amount of service identified to be necessary for the individual in a clinical determination made by a mental health professional and the mental health professional believes that the failure to provide the type and amount of service identified could cause an immediate danger to an individual’s health or safety. This appeal process shall be performed by a mental health professional who is either the administrator of the division of mental health and disability services of the department of human services or the administrator’s designee.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appeal shall be filed within five days of receipt of the notice of decision by the regional administrative entity.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expedited review by the division administrator or designee shall take place within two days of receipt of the request, unless more information is needed. There is an extension of two days from the time the new information is received.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administrator shall issue an order, including a brief statement of findings of fact, conclusions of law, and policy reasons for the order, to justify the decision made concerning the expedited review. If the decision concurs with the contention that there is an immediate danger to the individual’s health or safety, the order shall identify the type and amount of service which shall be provided for the individual. The administrator or designee shall give such notice as is practicable to individuals who are required to comply with the order. The order is effective when issued.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decision of the administrator or designee shall be considered a final agency action and is subject to judicial review in accordance with Iowa Code section </w:t>
      </w:r>
      <w:hyperlink r:id="rId11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of interagency and multisystem collaboration and care coordination. The policies and procedures manual shall describe how the region will collaborate with other funders, other regional service systems, service providers, case management, individuals and their families or authorized representatives, and advocates to ensure that authorized services and supports are responsive to individuals’ needs, consistent with system principles, and cost-efficient. The manual shall describe the process for collaboration with the court to ensure alternatives to commitment and to coordinate funding for services to individuals who are under court-ordered commitment services pursuant to Iowa Code chapter </w:t>
      </w:r>
      <w:hyperlink r:id="rId11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Addressing multioccurring needs. The policies and procedures manual shall include criteria and measures to be used to address the needs of individuals who have two or more co-occurring mental health, intellectual or other developmental disability, brain injury, or substance-related disorders. The manual shall also include criteria and measures to be used to address the needs of individuals with specialized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Service management and functional assessment. The policies and procedures manual shall describe how functional assessments and service management will be incorporated in accordance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system management. The policies and procedures manual shall identify whether the region will be directly implementing a system of service management or will contract with a private entity to manage the regional service system. If the region contracts with a private entity, the region will ensure that all requirements of Iowa Code section </w:t>
      </w:r>
      <w:hyperlink r:id="rId117">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 xml:space="preserve"> and these administrative rules are fulfilled.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Assistance to other than core service populations. The policies and procedures manual shall specify the services populations, other than core service populations, to whom the region will provide assistance if funding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Waiting list criteria. The policies and procedures manual shall specify whether the region will use waiting lists. If the policy and procedures manual specifies the use of waiting lists for funding services and supports, it shall specify criteria for the use and review of each waiting list, including the criteria to be used to determine how and when an individual will be placed on a waiting list. The criteria will include how core services and additional core services will be impacted the least by budgetary limitations. The manual shall specify how waiting list data will be used in future planning.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25.21(2)</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 region’s policy and procedures manual shall be approved by the region’s governing board and is subject to approval by the director of human services. The director shall review all regional policy and procedures manuals. Manuals approved by the director shall remain in effect subject to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 amendment to the policy and procedures manual shall be approved by the regional governance board and submitted to the department at least 45 days before the date of implementation. Before implementation of any amendment to the manual, the director must approve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Criteria for acceptance. </w:t>
      </w:r>
      <w:r>
        <w:rPr>
          <w:rFonts w:ascii="Times New Roman" w:hAnsi="Times New Roman"/>
          <w:b w:val="false"/>
          <w:i w:val="false"/>
          <w:color w:val="000000"/>
          <w:sz w:val="22"/>
        </w:rPr>
        <w:t>The director, in consultation with the state commission, shall determine an amendment is acceptable when it contains all the required information and meets the criteria described in this division for the applicable part of the policy and procedures manual and is in compliance with all applicable state and federal laws. The director may request additional information to determine whether or not the amendment contains all the required information and meets criteria described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director shall notify the region, in writing, of the decision on the amendment within 45 days of receipt of the amendment. The decision shall specify either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amendment is approved as it was submitted, either with or without supplemental information already requested and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amendment is not approved. The notification will explain why the amendment is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25.21(4)</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r>
        <w:rPr>
          <w:rFonts w:ascii="Times New Roman" w:hAnsi="Times New Roman"/>
          <w:b w:val="false"/>
          <w:i w:val="false"/>
          <w:color w:val="000000"/>
          <w:sz w:val="22"/>
        </w:rPr>
        <w:t>Regions dissatisfied with the director’s decision on a manual or an amendment may file a letter with the director requesting reconsideration. The letter of reconsideration must be received within 30 working days of the date of the notice of decision and shall include a request for the director to review the decision and the reasons for dissatisfaction. Within 30 working days of the receipt of the letter requesting reconsideration, the director will review both the reconsideration request and evidence provided. The director shall issue a final decision in writing.</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8">
        <w:r>
          <w:rPr>
            <w:rStyle w:val="Hyperlink"/>
            <w:rFonts w:ascii="Times New Roman" w:hAnsi="Times New Roman"/>
            <w:b w:val="false"/>
            <w:i w:val="false"/>
            <w:color w:val="000000"/>
            <w:sz w:val="22"/>
          </w:rPr>
          <w:t>225C.55 to 225C.67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441—25.22</w:t>
      </w:r>
      <w:r>
        <w:rPr>
          <w:rFonts w:ascii="Times New Roman" w:hAnsi="Times New Roman"/>
          <w:b/>
          <w:i w:val="false"/>
          <w:color w:val="000000"/>
          <w:sz w:val="22"/>
        </w:rPr>
        <w:t xml:space="preserve">(225C) </w:t>
      </w:r>
      <w:r>
        <w:rPr>
          <w:rFonts w:ascii="Times New Roman" w:hAnsi="Times New Roman"/>
          <w:b/>
          <w:i w:val="false"/>
          <w:color w:val="000000"/>
          <w:sz w:val="22"/>
        </w:rPr>
        <w:t xml:space="preserve">Incentive fund application, approval,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regional incentive funds. </w:t>
      </w:r>
      <w:r>
        <w:rPr>
          <w:rFonts w:ascii="Times New Roman" w:hAnsi="Times New Roman"/>
          <w:b w:val="false"/>
          <w:i w:val="false"/>
          <w:color w:val="000000"/>
          <w:sz w:val="22"/>
        </w:rPr>
        <w:t>A mental health and disability services region must submit an application on forms specified by the department with required supporting documentation. An application to receive regional incentive funds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region shall submit the application with supporting documentation electronically to the department by 4:30 p.m. on November 15 of the state fiscal year in which funding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complete and signed by the chairperson of the regional governing board and regional chief executive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supporting documentation shall include evidence to demonstrate compliance with </w:t>
      </w:r>
      <w:hyperlink r:id="rId119">
        <w:r>
          <w:rPr>
            <w:rStyle w:val="Hyperlink"/>
            <w:rFonts w:ascii="Times New Roman" w:hAnsi="Times New Roman"/>
            <w:b w:val="false"/>
            <w:i w:val="false"/>
            <w:color w:val="000000"/>
            <w:sz w:val="22"/>
          </w:rPr>
          <w:t>subrule 25.22(2)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25.22(2)</w:t>
      </w:r>
      <w:r>
        <w:rPr>
          <w:rFonts w:ascii="Times New Roman" w:hAnsi="Times New Roman"/>
          <w:b w:val="false"/>
          <w:i w:val="false"/>
          <w:color w:val="000000"/>
          <w:sz w:val="22"/>
        </w:rPr>
        <w:t> </w:t>
      </w:r>
      <w:r>
        <w:rPr>
          <w:rFonts w:ascii="Times New Roman" w:hAnsi="Times New Roman"/>
          <w:b w:val="false"/>
          <w:i/>
          <w:color w:val="000000"/>
          <w:sz w:val="22"/>
        </w:rPr>
        <w:t xml:space="preserve">Applicant conditions. </w:t>
      </w:r>
      <w:r>
        <w:rPr>
          <w:rFonts w:ascii="Times New Roman" w:hAnsi="Times New Roman"/>
          <w:b w:val="false"/>
          <w:i w:val="false"/>
          <w:color w:val="000000"/>
          <w:sz w:val="22"/>
        </w:rPr>
        <w:t xml:space="preserve">To receive funding, a region must submit to the department sufficient data to demonstrate that the region has met the standards in the region’s performance-based contract outlined in rule </w:t>
      </w:r>
      <w:hyperlink r:id="rId120">
        <w:r>
          <w:rPr>
            <w:rStyle w:val="Hyperlink"/>
            <w:rFonts w:ascii="Times New Roman" w:hAnsi="Times New Roman"/>
            <w:b w:val="false"/>
            <w:i w:val="false"/>
            <w:color w:val="000000"/>
            <w:sz w:val="22"/>
          </w:rPr>
          <w:t>441—25.23(225C)</w:t>
        </w:r>
      </w:hyperlink>
      <w:r>
        <w:rPr>
          <w:rFonts w:ascii="Times New Roman" w:hAnsi="Times New Roman"/>
          <w:b w:val="false"/>
          <w:i w:val="false"/>
          <w:color w:val="000000"/>
          <w:sz w:val="22"/>
        </w:rPr>
        <w:t>. Additionally, the region must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region must be in compliance with the regional service system management plan as defined in Iowa Code section </w:t>
      </w:r>
      <w:hyperlink r:id="rId121">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region’s ending fund balance in the fiscal year that commenced two years prior to the year of application shall meet the ending balance threshold in accordance with Iowa Code section 225C.7A.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region must need incentive funds for one or more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region has an operating deficit, to reimburse the region for a reduction in available funding for core services as the result of the reduction and elimination of the levy.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incentivize quality core services that meet or exceed the defined outcomes in the performance-based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support regional efforts to fund non-core services that support the defined outcomes of core services in the performance-based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support of non-core services to maintain individuals in a community setting or reduce the risk that individuals needing services and supports would be placed in more restrictive, higher-cost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25.22(3)</w:t>
      </w:r>
      <w:r>
        <w:rPr>
          <w:rFonts w:ascii="Times New Roman" w:hAnsi="Times New Roman"/>
          <w:b w:val="false"/>
          <w:i w:val="false"/>
          <w:color w:val="000000"/>
          <w:sz w:val="22"/>
        </w:rPr>
        <w:t> </w:t>
      </w:r>
      <w:r>
        <w:rPr>
          <w:rFonts w:ascii="Times New Roman" w:hAnsi="Times New Roman"/>
          <w:b w:val="false"/>
          <w:i/>
          <w:color w:val="000000"/>
          <w:sz w:val="22"/>
        </w:rPr>
        <w:t xml:space="preserve">Incentive fund application review and approval. </w:t>
      </w:r>
      <w:r>
        <w:rPr>
          <w:rFonts w:ascii="Times New Roman" w:hAnsi="Times New Roman"/>
          <w:b w:val="false"/>
          <w:i w:val="false"/>
          <w:color w:val="000000"/>
          <w:sz w:val="22"/>
        </w:rPr>
        <w:t>The department shall make its final decisions for incentive funds on or before December 15 of the fiscal year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notice regarding acceptance or rejection of an application and the total amount obligated shall be furnished to the mental health and disability services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distribute incentive funds payable to the mental health and disability services regions for the amounts due on or before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25.22(4)</w:t>
      </w:r>
      <w:r>
        <w:rPr>
          <w:rFonts w:ascii="Times New Roman" w:hAnsi="Times New Roman"/>
          <w:b w:val="false"/>
          <w:i w:val="false"/>
          <w:color w:val="000000"/>
          <w:sz w:val="22"/>
        </w:rPr>
        <w:t> </w:t>
      </w:r>
      <w:r>
        <w:rPr>
          <w:rFonts w:ascii="Times New Roman" w:hAnsi="Times New Roman"/>
          <w:b w:val="false"/>
          <w:i/>
          <w:color w:val="000000"/>
          <w:sz w:val="22"/>
        </w:rPr>
        <w:t xml:space="preserve">Incentive fund reporting. </w:t>
      </w:r>
      <w:r>
        <w:rPr>
          <w:rFonts w:ascii="Times New Roman" w:hAnsi="Times New Roman"/>
          <w:b w:val="false"/>
          <w:i w:val="false"/>
          <w:color w:val="000000"/>
          <w:sz w:val="22"/>
        </w:rPr>
        <w:t>Mental health and disability services regions shall submit to the department a report on forms specified by the department twice each calendar year subsequent to an award distribution. Reports shall be submitted by February 15 and August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25.22(5)</w:t>
      </w:r>
      <w:r>
        <w:rPr>
          <w:rFonts w:ascii="Times New Roman" w:hAnsi="Times New Roman"/>
          <w:b w:val="false"/>
          <w:i w:val="false"/>
          <w:color w:val="000000"/>
          <w:sz w:val="22"/>
        </w:rPr>
        <w:t> </w:t>
      </w:r>
      <w:r>
        <w:rPr>
          <w:rFonts w:ascii="Times New Roman" w:hAnsi="Times New Roman"/>
          <w:b w:val="false"/>
          <w:i/>
          <w:color w:val="000000"/>
          <w:sz w:val="22"/>
        </w:rPr>
        <w:t xml:space="preserve">Incentive fund review. </w:t>
      </w:r>
      <w:r>
        <w:rPr>
          <w:rFonts w:ascii="Times New Roman" w:hAnsi="Times New Roman"/>
          <w:b w:val="false"/>
          <w:i w:val="false"/>
          <w:color w:val="000000"/>
          <w:sz w:val="22"/>
        </w:rPr>
        <w:t>The department shall analyze year-end financial records and annual independent audits of the mental health and disability services region for all years subsequent to an incentive fund award. If the department determines a mental health and disability services region’s actual need for incentive funds was less than the amount of incentive funds granted, the mental health and disability services region shall refund the difference between the amount of assistance granted and the actual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notice outlining the department’s findings and moneys identified for repayment shall be furnished to the regional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mental health and disability services region shall submit the refund within 30 days of receiving notice from the department. Refunds shall be credited to the incentive fund.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6008C</w:t>
      </w:r>
      <w:r>
        <w:rPr>
          <w:rFonts w:ascii="Times New Roman" w:hAnsi="Times New Roman"/>
          <w:b w:val="false"/>
          <w:i w:val="false"/>
          <w:color w:val="000000"/>
          <w:sz w:val="16"/>
        </w:rPr>
        <w:t>, IAB 11/3/21, effective 10/4/21</w:t>
      </w:r>
      <w:r>
        <w:rPr>
          <w:rFonts w:ascii="Times New Roman" w:hAnsi="Times New Roman"/>
          <w:b w:val="false"/>
          <w:i w:val="false"/>
          <w:color w:val="000000"/>
          <w:sz w:val="16"/>
        </w:rPr>
        <w:t xml:space="preserve">; </w:t>
      </w:r>
      <w:r>
        <w:rPr>
          <w:rFonts w:ascii="Times New Roman" w:hAnsi="Times New Roman"/>
          <w:b/>
          <w:i w:val="false"/>
          <w:color w:val="000000"/>
          <w:sz w:val="16"/>
        </w:rPr>
        <w:t>ARC 6195C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441—25.23</w:t>
      </w:r>
      <w:r>
        <w:rPr>
          <w:rFonts w:ascii="Times New Roman" w:hAnsi="Times New Roman"/>
          <w:b/>
          <w:i w:val="false"/>
          <w:color w:val="000000"/>
          <w:sz w:val="22"/>
        </w:rPr>
        <w:t xml:space="preserve">(225C) </w:t>
      </w:r>
      <w:r>
        <w:rPr>
          <w:rFonts w:ascii="Times New Roman" w:hAnsi="Times New Roman"/>
          <w:b/>
          <w:i w:val="false"/>
          <w:color w:val="000000"/>
          <w:sz w:val="22"/>
        </w:rPr>
        <w:t xml:space="preserve">Performance-based contract. </w:t>
      </w:r>
      <w:r>
        <w:rPr>
          <w:rFonts w:ascii="Times New Roman" w:hAnsi="Times New Roman"/>
          <w:b w:val="false"/>
          <w:i w:val="false"/>
          <w:color w:val="000000"/>
          <w:sz w:val="22"/>
        </w:rPr>
        <w:t xml:space="preserve">The mental health and disability services region shall enter into a performance-based contract with the department to administer the service system in accordance with Iowa Code section </w:t>
      </w:r>
      <w:hyperlink r:id="rId123">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 The performance-based contract shall include but not be limited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deny, or revise each region’s annual service and budget plan in accordance with rule 441—</w:t>
      </w:r>
      <w:hyperlink r:id="rId124">
        <w:r>
          <w:rPr>
            <w:rStyle w:val="Hyperlink"/>
            <w:rFonts w:ascii="Times New Roman" w:hAnsi="Times New Roman"/>
            <w:b w:val="false"/>
            <w:i w:val="false"/>
            <w:color w:val="000000"/>
            <w:sz w:val="22"/>
          </w:rPr>
          <w:t>25.19</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region will provide access to all core services under Iowa Code sections </w:t>
      </w:r>
      <w:hyperlink r:id="rId125">
        <w:r>
          <w:rPr>
            <w:rStyle w:val="Hyperlink"/>
            <w:rFonts w:ascii="Times New Roman" w:hAnsi="Times New Roman"/>
            <w:b w:val="false"/>
            <w:i w:val="false"/>
            <w:color w:val="000000"/>
            <w:sz w:val="22"/>
          </w:rPr>
          <w:t>225C.65</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225C.66</w:t>
        </w:r>
      </w:hyperlink>
      <w:r>
        <w:rPr>
          <w:rFonts w:ascii="Times New Roman" w:hAnsi="Times New Roman"/>
          <w:b w:val="false"/>
          <w:i w:val="false"/>
          <w:color w:val="000000"/>
          <w:sz w:val="22"/>
        </w:rPr>
        <w:t xml:space="preserve"> and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25.23(3)</w:t>
      </w:r>
      <w:r>
        <w:rPr>
          <w:rFonts w:ascii="Times New Roman" w:hAnsi="Times New Roman"/>
          <w:b w:val="false"/>
          <w:i w:val="false"/>
          <w:color w:val="000000"/>
          <w:sz w:val="22"/>
        </w:rPr>
        <w:t> </w:t>
      </w:r>
      <w:r>
        <w:rPr>
          <w:rFonts w:ascii="Times New Roman" w:hAnsi="Times New Roman"/>
          <w:b w:val="false"/>
          <w:i w:val="false"/>
          <w:color w:val="000000"/>
          <w:sz w:val="22"/>
        </w:rPr>
        <w:t>The region will utilize all federal government funding, including Medicaid funding, third-party payment sources, and other nongovernmental funding, prior to using regional service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25.23(4)</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perform an annual review of the region’s administrative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25.23(5)</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outcome improvement goals for populations served by the region,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Decreases in emergency department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Improved use of mobile crisis response and jail diversion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Improved employment-based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take steps to address a region’s noncompliance with the contract in accordance with Iowa Code section </w:t>
      </w:r>
      <w:hyperlink r:id="rId127">
        <w:r>
          <w:rPr>
            <w:rStyle w:val="Hyperlink"/>
            <w:rFonts w:ascii="Times New Roman" w:hAnsi="Times New Roman"/>
            <w:b w:val="false"/>
            <w:i w:val="false"/>
            <w:color w:val="000000"/>
            <w:sz w:val="22"/>
          </w:rPr>
          <w:t>225C.56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8">
        <w:r>
          <w:rPr>
            <w:rStyle w:val="Hyperlink"/>
            <w:rFonts w:ascii="Times New Roman" w:hAnsi="Times New Roman"/>
            <w:b w:val="false"/>
            <w:i w:val="false"/>
            <w:color w:val="000000"/>
            <w:sz w:val="22"/>
          </w:rPr>
          <w:t>225C.7A.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441—25.24</w:t>
      </w:r>
      <w:r>
        <w:rPr>
          <w:rFonts w:ascii="Times New Roman" w:hAnsi="Times New Roman"/>
          <w:b w:val="false"/>
          <w:i w:val="false"/>
          <w:color w:val="000000"/>
          <w:sz w:val="22"/>
        </w:rPr>
        <w:t xml:space="preserve"> to </w:t>
      </w:r>
      <w:r>
        <w:rPr>
          <w:rFonts w:ascii="Times New Roman" w:hAnsi="Times New Roman"/>
          <w:b/>
          <w:i w:val="false"/>
          <w:color w:val="000000"/>
          <w:sz w:val="22"/>
        </w:rPr>
        <w:t>25.40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MINIMUM DATA SET</w:t>
      </w:r>
    </w:p>
    <w:p>
      <w:pPr>
        <w:spacing w:before="0" w:after="0"/>
        <w:ind w:left="120"/>
        <w:jc w:val="both"/>
      </w:pPr>
      <w:r>
        <w:rPr>
          <w:rFonts w:ascii="Times New Roman" w:hAnsi="Times New Roman"/>
          <w:b/>
          <w:i w:val="false"/>
          <w:color w:val="000000"/>
          <w:sz w:val="22"/>
        </w:rPr>
        <w:t>441—25.41</w:t>
      </w:r>
      <w:r>
        <w:rPr>
          <w:rFonts w:ascii="Times New Roman" w:hAnsi="Times New Roman"/>
          <w:b/>
          <w:i w:val="false"/>
          <w:color w:val="000000"/>
          <w:sz w:val="22"/>
        </w:rPr>
        <w:t xml:space="preserve">(225C) </w:t>
      </w:r>
      <w:r>
        <w:rPr>
          <w:rFonts w:ascii="Times New Roman" w:hAnsi="Times New Roman"/>
          <w:b/>
          <w:i w:val="false"/>
          <w:color w:val="000000"/>
          <w:sz w:val="22"/>
        </w:rPr>
        <w:t xml:space="preserve">Minimum data set. </w:t>
      </w:r>
      <w:r>
        <w:rPr>
          <w:rFonts w:ascii="Times New Roman" w:hAnsi="Times New Roman"/>
          <w:b w:val="false"/>
          <w:i w:val="false"/>
          <w:color w:val="000000"/>
          <w:sz w:val="22"/>
        </w:rPr>
        <w:t>Each region shall maintain data on all clients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25.41(1)</w:t>
      </w:r>
      <w:r>
        <w:rPr>
          <w:rFonts w:ascii="Times New Roman" w:hAnsi="Times New Roman"/>
          <w:b w:val="false"/>
          <w:i w:val="false"/>
          <w:color w:val="000000"/>
          <w:sz w:val="22"/>
        </w:rPr>
        <w:t> </w:t>
      </w:r>
      <w:r>
        <w:rPr>
          <w:rFonts w:ascii="Times New Roman" w:hAnsi="Times New Roman"/>
          <w:b w:val="false"/>
          <w:i/>
          <w:color w:val="000000"/>
          <w:sz w:val="22"/>
        </w:rPr>
        <w:t xml:space="preserve">Submission of data. </w:t>
      </w:r>
      <w:r>
        <w:rPr>
          <w:rFonts w:ascii="Times New Roman" w:hAnsi="Times New Roman"/>
          <w:b w:val="false"/>
          <w:i w:val="false"/>
          <w:color w:val="000000"/>
          <w:sz w:val="22"/>
        </w:rPr>
        <w:t>Each region shall submit to the department a copy of the data regarding each individual that the region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supplementary assistance program, mental health institutes, state resource centers, Medicaid program, and Medicaid managed care contractors shall provide the equivalent data in a compatible format on the same schedule as the required submission from the regions.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the data for research and analysis purposes only. Only summary data shall be reported to policymakers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25.41(2)</w:t>
      </w:r>
      <w:r>
        <w:rPr>
          <w:rFonts w:ascii="Times New Roman" w:hAnsi="Times New Roman"/>
          <w:b w:val="false"/>
          <w:i w:val="false"/>
          <w:color w:val="000000"/>
          <w:sz w:val="22"/>
        </w:rPr>
        <w:t> </w:t>
      </w:r>
      <w:r>
        <w:rPr>
          <w:rFonts w:ascii="Times New Roman" w:hAnsi="Times New Roman"/>
          <w:b w:val="false"/>
          <w:i/>
          <w:color w:val="000000"/>
          <w:sz w:val="22"/>
        </w:rPr>
        <w:t xml:space="preserve">Data required. </w:t>
      </w:r>
      <w:r>
        <w:rPr>
          <w:rFonts w:ascii="Times New Roman" w:hAnsi="Times New Roman"/>
          <w:b w:val="false"/>
          <w:i w:val="false"/>
          <w:color w:val="000000"/>
          <w:sz w:val="22"/>
        </w:rPr>
        <w:t>The data to be submitted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Basic individual information including a unique identifier, name, address, and 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I.D. number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Demographic information including date of birth, sex, ethnicity, marital status, education, residential living arrangement, current employment status, monthly income, income sources, type of insurance, insurance carrier, veterans’ status, guardianship status, legal status in the system, source of referral, diagnosis code in the current version of the ICD, disability group (i.e., intellectual disability, developmental disability, mental illness, brain injury), and county of residence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information including the decision on services, date of decision, termination date and reason for termination, residence, approved service, service beginning dates, service ending dates, reason for terminating each service, approved units of services, unit rate for service, expenditure data, and provider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Regions shall submit data according to the file layouts, format, and naming conventions prescribed by the department. Any changes to the data submission requirements will be made in consultation with the regional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Regions must submit their data for each fiscal year by December 1 of the following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region’s data is incomplete or is not compliant with the prescribed file layouts, format, or naming conventions the region will be notified by email.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region shall resubmit corrected files or provide an explanation for noncompliant data within 30 days of the date of the email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region remains noncompliant after the 30-day time period, the department may take action as allowable under the performance-based contracts established pursuant to rule 441—</w:t>
      </w:r>
      <w:hyperlink r:id="rId129">
        <w:r>
          <w:rPr>
            <w:rStyle w:val="Hyperlink"/>
            <w:rFonts w:ascii="Times New Roman" w:hAnsi="Times New Roman"/>
            <w:b w:val="false"/>
            <w:i w:val="false"/>
            <w:color w:val="000000"/>
            <w:sz w:val="22"/>
          </w:rPr>
          <w:t>25.23</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0">
        <w:r>
          <w:rPr>
            <w:rStyle w:val="Hyperlink"/>
            <w:rFonts w:ascii="Times New Roman" w:hAnsi="Times New Roman"/>
            <w:b w:val="false"/>
            <w:i w:val="false"/>
            <w:color w:val="000000"/>
            <w:sz w:val="22"/>
          </w:rPr>
          <w:t>225C, subchapter 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441—25.42</w:t>
      </w:r>
      <w:r>
        <w:rPr>
          <w:rFonts w:ascii="Times New Roman" w:hAnsi="Times New Roman"/>
          <w:b w:val="false"/>
          <w:i w:val="false"/>
          <w:color w:val="000000"/>
          <w:sz w:val="22"/>
        </w:rPr>
        <w:t xml:space="preserve"> to </w:t>
      </w:r>
      <w:r>
        <w:rPr>
          <w:rFonts w:ascii="Times New Roman" w:hAnsi="Times New Roman"/>
          <w:b/>
          <w:i w:val="false"/>
          <w:color w:val="000000"/>
          <w:sz w:val="22"/>
        </w:rPr>
        <w:t>25.50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MENTAL HEALTH ADVOCATES</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division establishes definitions, appointment and qualifications, assignment, responsibilities of the advocate and the county, data collection requirements, and quality assurance for mental health advocate services under Iowa Code chapter </w:t>
      </w:r>
      <w:hyperlink r:id="rId131">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441—25.51</w:t>
      </w:r>
      <w:r>
        <w:rPr>
          <w:rFonts w:ascii="Times New Roman" w:hAnsi="Times New Roman"/>
          <w:b/>
          <w:i w:val="false"/>
          <w:color w:val="000000"/>
          <w:sz w:val="22"/>
        </w:rPr>
        <w:t xml:space="preserve">(229)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“Advocate” </w:t>
      </w:r>
      <w:r>
        <w:rPr>
          <w:rFonts w:ascii="Times New Roman" w:hAnsi="Times New Roman"/>
          <w:b w:val="false"/>
          <w:i w:val="false"/>
          <w:color w:val="000000"/>
          <w:sz w:val="22"/>
        </w:rPr>
        <w:t xml:space="preserve">means mental health advocate as defined in Iowa Code section </w:t>
      </w:r>
      <w:hyperlink r:id="rId132">
        <w:r>
          <w:rPr>
            <w:rStyle w:val="Hyperlink"/>
            <w:rFonts w:ascii="Times New Roman" w:hAnsi="Times New Roman"/>
            <w:b w:val="false"/>
            <w:i w:val="false"/>
            <w:color w:val="000000"/>
            <w:sz w:val="22"/>
          </w:rPr>
          <w:t>229.1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means any activity that interferes or gives the appearance of interference with the exercise of professional discretion and impartial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 residence” </w:t>
      </w:r>
      <w:r>
        <w:rPr>
          <w:rFonts w:ascii="Times New Roman" w:hAnsi="Times New Roman"/>
          <w:b w:val="false"/>
          <w:i w:val="false"/>
          <w:color w:val="000000"/>
          <w:sz w:val="22"/>
        </w:rPr>
        <w:t xml:space="preserve">means the same as defined in Iowa Code section </w:t>
      </w:r>
      <w:hyperlink r:id="rId133">
        <w:r>
          <w:rPr>
            <w:rStyle w:val="Hyperlink"/>
            <w:rFonts w:ascii="Times New Roman" w:hAnsi="Times New Roman"/>
            <w:b w:val="false"/>
            <w:i w:val="false"/>
            <w:color w:val="000000"/>
            <w:sz w:val="22"/>
          </w:rPr>
          <w:t>225C.61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 venue” </w:t>
      </w:r>
      <w:r>
        <w:rPr>
          <w:rFonts w:ascii="Times New Roman" w:hAnsi="Times New Roman"/>
          <w:b w:val="false"/>
          <w:i w:val="false"/>
          <w:color w:val="000000"/>
          <w:sz w:val="22"/>
        </w:rPr>
        <w:t xml:space="preserve">means the county in which the Iowa Code chapter </w:t>
      </w:r>
      <w:hyperlink r:id="rId13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commitment was filed pursuant to Iowa Code section </w:t>
      </w:r>
      <w:hyperlink r:id="rId135">
        <w:r>
          <w:rPr>
            <w:rStyle w:val="Hyperlink"/>
            <w:rFonts w:ascii="Times New Roman" w:hAnsi="Times New Roman"/>
            <w:b w:val="false"/>
            <w:i w:val="false"/>
            <w:color w:val="000000"/>
            <w:sz w:val="22"/>
          </w:rPr>
          <w:t>229.44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where the individual is located” </w:t>
      </w:r>
      <w:r>
        <w:rPr>
          <w:rFonts w:ascii="Times New Roman" w:hAnsi="Times New Roman"/>
          <w:b w:val="false"/>
          <w:i w:val="false"/>
          <w:color w:val="000000"/>
          <w:sz w:val="22"/>
        </w:rPr>
        <w:t xml:space="preserve">means the individual’s county of residence as defined in Iowa Code section </w:t>
      </w:r>
      <w:hyperlink r:id="rId136">
        <w:r>
          <w:rPr>
            <w:rStyle w:val="Hyperlink"/>
            <w:rFonts w:ascii="Times New Roman" w:hAnsi="Times New Roman"/>
            <w:b w:val="false"/>
            <w:i w:val="false"/>
            <w:color w:val="000000"/>
            <w:sz w:val="22"/>
          </w:rPr>
          <w:t>225C.61</w:t>
        </w:r>
      </w:hyperlink>
      <w:r>
        <w:rPr>
          <w:rFonts w:ascii="Times New Roman" w:hAnsi="Times New Roman"/>
          <w:b w:val="false"/>
          <w:i w:val="false"/>
          <w:color w:val="000000"/>
          <w:sz w:val="22"/>
        </w:rPr>
        <w:t xml:space="preserve">, or if the individual has been ordered to receive treatment services under an Iowa Code chapter </w:t>
      </w:r>
      <w:hyperlink r:id="rId13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commitment and is placed in a residential or other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 xml:space="preserve">means the respondent who is receiving mental health advocate services under Iowa Code chapter </w:t>
      </w:r>
      <w:hyperlink r:id="rId13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“Judicial district” </w:t>
      </w:r>
      <w:r>
        <w:rPr>
          <w:rFonts w:ascii="Times New Roman" w:hAnsi="Times New Roman"/>
          <w:b w:val="false"/>
          <w:i w:val="false"/>
          <w:color w:val="000000"/>
          <w:sz w:val="22"/>
        </w:rPr>
        <w:t xml:space="preserve">means the same as defined in Iowa Code section </w:t>
      </w:r>
      <w:hyperlink r:id="rId139">
        <w:r>
          <w:rPr>
            <w:rStyle w:val="Hyperlink"/>
            <w:rFonts w:ascii="Times New Roman" w:hAnsi="Times New Roman"/>
            <w:b w:val="false"/>
            <w:i w:val="false"/>
            <w:color w:val="000000"/>
            <w:sz w:val="22"/>
          </w:rPr>
          <w:t>602.6107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and disability services region” </w:t>
      </w:r>
      <w:r>
        <w:rPr>
          <w:rFonts w:ascii="Times New Roman" w:hAnsi="Times New Roman"/>
          <w:b w:val="false"/>
          <w:i w:val="false"/>
          <w:color w:val="000000"/>
          <w:sz w:val="22"/>
        </w:rPr>
        <w:t xml:space="preserve">means the same as defined in Iowa Code section </w:t>
      </w:r>
      <w:hyperlink r:id="rId140">
        <w:r>
          <w:rPr>
            <w:rStyle w:val="Hyperlink"/>
            <w:rFonts w:ascii="Times New Roman" w:hAnsi="Times New Roman"/>
            <w:b w:val="false"/>
            <w:i w:val="false"/>
            <w:color w:val="000000"/>
            <w:sz w:val="22"/>
          </w:rPr>
          <w:t>225C.56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441—25.52</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appointment and qualifications. </w:t>
      </w:r>
      <w:r>
        <w:rPr>
          <w:rFonts w:ascii="Times New Roman" w:hAnsi="Times New Roman"/>
          <w:b w:val="false"/>
          <w:i w:val="false"/>
          <w:color w:val="000000"/>
          <w:sz w:val="22"/>
        </w:rPr>
        <w:t xml:space="preserve">The board of supervisors of each county shall appoint a person to act as an advocate representing the interests of individuals involuntarily hospitalized by the court under Iowa Code chapter </w:t>
      </w:r>
      <w:hyperlink r:id="rId141">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The advocate is hired by the board of supervisors and employed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25.52(1)</w:t>
      </w:r>
      <w:r>
        <w:rPr>
          <w:rFonts w:ascii="Times New Roman" w:hAnsi="Times New Roman"/>
          <w:b w:val="false"/>
          <w:i w:val="false"/>
          <w:color w:val="000000"/>
          <w:sz w:val="22"/>
        </w:rPr>
        <w:t> </w:t>
      </w:r>
      <w:r>
        <w:rPr>
          <w:rFonts w:ascii="Times New Roman" w:hAnsi="Times New Roman"/>
          <w:b w:val="false"/>
          <w:i w:val="false"/>
          <w:color w:val="000000"/>
          <w:sz w:val="22"/>
        </w:rPr>
        <w:t>A person may be appointed and employed or contracted with as the advocate by one county or by multiple counties. Advocates may be appointed for counties in more than one judicial district or more than one mental health and disability services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25.52(2)</w:t>
      </w:r>
      <w:r>
        <w:rPr>
          <w:rFonts w:ascii="Times New Roman" w:hAnsi="Times New Roman"/>
          <w:b w:val="false"/>
          <w:i w:val="false"/>
          <w:color w:val="000000"/>
          <w:sz w:val="22"/>
        </w:rPr>
        <w:t> </w:t>
      </w:r>
      <w:r>
        <w:rPr>
          <w:rFonts w:ascii="Times New Roman" w:hAnsi="Times New Roman"/>
          <w:b w:val="false"/>
          <w:i w:val="false"/>
          <w:color w:val="000000"/>
          <w:sz w:val="22"/>
        </w:rPr>
        <w:t>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advocate shall meet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bachelor’s degree with 30 semester hours or equivalent quarter hours in a human services field (including, but not limited to, psychology, social work, mental health counseling, marriage and family therapy, nursing, education, occupational therapy, and recreational therapy) and at least one year of experience in the delivery of services to persons with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 an Iowa license to practice as a registered nurse and have at least three years of experience in delivery of services to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employed as an advocate on or before July 1, 2015, who does not meet the requirements of subparagraph </w:t>
      </w:r>
      <w:hyperlink r:id="rId142">
        <w:r>
          <w:rPr>
            <w:rStyle w:val="Hyperlink"/>
            <w:rFonts w:ascii="Times New Roman" w:hAnsi="Times New Roman"/>
            <w:b w:val="false"/>
            <w:i w:val="false"/>
            <w:color w:val="000000"/>
            <w:sz w:val="22"/>
          </w:rPr>
          <w:t>25.52(2)</w:t>
        </w:r>
      </w:hyperlink>
      <w:r>
        <w:rPr>
          <w:rFonts w:ascii="Times New Roman" w:hAnsi="Times New Roman"/>
          <w:b w:val="false"/>
          <w:i/>
          <w:color w:val="000000"/>
          <w:sz w:val="22"/>
        </w:rPr>
        <w:t>“a”</w:t>
      </w:r>
      <w:r>
        <w:rPr>
          <w:rFonts w:ascii="Times New Roman" w:hAnsi="Times New Roman"/>
          <w:b w:val="false"/>
          <w:i w:val="false"/>
          <w:color w:val="000000"/>
          <w:sz w:val="22"/>
        </w:rPr>
        <w:t>(1) or (2) shall be considered to meet those requirements so long as the person is continuously appointed as an advocate in the employing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employed as an advocate must pass criminal background, sex offender registry, and child and dependent adult abuse registry checks before hire.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441—25.53</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assignment. </w:t>
      </w:r>
      <w:r>
        <w:rPr>
          <w:rFonts w:ascii="Times New Roman" w:hAnsi="Times New Roman"/>
          <w:b w:val="false"/>
          <w:i w:val="false"/>
          <w:color w:val="000000"/>
          <w:sz w:val="22"/>
        </w:rPr>
        <w:t>The committing court shall assign the advocate from the county where the individual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25.53(1)</w:t>
      </w:r>
      <w:r>
        <w:rPr>
          <w:rFonts w:ascii="Times New Roman" w:hAnsi="Times New Roman"/>
          <w:b w:val="false"/>
          <w:i w:val="false"/>
          <w:color w:val="000000"/>
          <w:sz w:val="22"/>
        </w:rPr>
        <w:t> </w:t>
      </w:r>
      <w:r>
        <w:rPr>
          <w:rFonts w:ascii="Times New Roman" w:hAnsi="Times New Roman"/>
          <w:b w:val="false"/>
          <w:i w:val="false"/>
          <w:color w:val="000000"/>
          <w:sz w:val="22"/>
        </w:rPr>
        <w:t>If the advocate assigned cannot serve the individual in an effective and efficient manner, the advocate may request another advocate to perform advocate duties on the individual’s behalf. In the event that another advocate can better represent the individual on a longer term basis, the advocate shall request that the court transfer the individual to another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25.53(2)</w:t>
      </w:r>
      <w:r>
        <w:rPr>
          <w:rFonts w:ascii="Times New Roman" w:hAnsi="Times New Roman"/>
          <w:b w:val="false"/>
          <w:i w:val="false"/>
          <w:color w:val="000000"/>
          <w:sz w:val="22"/>
        </w:rPr>
        <w:t> </w:t>
      </w:r>
      <w:r>
        <w:rPr>
          <w:rFonts w:ascii="Times New Roman" w:hAnsi="Times New Roman"/>
          <w:b w:val="false"/>
          <w:i w:val="false"/>
          <w:color w:val="000000"/>
          <w:sz w:val="22"/>
        </w:rPr>
        <w:t>When a conflict of interest is identified between an advocate and an individual, the court and the advocate’s county of employment shall be notified and an alternative advocate shall be assigned. The advocate’s direct supervisor is responsible to monitor and ensure that the advocate does not have a conflict of interest. In instances when dual or multiple relationships are unavoidable, advocates should take steps to protect individuals and are responsible for setting clear, appropriate, and culturally sensitive boundaries. Advocates who anticipate a conflict of interest among the individuals receiving services should clarify the advocate’s role with the parties involved and take appropriate action to minimize any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advocate assigned is not the advocate from the individual’s county of residence, the advocate’s county of employment may seek reimbursement from the region in which the individual’s county of residence is located as outlined in Iowa Code section </w:t>
      </w:r>
      <w:hyperlink r:id="rId143">
        <w:r>
          <w:rPr>
            <w:rStyle w:val="Hyperlink"/>
            <w:rFonts w:ascii="Times New Roman" w:hAnsi="Times New Roman"/>
            <w:b w:val="false"/>
            <w:i w:val="false"/>
            <w:color w:val="000000"/>
            <w:sz w:val="22"/>
          </w:rPr>
          <w:t>229.19(1)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25.53(4)</w:t>
      </w:r>
      <w:r>
        <w:rPr>
          <w:rFonts w:ascii="Times New Roman" w:hAnsi="Times New Roman"/>
          <w:b w:val="false"/>
          <w:i w:val="false"/>
          <w:color w:val="000000"/>
          <w:sz w:val="22"/>
        </w:rPr>
        <w:t> </w:t>
      </w:r>
      <w:r>
        <w:rPr>
          <w:rFonts w:ascii="Times New Roman" w:hAnsi="Times New Roman"/>
          <w:b w:val="false"/>
          <w:i w:val="false"/>
          <w:color w:val="000000"/>
          <w:sz w:val="22"/>
        </w:rPr>
        <w:t>An advocate shall only be assigned to a child 17 years of age or under when the child is not represented by an attorney due to an existing child in need of assistance (CINA) or other juvenile court action pursuant to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441—25.54</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responsibilities. </w:t>
      </w:r>
      <w:r>
        <w:rPr>
          <w:rFonts w:ascii="Times New Roman" w:hAnsi="Times New Roman"/>
          <w:b w:val="false"/>
          <w:i w:val="false"/>
          <w:color w:val="000000"/>
          <w:sz w:val="22"/>
        </w:rPr>
        <w:t xml:space="preserve">The minimum duties of the advocate are outlined in Iowa Code section </w:t>
      </w:r>
      <w:hyperlink r:id="rId144">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The role of the advocate is to ensure that the rights of the individual are upheld.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25.54(1)</w:t>
      </w:r>
      <w:r>
        <w:rPr>
          <w:rFonts w:ascii="Times New Roman" w:hAnsi="Times New Roman"/>
          <w:b w:val="false"/>
          <w:i w:val="false"/>
          <w:color w:val="000000"/>
          <w:sz w:val="22"/>
        </w:rPr>
        <w:t> </w:t>
      </w:r>
      <w:r>
        <w:rPr>
          <w:rFonts w:ascii="Times New Roman" w:hAnsi="Times New Roman"/>
          <w:b w:val="false"/>
          <w:i w:val="false"/>
          <w:color w:val="000000"/>
          <w:sz w:val="22"/>
        </w:rPr>
        <w:t>The advocate shall be readily accessible to communication from the individual and shall initiate contact within 5 days of the individual’s commitment. The advocate shall inform the individual regarding the role of the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25.54(2)</w:t>
      </w:r>
      <w:r>
        <w:rPr>
          <w:rFonts w:ascii="Times New Roman" w:hAnsi="Times New Roman"/>
          <w:b w:val="false"/>
          <w:i w:val="false"/>
          <w:color w:val="000000"/>
          <w:sz w:val="22"/>
        </w:rPr>
        <w:t> </w:t>
      </w:r>
      <w:r>
        <w:rPr>
          <w:rFonts w:ascii="Times New Roman" w:hAnsi="Times New Roman"/>
          <w:b w:val="false"/>
          <w:i w:val="false"/>
          <w:color w:val="000000"/>
          <w:sz w:val="22"/>
        </w:rPr>
        <w:t>The advocate shall meet the individual in person within 15 days of the individual’s commitment. The advocate shall present the county grievance procedure process, in writing, to the individual. The presentation shall include the county grievance procedure and contact information and the contact information for the ombudsman. The advocate shall inform the individual about the mental health crisis services that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25.54(3)</w:t>
      </w:r>
      <w:r>
        <w:rPr>
          <w:rFonts w:ascii="Times New Roman" w:hAnsi="Times New Roman"/>
          <w:b w:val="false"/>
          <w:i w:val="false"/>
          <w:color w:val="000000"/>
          <w:sz w:val="22"/>
        </w:rPr>
        <w:t> </w:t>
      </w:r>
      <w:r>
        <w:rPr>
          <w:rFonts w:ascii="Times New Roman" w:hAnsi="Times New Roman"/>
          <w:b w:val="false"/>
          <w:i w:val="false"/>
          <w:color w:val="000000"/>
          <w:sz w:val="22"/>
        </w:rPr>
        <w:t>The advocate shall review each report submitted to the court and communicate with the individual’s medical and treatment team. Advocates shall abide by all federal, state, and local confidentiality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advocate shall file in a form prescribed by the court as the advocate feels necessary or as required for each individual assigned to the advocate.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25.54(5)</w:t>
      </w:r>
      <w:r>
        <w:rPr>
          <w:rFonts w:ascii="Times New Roman" w:hAnsi="Times New Roman"/>
          <w:b w:val="false"/>
          <w:i w:val="false"/>
          <w:color w:val="000000"/>
          <w:sz w:val="22"/>
        </w:rPr>
        <w:t> </w:t>
      </w:r>
      <w:r>
        <w:rPr>
          <w:rFonts w:ascii="Times New Roman" w:hAnsi="Times New Roman"/>
          <w:b w:val="false"/>
          <w:i w:val="false"/>
          <w:color w:val="000000"/>
          <w:sz w:val="22"/>
        </w:rPr>
        <w:t>The advocate shall maintain an organized confidential and secure file for each individual served. The file shall contain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quarterly reports submitted to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correspondence sent to and received from the individual, family members, providers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Releases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Case notes describing the date, time and type of contact with the individuals or others and a brief narrative summary of the content or outcome of the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Documents filed with the court electronically shall be considered as part of the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25.54(6)</w:t>
      </w:r>
      <w:r>
        <w:rPr>
          <w:rFonts w:ascii="Times New Roman" w:hAnsi="Times New Roman"/>
          <w:b w:val="false"/>
          <w:i w:val="false"/>
          <w:color w:val="000000"/>
          <w:sz w:val="22"/>
        </w:rPr>
        <w:t> </w:t>
      </w:r>
      <w:r>
        <w:rPr>
          <w:rFonts w:ascii="Times New Roman" w:hAnsi="Times New Roman"/>
          <w:b w:val="false"/>
          <w:i w:val="false"/>
          <w:color w:val="000000"/>
          <w:sz w:val="22"/>
        </w:rPr>
        <w:t>The advocate shall register as provided in Iowa 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16.305(1) to participate in the court’s electronic document management system and shall submit all documents to be filed with the court electronically. The documents will be stored as electronic records that are retrievable and readable through the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25.54(7)</w:t>
      </w:r>
      <w:r>
        <w:rPr>
          <w:rFonts w:ascii="Times New Roman" w:hAnsi="Times New Roman"/>
          <w:b w:val="false"/>
          <w:i w:val="false"/>
          <w:color w:val="000000"/>
          <w:sz w:val="22"/>
        </w:rPr>
        <w:t> </w:t>
      </w:r>
      <w:r>
        <w:rPr>
          <w:rFonts w:ascii="Times New Roman" w:hAnsi="Times New Roman"/>
          <w:b w:val="false"/>
          <w:i w:val="false"/>
          <w:color w:val="000000"/>
          <w:sz w:val="22"/>
        </w:rPr>
        <w:t>The advocate, as an employee of the county, shall comply with all county policies and procedures, including but not limited to hiring, supervision, grievance procedures,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advocate records are the property of the county, which is responsible for the provision of confidential storage, transfer, and destruction of client files, including those maintained on electronic and digital devices, with access limited according to the county’s policy on confidentiality as described in subrule </w:t>
      </w:r>
      <w:hyperlink r:id="rId145">
        <w:r>
          <w:rPr>
            <w:rStyle w:val="Hyperlink"/>
            <w:rFonts w:ascii="Times New Roman" w:hAnsi="Times New Roman"/>
            <w:b w:val="false"/>
            <w:i w:val="false"/>
            <w:color w:val="000000"/>
            <w:sz w:val="22"/>
          </w:rPr>
          <w:t>25.55(6)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25.54(9)</w:t>
      </w:r>
      <w:r>
        <w:rPr>
          <w:rFonts w:ascii="Times New Roman" w:hAnsi="Times New Roman"/>
          <w:b w:val="false"/>
          <w:i w:val="false"/>
          <w:color w:val="000000"/>
          <w:sz w:val="22"/>
        </w:rPr>
        <w:t> </w:t>
      </w:r>
      <w:r>
        <w:rPr>
          <w:rFonts w:ascii="Times New Roman" w:hAnsi="Times New Roman"/>
          <w:b w:val="false"/>
          <w:i w:val="false"/>
          <w:color w:val="000000"/>
          <w:sz w:val="22"/>
        </w:rPr>
        <w:t>The advocate may attend the hospitalization hearing of an individual represented by an attorney; however, payment for the advocate’s attendance is at the discretion of the county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441—25.55</w:t>
      </w:r>
      <w:r>
        <w:rPr>
          <w:rFonts w:ascii="Times New Roman" w:hAnsi="Times New Roman"/>
          <w:b/>
          <w:i w:val="false"/>
          <w:color w:val="000000"/>
          <w:sz w:val="22"/>
        </w:rPr>
        <w:t xml:space="preserve">(229) </w:t>
      </w:r>
      <w:r>
        <w:rPr>
          <w:rFonts w:ascii="Times New Roman" w:hAnsi="Times New Roman"/>
          <w:b/>
          <w:i w:val="false"/>
          <w:color w:val="000000"/>
          <w:sz w:val="22"/>
        </w:rPr>
        <w:t xml:space="preserve">County responsibilities. </w:t>
      </w:r>
      <w:r>
        <w:rPr>
          <w:rFonts w:ascii="Times New Roman" w:hAnsi="Times New Roman"/>
          <w:b w:val="false"/>
          <w:i w:val="false"/>
          <w:color w:val="000000"/>
          <w:sz w:val="22"/>
        </w:rPr>
        <w:t>As the employer of the advocate, the county shall provide qualified staff to support and facilitate the provision of quality advocate services. The county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25.55(1)</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 a single supervisor, a single contract manager, or the county board of supervisors as the supervising entity to carry out responsibilities in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job description in the personnel file of the advocate that clearly defines the advocate’s responsibilities and qualifications as defined in Iowa Code section </w:t>
      </w:r>
      <w:hyperlink r:id="rId146">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xml:space="preserve"> and in rule </w:t>
      </w:r>
      <w:hyperlink r:id="rId147">
        <w:r>
          <w:rPr>
            <w:rStyle w:val="Hyperlink"/>
            <w:rFonts w:ascii="Times New Roman" w:hAnsi="Times New Roman"/>
            <w:b w:val="false"/>
            <w:i w:val="false"/>
            <w:color w:val="000000"/>
            <w:sz w:val="22"/>
          </w:rPr>
          <w:t>441—25.104</w:t>
        </w:r>
      </w:hyperlink>
      <w:r>
        <w:rPr>
          <w:rFonts w:ascii="Times New Roman" w:hAnsi="Times New Roman"/>
          <w:b w:val="false"/>
          <w:i w:val="false"/>
          <w:color w:val="000000"/>
          <w:sz w:val="22"/>
        </w:rPr>
        <w:t>(229).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25.55(3)</w:t>
      </w:r>
      <w:r>
        <w:rPr>
          <w:rFonts w:ascii="Times New Roman" w:hAnsi="Times New Roman"/>
          <w:b w:val="false"/>
          <w:i w:val="false"/>
          <w:color w:val="000000"/>
          <w:sz w:val="22"/>
        </w:rPr>
        <w:t> </w:t>
      </w:r>
      <w:r>
        <w:rPr>
          <w:rFonts w:ascii="Times New Roman" w:hAnsi="Times New Roman"/>
          <w:b w:val="false"/>
          <w:i w:val="false"/>
          <w:color w:val="000000"/>
          <w:sz w:val="22"/>
        </w:rPr>
        <w:t>Have a process to verify, within 90 days of the advocate’s hire, qualification of the advocate, including degrees and certifications obtained from a primary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25.55(4)</w:t>
      </w:r>
      <w:r>
        <w:rPr>
          <w:rFonts w:ascii="Times New Roman" w:hAnsi="Times New Roman"/>
          <w:b w:val="false"/>
          <w:i w:val="false"/>
          <w:color w:val="000000"/>
          <w:sz w:val="22"/>
        </w:rPr>
        <w:t> </w:t>
      </w:r>
      <w:r>
        <w:rPr>
          <w:rFonts w:ascii="Times New Roman" w:hAnsi="Times New Roman"/>
          <w:b w:val="false"/>
          <w:i w:val="false"/>
          <w:color w:val="000000"/>
          <w:sz w:val="22"/>
        </w:rPr>
        <w:t>Provide to the advocate training and education relevant to the position, including but not limited to overview of mental health diagnosis and treatment, the mental health and disability services delivery system, confidentiality, individual rights, professional conduct, the role of advocacy and service coordination within an interdisciplinary team, Iowa Code and administrative rules, and court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25.55(5)</w:t>
      </w:r>
      <w:r>
        <w:rPr>
          <w:rFonts w:ascii="Times New Roman" w:hAnsi="Times New Roman"/>
          <w:b w:val="false"/>
          <w:i w:val="false"/>
          <w:color w:val="000000"/>
          <w:sz w:val="22"/>
        </w:rPr>
        <w:t> </w:t>
      </w:r>
      <w:r>
        <w:rPr>
          <w:rFonts w:ascii="Times New Roman" w:hAnsi="Times New Roman"/>
          <w:b w:val="false"/>
          <w:i w:val="false"/>
          <w:color w:val="000000"/>
          <w:sz w:val="22"/>
        </w:rPr>
        <w:t>Provide approved training on child and dependent adult abuse reporter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25.55(6)</w:t>
      </w:r>
      <w:r>
        <w:rPr>
          <w:rFonts w:ascii="Times New Roman" w:hAnsi="Times New Roman"/>
          <w:b w:val="false"/>
          <w:i w:val="false"/>
          <w:color w:val="000000"/>
          <w:sz w:val="22"/>
        </w:rPr>
        <w:t> </w:t>
      </w:r>
      <w:r>
        <w:rPr>
          <w:rFonts w:ascii="Times New Roman" w:hAnsi="Times New Roman"/>
          <w:b w:val="false"/>
          <w:i w:val="false"/>
          <w:color w:val="000000"/>
          <w:sz w:val="22"/>
        </w:rPr>
        <w:t>Provide to any employee with access to individuals’ files training on state and federal laws regarding nondisclosure and confidentiality of client protected health information during and after employment and maintain in the personnel files a signed document indicating the employee’s awareness of the county’s policy on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25.55(7)</w:t>
      </w:r>
      <w:r>
        <w:rPr>
          <w:rFonts w:ascii="Times New Roman" w:hAnsi="Times New Roman"/>
          <w:b w:val="false"/>
          <w:i w:val="false"/>
          <w:color w:val="000000"/>
          <w:sz w:val="22"/>
        </w:rPr>
        <w:t> </w:t>
      </w:r>
      <w:r>
        <w:rPr>
          <w:rFonts w:ascii="Times New Roman" w:hAnsi="Times New Roman"/>
          <w:b w:val="false"/>
          <w:i w:val="false"/>
          <w:color w:val="000000"/>
          <w:sz w:val="22"/>
        </w:rPr>
        <w:t>Complete criminal background, sex offender registry and child and dependent adult abuse registry checks before employment of the advocate. Any person who does not pass these checks is prohibited from being hired, or continuing to serve, as an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25.55(8)</w:t>
      </w:r>
      <w:r>
        <w:rPr>
          <w:rFonts w:ascii="Times New Roman" w:hAnsi="Times New Roman"/>
          <w:b w:val="false"/>
          <w:i w:val="false"/>
          <w:color w:val="000000"/>
          <w:sz w:val="22"/>
        </w:rPr>
        <w:t> </w:t>
      </w:r>
      <w:r>
        <w:rPr>
          <w:rFonts w:ascii="Times New Roman" w:hAnsi="Times New Roman"/>
          <w:b w:val="false"/>
          <w:i w:val="false"/>
          <w:color w:val="000000"/>
          <w:sz w:val="22"/>
        </w:rPr>
        <w:t>Provide advocate staff to cover the county’s caseload at all times, according to, but not limited to, each county’s unique number of individuals assigned to the advocate, travel required, types of settings where the individuals reside, services available and extended staff absences.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441—25.56</w:t>
      </w:r>
      <w:r>
        <w:rPr>
          <w:rFonts w:ascii="Times New Roman" w:hAnsi="Times New Roman"/>
          <w:b/>
          <w:i w:val="false"/>
          <w:color w:val="000000"/>
          <w:sz w:val="22"/>
        </w:rPr>
        <w:t xml:space="preserve">(229) </w:t>
      </w:r>
      <w:r>
        <w:rPr>
          <w:rFonts w:ascii="Times New Roman" w:hAnsi="Times New Roman"/>
          <w:b/>
          <w:i w:val="false"/>
          <w:color w:val="000000"/>
          <w:sz w:val="22"/>
        </w:rPr>
        <w:t xml:space="preserve">Data collection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25.56(1)</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in 2016 and by December 1 each year, each county shall submit to the department of human services data regarding each individual who received advocate services during the previous state fiscal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25.56(2)</w:t>
      </w:r>
      <w:r>
        <w:rPr>
          <w:rFonts w:ascii="Times New Roman" w:hAnsi="Times New Roman"/>
          <w:b w:val="false"/>
          <w:i w:val="false"/>
          <w:color w:val="000000"/>
          <w:sz w:val="22"/>
        </w:rPr>
        <w:t> </w:t>
      </w:r>
      <w:r>
        <w:rPr>
          <w:rFonts w:ascii="Times New Roman" w:hAnsi="Times New Roman"/>
          <w:b w:val="false"/>
          <w:i w:val="false"/>
          <w:color w:val="000000"/>
          <w:sz w:val="22"/>
        </w:rPr>
        <w:t>As defined in rule 441—</w:t>
      </w:r>
      <w:hyperlink r:id="rId148">
        <w:r>
          <w:rPr>
            <w:rStyle w:val="Hyperlink"/>
            <w:rFonts w:ascii="Times New Roman" w:hAnsi="Times New Roman"/>
            <w:b w:val="false"/>
            <w:i w:val="false"/>
            <w:color w:val="000000"/>
            <w:sz w:val="22"/>
          </w:rPr>
          <w:t>25.41</w:t>
        </w:r>
      </w:hyperlink>
      <w:r>
        <w:rPr>
          <w:rFonts w:ascii="Times New Roman" w:hAnsi="Times New Roman"/>
          <w:b w:val="false"/>
          <w:i w:val="false"/>
          <w:color w:val="000000"/>
          <w:sz w:val="22"/>
        </w:rPr>
        <w:t>(225C), the data to be submitted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Basic information about the individual, including a unique identifier and 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Demographic information, including the individual’s date of birth, sex, ethnicity, education, and diagnosis made in accordance with the criteria provided in the current version of the Diagnostic and Statistical Manual of Mental Disorders (DSM) published by the American Psychiatric Association (APA) (published 2013, with all changes and updates approved by the American Psychiatric Association through September 2023 incorporated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Commitment information, including the date of the individual’s initial commitment, type of commitment order, whether a juvenile or adult case, date of commitment and name of treatment facility the individual is committed to, any subsequent changes in treatment facility, and date commitment is terminated.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441—25.57</w:t>
      </w:r>
      <w:r>
        <w:rPr>
          <w:rFonts w:ascii="Times New Roman" w:hAnsi="Times New Roman"/>
          <w:b/>
          <w:i w:val="false"/>
          <w:color w:val="000000"/>
          <w:sz w:val="22"/>
        </w:rPr>
        <w:t xml:space="preserve">(229) </w:t>
      </w:r>
      <w:r>
        <w:rPr>
          <w:rFonts w:ascii="Times New Roman" w:hAnsi="Times New Roman"/>
          <w:b/>
          <w:i w:val="false"/>
          <w:color w:val="000000"/>
          <w:sz w:val="22"/>
        </w:rPr>
        <w:t xml:space="preserve">Quality assurance system. </w:t>
      </w:r>
      <w:r>
        <w:rPr>
          <w:rFonts w:ascii="Times New Roman" w:hAnsi="Times New Roman"/>
          <w:b w:val="false"/>
          <w:i w:val="false"/>
          <w:color w:val="000000"/>
          <w:sz w:val="22"/>
        </w:rPr>
        <w:t>The county shall implement a quality assurance system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Annually measures and assesses advocates’ activities and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Gathers feedback from stakeholders including individuals using advocate services, family members, court staff, service provider staff, and regional staff regarding advocate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Implements an internal review of individual records.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Identifies areas in need of improvement.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Develops a plan to address the areas in need of improvement.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Implements the plan and documents the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12/14/94—published 1/4/95, effective 12/14/94]</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1/10/96, Notice 11/22/95—published 1/31/96, effective 4/1/96]</w:t>
      </w:r>
    </w:p>
    <w:p>
      <w:pPr>
        <w:spacing w:before="0" w:after="0"/>
        <w:ind w:left="120"/>
        <w:jc w:val="center"/>
      </w:pPr>
      <w:r>
        <w:rPr>
          <w:rFonts w:ascii="Times New Roman" w:hAnsi="Times New Roman"/>
          <w:b w:val="false"/>
          <w:i w:val="false"/>
          <w:color w:val="000000"/>
          <w:sz w:val="21"/>
        </w:rPr>
        <w:t>[Filed 12/12/96, Notice 11/6/96—published 1/1/97, effective 3/1/97]</w:t>
      </w:r>
    </w:p>
    <w:p>
      <w:pPr>
        <w:spacing w:before="0" w:after="0"/>
        <w:ind w:left="120"/>
        <w:jc w:val="center"/>
      </w:pPr>
      <w:r>
        <w:rPr>
          <w:rFonts w:ascii="Times New Roman" w:hAnsi="Times New Roman"/>
          <w:b w:val="false"/>
          <w:i w:val="false"/>
          <w:color w:val="000000"/>
          <w:sz w:val="21"/>
        </w:rPr>
        <w:t>[Filed emergency 6/25/98—published 7/15/98, effective 7/1/98]</w:t>
      </w:r>
    </w:p>
    <w:p>
      <w:pPr>
        <w:spacing w:before="0" w:after="0"/>
        <w:ind w:left="120"/>
        <w:jc w:val="center"/>
      </w:pPr>
      <w:r>
        <w:rPr>
          <w:rFonts w:ascii="Times New Roman" w:hAnsi="Times New Roman"/>
          <w:b w:val="false"/>
          <w:i w:val="false"/>
          <w:color w:val="000000"/>
          <w:sz w:val="21"/>
        </w:rPr>
        <w:t>[Filed 9/3/98, Notice 7/15/98—published 9/23/98, effective 11/1/98]</w:t>
      </w:r>
    </w:p>
    <w:p>
      <w:pPr>
        <w:spacing w:before="0" w:after="0"/>
        <w:ind w:left="120"/>
        <w:jc w:val="center"/>
      </w:pPr>
      <w:r>
        <w:rPr>
          <w:rFonts w:ascii="Times New Roman" w:hAnsi="Times New Roman"/>
          <w:b w:val="false"/>
          <w:i w:val="false"/>
          <w:color w:val="000000"/>
          <w:sz w:val="21"/>
        </w:rPr>
        <w:t>[Filed 2/9/00, Notice 12/29/99—published 3/8/00, effective 4/12/00]</w:t>
      </w:r>
    </w:p>
    <w:p>
      <w:pPr>
        <w:spacing w:before="0" w:after="0"/>
        <w:ind w:left="120"/>
        <w:jc w:val="center"/>
      </w:pPr>
      <w:r>
        <w:rPr>
          <w:rFonts w:ascii="Times New Roman" w:hAnsi="Times New Roman"/>
          <w:b w:val="false"/>
          <w:i w:val="false"/>
          <w:color w:val="000000"/>
          <w:sz w:val="21"/>
        </w:rPr>
        <w:t>[Filed emergency 3/8/00—published 4/5/00, effective 3/8/00]</w:t>
      </w:r>
    </w:p>
    <w:p>
      <w:pPr>
        <w:spacing w:before="0" w:after="0"/>
        <w:ind w:left="120"/>
        <w:jc w:val="center"/>
      </w:pPr>
      <w:r>
        <w:rPr>
          <w:rFonts w:ascii="Times New Roman" w:hAnsi="Times New Roman"/>
          <w:b w:val="false"/>
          <w:i w:val="false"/>
          <w:color w:val="000000"/>
          <w:sz w:val="21"/>
        </w:rPr>
        <w:t>[Filed emergency 7/5/00—published 7/26/00, effective 8/1/00]</w:t>
      </w:r>
    </w:p>
    <w:p>
      <w:pPr>
        <w:spacing w:before="0" w:after="0"/>
        <w:ind w:left="120"/>
        <w:jc w:val="center"/>
      </w:pPr>
      <w:r>
        <w:rPr>
          <w:rFonts w:ascii="Times New Roman" w:hAnsi="Times New Roman"/>
          <w:b w:val="false"/>
          <w:i w:val="false"/>
          <w:color w:val="000000"/>
          <w:sz w:val="21"/>
        </w:rPr>
        <w:t>[Filed 9/6/00, Notice 4/5/00—published 10/4/00, effective 11/8/00]</w:t>
      </w:r>
    </w:p>
    <w:p>
      <w:pPr>
        <w:spacing w:before="0" w:after="0"/>
        <w:ind w:left="120"/>
        <w:jc w:val="center"/>
      </w:pPr>
      <w:r>
        <w:rPr>
          <w:rFonts w:ascii="Times New Roman" w:hAnsi="Times New Roman"/>
          <w:b w:val="false"/>
          <w:i w:val="false"/>
          <w:color w:val="000000"/>
          <w:sz w:val="21"/>
        </w:rPr>
        <w:t>[Filed 10/23/00, Notice 7/26/00—published 11/15/00, effective 1/1/01]</w:t>
      </w:r>
    </w:p>
    <w:p>
      <w:pPr>
        <w:spacing w:before="0" w:after="0"/>
        <w:ind w:left="120"/>
        <w:jc w:val="center"/>
      </w:pPr>
      <w:r>
        <w:rPr>
          <w:rFonts w:ascii="Times New Roman" w:hAnsi="Times New Roman"/>
          <w:b w:val="false"/>
          <w:i w:val="false"/>
          <w:color w:val="000000"/>
          <w:sz w:val="21"/>
        </w:rPr>
        <w:t>[Filed 11/14/01, Notice 9/19/01—published 12/12/01,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5/9/02, Notice 3/6/02—published 5/29/02, effective 7/3/02]</w:t>
      </w:r>
    </w:p>
    <w:p>
      <w:pPr>
        <w:spacing w:before="0" w:after="0"/>
        <w:ind w:left="120"/>
        <w:jc w:val="center"/>
      </w:pPr>
      <w:r>
        <w:rPr>
          <w:rFonts w:ascii="Times New Roman" w:hAnsi="Times New Roman"/>
          <w:b w:val="false"/>
          <w:i w:val="false"/>
          <w:color w:val="000000"/>
          <w:sz w:val="21"/>
        </w:rPr>
        <w:t>[Filed emergency 12/22/03 after Notice 10/15/03—published 1/21/04, effective 1/1/04]</w:t>
      </w:r>
    </w:p>
    <w:p>
      <w:pPr>
        <w:spacing w:before="0" w:after="0"/>
        <w:ind w:left="120"/>
        <w:jc w:val="center"/>
      </w:pPr>
      <w:r>
        <w:rPr>
          <w:rFonts w:ascii="Times New Roman" w:hAnsi="Times New Roman"/>
          <w:b w:val="false"/>
          <w:i w:val="false"/>
          <w:color w:val="000000"/>
          <w:sz w:val="21"/>
        </w:rPr>
        <w:t>[Filed 5/4/05, Notice 1/19/05—published 5/25/05, effective 7/1/05]</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emergency 6/22/07—published 7/18/07, effective 7/1/07]</w:t>
      </w:r>
    </w:p>
    <w:p>
      <w:pPr>
        <w:spacing w:before="0" w:after="0"/>
        <w:ind w:left="120"/>
        <w:jc w:val="center"/>
      </w:pPr>
      <w:r>
        <w:rPr>
          <w:rFonts w:ascii="Times New Roman" w:hAnsi="Times New Roman"/>
          <w:b w:val="false"/>
          <w:i w:val="false"/>
          <w:color w:val="000000"/>
          <w:sz w:val="21"/>
        </w:rPr>
        <w:t>[Filed emergency 9/27/07—published 10/24/07, effective 10/10/07]</w:t>
      </w:r>
    </w:p>
    <w:p>
      <w:pPr>
        <w:spacing w:before="0" w:after="0"/>
        <w:ind w:left="120"/>
        <w:jc w:val="center"/>
      </w:pPr>
      <w:r>
        <w:rPr>
          <w:rFonts w:ascii="Times New Roman" w:hAnsi="Times New Roman"/>
          <w:b w:val="false"/>
          <w:i w:val="false"/>
          <w:color w:val="000000"/>
          <w:sz w:val="21"/>
        </w:rPr>
        <w:t>[Filed 11/16/07, Notice 8/1/07—published 12/19/07, effective 2/1/08]</w:t>
      </w:r>
    </w:p>
    <w:p>
      <w:pPr>
        <w:spacing w:before="0" w:after="0"/>
        <w:ind w:left="120"/>
        <w:jc w:val="center"/>
      </w:pPr>
      <w:r>
        <w:rPr>
          <w:rFonts w:ascii="Times New Roman" w:hAnsi="Times New Roman"/>
          <w:b w:val="false"/>
          <w:i w:val="false"/>
          <w:color w:val="000000"/>
          <w:sz w:val="21"/>
        </w:rPr>
        <w:t>[Filed 12/14/07, Notice 7/18/07—published 1/16/08, effective 2/20/08]</w:t>
      </w:r>
    </w:p>
    <w:p>
      <w:pPr>
        <w:spacing w:before="0" w:after="0"/>
        <w:ind w:left="120"/>
        <w:jc w:val="center"/>
      </w:pPr>
      <w:r>
        <w:rPr>
          <w:rFonts w:ascii="Times New Roman" w:hAnsi="Times New Roman"/>
          <w:b w:val="false"/>
          <w:i w:val="false"/>
          <w:color w:val="000000"/>
          <w:sz w:val="21"/>
        </w:rPr>
        <w:t>[Filed 12/14/07, Notice 10/24/07—published 1/16/08, effective 2/20/08]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7768B</w:t>
      </w:r>
      <w:r>
        <w:rPr>
          <w:rFonts w:ascii="Times New Roman" w:hAnsi="Times New Roman"/>
          <w:b w:val="false"/>
          <w:i w:val="false"/>
          <w:color w:val="000000"/>
          <w:sz w:val="21"/>
        </w:rPr>
        <w:t xml:space="preserve"> (Notice ARC 7626B, IAB 3/11/09)</w:t>
      </w:r>
      <w:r>
        <w:rPr>
          <w:rFonts w:ascii="Times New Roman" w:hAnsi="Times New Roman"/>
          <w:b w:val="false"/>
          <w:i w:val="false"/>
          <w:color w:val="000000"/>
          <w:sz w:val="21"/>
        </w:rPr>
        <w:t>, IAB 5/20/09, effective 7/1/09]</w:t>
      </w:r>
    </w:p>
    <w:p>
      <w:pPr>
        <w:spacing w:before="0" w:after="0"/>
        <w:ind w:left="120"/>
        <w:jc w:val="center"/>
      </w:pPr>
      <w:r>
        <w:rPr>
          <w:rFonts w:ascii="Times New Roman" w:hAnsi="Times New Roman"/>
          <w:b w:val="false"/>
          <w:i w:val="false"/>
          <w:color w:val="000000"/>
          <w:sz w:val="21"/>
        </w:rPr>
        <w:t>[Filed Emergency ARC 7879B, IAB 6/17/09, effective 6/1/09]</w:t>
      </w:r>
    </w:p>
    <w:p>
      <w:pPr>
        <w:spacing w:before="0" w:after="0"/>
        <w:ind w:left="120"/>
        <w:jc w:val="center"/>
      </w:pPr>
      <w:r>
        <w:rPr>
          <w:rFonts w:ascii="Times New Roman" w:hAnsi="Times New Roman"/>
          <w:b w:val="false"/>
          <w:i w:val="false"/>
          <w:color w:val="000000"/>
          <w:sz w:val="21"/>
        </w:rPr>
        <w:t>[Filed Emergency ARC 0576C, IAB 2/6/13, effective 1/8/13]</w:t>
      </w:r>
    </w:p>
    <w:p>
      <w:pPr>
        <w:spacing w:before="0" w:after="0"/>
        <w:ind w:left="120"/>
        <w:jc w:val="center"/>
      </w:pPr>
      <w:r>
        <w:rPr>
          <w:rFonts w:ascii="Times New Roman" w:hAnsi="Times New Roman"/>
          <w:b w:val="false"/>
          <w:i w:val="false"/>
          <w:color w:val="000000"/>
          <w:sz w:val="21"/>
        </w:rPr>
        <w:t>[Filed ARC 0735C</w:t>
      </w:r>
      <w:r>
        <w:rPr>
          <w:rFonts w:ascii="Times New Roman" w:hAnsi="Times New Roman"/>
          <w:b w:val="false"/>
          <w:i w:val="false"/>
          <w:color w:val="000000"/>
          <w:sz w:val="21"/>
        </w:rPr>
        <w:t xml:space="preserve"> (Notice ARC 0575C, IAB 2/6/13)</w:t>
      </w:r>
      <w:r>
        <w:rPr>
          <w:rFonts w:ascii="Times New Roman" w:hAnsi="Times New Roman"/>
          <w:b w:val="false"/>
          <w:i w:val="false"/>
          <w:color w:val="000000"/>
          <w:sz w:val="21"/>
        </w:rPr>
        <w:t>, IAB 5/15/13, effective 8/1/13]</w:t>
      </w:r>
    </w:p>
    <w:p>
      <w:pPr>
        <w:spacing w:before="0" w:after="0"/>
        <w:ind w:left="120"/>
        <w:jc w:val="center"/>
      </w:pPr>
      <w:r>
        <w:rPr>
          <w:rFonts w:ascii="Times New Roman" w:hAnsi="Times New Roman"/>
          <w:b w:val="false"/>
          <w:i w:val="false"/>
          <w:color w:val="000000"/>
          <w:sz w:val="21"/>
        </w:rPr>
        <w:t>[Filed ARC 1096C</w:t>
      </w:r>
      <w:r>
        <w:rPr>
          <w:rFonts w:ascii="Times New Roman" w:hAnsi="Times New Roman"/>
          <w:b w:val="false"/>
          <w:i w:val="false"/>
          <w:color w:val="000000"/>
          <w:sz w:val="21"/>
        </w:rPr>
        <w:t xml:space="preserve"> (Notice ARC 0885C,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1173C</w:t>
      </w:r>
      <w:r>
        <w:rPr>
          <w:rFonts w:ascii="Times New Roman" w:hAnsi="Times New Roman"/>
          <w:b w:val="false"/>
          <w:i w:val="false"/>
          <w:color w:val="000000"/>
          <w:sz w:val="21"/>
        </w:rPr>
        <w:t xml:space="preserve"> (Notice ARC 0974C, IAB 8/21/13)</w:t>
      </w:r>
      <w:r>
        <w:rPr>
          <w:rFonts w:ascii="Times New Roman" w:hAnsi="Times New Roman"/>
          <w:b w:val="false"/>
          <w:i w:val="false"/>
          <w:color w:val="000000"/>
          <w:sz w:val="21"/>
        </w:rPr>
        <w:t>, IAB 11/13/13, effective 1/1/14]</w:t>
      </w:r>
    </w:p>
    <w:p>
      <w:pPr>
        <w:spacing w:before="0" w:after="0"/>
        <w:ind w:left="120"/>
        <w:jc w:val="center"/>
      </w:pPr>
      <w:r>
        <w:rPr>
          <w:rFonts w:ascii="Times New Roman" w:hAnsi="Times New Roman"/>
          <w:b w:val="false"/>
          <w:i w:val="false"/>
          <w:color w:val="000000"/>
          <w:sz w:val="21"/>
        </w:rPr>
        <w:t>[Filed Emergency After Notice ARC 1671C</w:t>
      </w:r>
      <w:r>
        <w:rPr>
          <w:rFonts w:ascii="Times New Roman" w:hAnsi="Times New Roman"/>
          <w:b w:val="false"/>
          <w:i w:val="false"/>
          <w:color w:val="000000"/>
          <w:sz w:val="21"/>
        </w:rPr>
        <w:t xml:space="preserve"> (Notice ARC 1591C, IAB 8/20/14)</w:t>
      </w:r>
      <w:r>
        <w:rPr>
          <w:rFonts w:ascii="Times New Roman" w:hAnsi="Times New Roman"/>
          <w:b w:val="false"/>
          <w:i w:val="false"/>
          <w:color w:val="000000"/>
          <w:sz w:val="21"/>
        </w:rPr>
        <w:t>, IAB 10/15/14, effective 9/25/14]</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p>
    <w:p>
      <w:pPr>
        <w:spacing w:before="0" w:after="0"/>
        <w:ind w:left="120"/>
        <w:jc w:val="center"/>
      </w:pPr>
      <w:r>
        <w:rPr>
          <w:rFonts w:ascii="Times New Roman" w:hAnsi="Times New Roman"/>
          <w:b w:val="false"/>
          <w:i w:val="false"/>
          <w:color w:val="000000"/>
          <w:sz w:val="21"/>
        </w:rPr>
        <w:t>[Filed ARC 2438C</w:t>
      </w:r>
      <w:r>
        <w:rPr>
          <w:rFonts w:ascii="Times New Roman" w:hAnsi="Times New Roman"/>
          <w:b w:val="false"/>
          <w:i w:val="false"/>
          <w:color w:val="000000"/>
          <w:sz w:val="21"/>
        </w:rPr>
        <w:t xml:space="preserve"> (Notice ARC 2350C, IAB 1/6/16)</w:t>
      </w:r>
      <w:r>
        <w:rPr>
          <w:rFonts w:ascii="Times New Roman" w:hAnsi="Times New Roman"/>
          <w:b w:val="false"/>
          <w:i w:val="false"/>
          <w:color w:val="000000"/>
          <w:sz w:val="21"/>
        </w:rPr>
        <w:t>, IAB 3/16/16, effective 5/1/16]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2637C</w:t>
      </w:r>
      <w:r>
        <w:rPr>
          <w:rFonts w:ascii="Times New Roman" w:hAnsi="Times New Roman"/>
          <w:b w:val="false"/>
          <w:i w:val="false"/>
          <w:color w:val="000000"/>
          <w:sz w:val="21"/>
        </w:rPr>
        <w:t xml:space="preserve"> (Notice ARC 2550C,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4207C</w:t>
      </w:r>
      <w:r>
        <w:rPr>
          <w:rFonts w:ascii="Times New Roman" w:hAnsi="Times New Roman"/>
          <w:b w:val="false"/>
          <w:i w:val="false"/>
          <w:color w:val="000000"/>
          <w:sz w:val="21"/>
        </w:rPr>
        <w:t xml:space="preserve"> (Amended Notice ARC 4044C, IAB 10/10/18; </w:t>
      </w:r>
      <w:r>
        <w:rPr>
          <w:rFonts w:ascii="Times New Roman" w:hAnsi="Times New Roman"/>
          <w:b w:val="false"/>
          <w:i w:val="false"/>
          <w:color w:val="000000"/>
          <w:sz w:val="21"/>
        </w:rPr>
        <w:t>Notice ARC 3942C, IAB 8/15/18)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ARC 4610C</w:t>
      </w:r>
      <w:r>
        <w:rPr>
          <w:rFonts w:ascii="Times New Roman" w:hAnsi="Times New Roman"/>
          <w:b w:val="false"/>
          <w:i w:val="false"/>
          <w:color w:val="000000"/>
          <w:sz w:val="21"/>
        </w:rPr>
        <w:t xml:space="preserve"> (Notice ARC 4440C,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4896C</w:t>
      </w:r>
      <w:r>
        <w:rPr>
          <w:rFonts w:ascii="Times New Roman" w:hAnsi="Times New Roman"/>
          <w:b w:val="false"/>
          <w:i w:val="false"/>
          <w:color w:val="000000"/>
          <w:sz w:val="21"/>
        </w:rPr>
        <w:t xml:space="preserve"> (Notice ARC 4762C,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5956C</w:t>
      </w:r>
      <w:r>
        <w:rPr>
          <w:rFonts w:ascii="Times New Roman" w:hAnsi="Times New Roman"/>
          <w:b w:val="false"/>
          <w:i w:val="false"/>
          <w:color w:val="000000"/>
          <w:sz w:val="21"/>
        </w:rPr>
        <w:t xml:space="preserve"> (Notice ARC 5779C, IAB 7/14/21)</w:t>
      </w:r>
      <w:r>
        <w:rPr>
          <w:rFonts w:ascii="Times New Roman" w:hAnsi="Times New Roman"/>
          <w:b w:val="false"/>
          <w:i w:val="false"/>
          <w:color w:val="000000"/>
          <w:sz w:val="21"/>
        </w:rPr>
        <w:t>, IAB 10/6/21, effective 12/1/21]</w:t>
      </w:r>
    </w:p>
    <w:p>
      <w:pPr>
        <w:spacing w:before="0" w:after="0"/>
        <w:ind w:left="120"/>
        <w:jc w:val="center"/>
      </w:pPr>
      <w:r>
        <w:rPr>
          <w:rFonts w:ascii="Times New Roman" w:hAnsi="Times New Roman"/>
          <w:b w:val="false"/>
          <w:i w:val="false"/>
          <w:color w:val="000000"/>
          <w:sz w:val="21"/>
        </w:rPr>
        <w:t>[Filed Emergency ARC 6008C, IAB 11/3/21, effective 10/4/21]</w:t>
      </w:r>
    </w:p>
    <w:p>
      <w:pPr>
        <w:spacing w:before="0" w:after="0"/>
        <w:ind w:left="120"/>
        <w:jc w:val="center"/>
      </w:pPr>
      <w:r>
        <w:rPr>
          <w:rFonts w:ascii="Times New Roman" w:hAnsi="Times New Roman"/>
          <w:b w:val="false"/>
          <w:i w:val="false"/>
          <w:color w:val="000000"/>
          <w:sz w:val="21"/>
        </w:rPr>
        <w:t>[Filed ARC 6195C</w:t>
      </w:r>
      <w:r>
        <w:rPr>
          <w:rFonts w:ascii="Times New Roman" w:hAnsi="Times New Roman"/>
          <w:b w:val="false"/>
          <w:i w:val="false"/>
          <w:color w:val="000000"/>
          <w:sz w:val="21"/>
        </w:rPr>
        <w:t xml:space="preserve"> (Notice ARC 6009C,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6237C</w:t>
      </w:r>
      <w:r>
        <w:rPr>
          <w:rFonts w:ascii="Times New Roman" w:hAnsi="Times New Roman"/>
          <w:b w:val="false"/>
          <w:i w:val="false"/>
          <w:color w:val="000000"/>
          <w:sz w:val="21"/>
        </w:rPr>
        <w:t xml:space="preserve"> (Notice ARC 6115C, IAB 12/29/21)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6613C</w:t>
      </w:r>
      <w:r>
        <w:rPr>
          <w:rFonts w:ascii="Times New Roman" w:hAnsi="Times New Roman"/>
          <w:b w:val="false"/>
          <w:i w:val="false"/>
          <w:color w:val="000000"/>
          <w:sz w:val="21"/>
        </w:rPr>
        <w:t xml:space="preserve"> (Notice ARC 6407C, IAB 7/13/22)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ARC 8109C</w:t>
      </w:r>
      <w:r>
        <w:rPr>
          <w:rFonts w:ascii="Times New Roman" w:hAnsi="Times New Roman"/>
          <w:b w:val="false"/>
          <w:i w:val="false"/>
          <w:color w:val="000000"/>
          <w:sz w:val="21"/>
        </w:rPr>
        <w:t xml:space="preserve"> (Notice ARC 7885C, IAB 5/1/24)</w:t>
      </w:r>
      <w:r>
        <w:rPr>
          <w:rFonts w:ascii="Times New Roman" w:hAnsi="Times New Roman"/>
          <w:b w:val="false"/>
          <w:i w:val="false"/>
          <w:color w:val="000000"/>
          <w:sz w:val="21"/>
        </w:rPr>
        <w:t>, IAB 7/10/24, effective 8/14/24]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May 1, 2016, effective date of </w:t>
      </w:r>
      <w:hyperlink r:id="rId150">
        <w:r>
          <w:rPr>
            <w:rStyle w:val="Hyperlink"/>
            <w:rFonts w:ascii="Times New Roman" w:hAnsi="Times New Roman"/>
            <w:b w:val="false"/>
            <w:i w:val="false"/>
            <w:color w:val="000000"/>
            <w:sz w:val="22"/>
          </w:rPr>
          <w:t>25.106</w:t>
        </w:r>
      </w:hyperlink>
      <w:r>
        <w:rPr>
          <w:rFonts w:ascii="Times New Roman" w:hAnsi="Times New Roman"/>
          <w:b w:val="false"/>
          <w:i w:val="false"/>
          <w:color w:val="000000"/>
          <w:sz w:val="22"/>
        </w:rPr>
        <w:t xml:space="preserve"> (ARC 2438C) delayed 70 days by the Administrative Rules Review Committee at its meeting held April 8, 2016. At its meeting held June 14, 2016, the Committee delayed the effective date of </w:t>
      </w:r>
      <w:hyperlink r:id="rId151">
        <w:r>
          <w:rPr>
            <w:rStyle w:val="Hyperlink"/>
            <w:rFonts w:ascii="Times New Roman" w:hAnsi="Times New Roman"/>
            <w:b w:val="false"/>
            <w:i w:val="false"/>
            <w:color w:val="000000"/>
            <w:sz w:val="22"/>
          </w:rPr>
          <w:t>25.106</w:t>
        </w:r>
      </w:hyperlink>
      <w:r>
        <w:rPr>
          <w:rFonts w:ascii="Times New Roman" w:hAnsi="Times New Roman"/>
          <w:b w:val="false"/>
          <w:i w:val="false"/>
          <w:color w:val="000000"/>
          <w:sz w:val="22"/>
        </w:rPr>
        <w:t xml:space="preserve"> until the adjournment of the 2017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0A.106.pdf" Type="http://schemas.openxmlformats.org/officeDocument/2006/relationships/hyperlink" Id="rId5"/>
    <Relationship TargetMode="External" Target="https://www.legis.iowa.gov/docs/ico/chapter/225C.pdf" Type="http://schemas.openxmlformats.org/officeDocument/2006/relationships/hyperlink" Id="rId6"/>
    <Relationship TargetMode="External" Target="https://www.legis.iowa.gov/docs/iac/rule/441.24.4.pdf" Type="http://schemas.openxmlformats.org/officeDocument/2006/relationships/hyperlink" Id="rId7"/>
    <Relationship TargetMode="External" Target="https://www.legis.iowa.gov/docs/ico/chapter/229.22.pdf" Type="http://schemas.openxmlformats.org/officeDocument/2006/relationships/hyperlink" Id="rId8"/>
    <Relationship TargetMode="External" Target="https://www.legis.iowa.gov/docs/ico/chapter/48A.2.pdf" Type="http://schemas.openxmlformats.org/officeDocument/2006/relationships/hyperlink" Id="rId9"/>
    <Relationship TargetMode="External" Target="https://www.legis.iowa.gov/docs/ico/chapter/249A.2.pdf" Type="http://schemas.openxmlformats.org/officeDocument/2006/relationships/hyperlink" Id="rId10"/>
    <Relationship TargetMode="External" Target="https://www.legis.iowa.gov/docs/ico/chapter/230A.106.pdf" Type="http://schemas.openxmlformats.org/officeDocument/2006/relationships/hyperlink" Id="rId11"/>
    <Relationship TargetMode="External" Target="https://www.legis.iowa.gov/docs/ico/chapter/228.1.pdf" Type="http://schemas.openxmlformats.org/officeDocument/2006/relationships/hyperlink" Id="rId12"/>
    <Relationship TargetMode="External" Target="https://www.legis.iowa.gov/docs/iac/rule/441.25.11.pdf" Type="http://schemas.openxmlformats.org/officeDocument/2006/relationships/hyperlink" Id="rId13"/>
    <Relationship TargetMode="External" Target="https://www.legis.iowa.gov/docs/ico/chapter/225C.2.pdf" Type="http://schemas.openxmlformats.org/officeDocument/2006/relationships/hyperlink" Id="rId14"/>
    <Relationship TargetMode="External" Target="https://www.legis.iowa.gov/docs/ico/chapter/225C.6.pdf" Type="http://schemas.openxmlformats.org/officeDocument/2006/relationships/hyperlink" Id="rId15"/>
    <Relationship TargetMode="External" Target="https://www.legis.iowa.gov/docs/ico/chapter/225C.21.pdf" Type="http://schemas.openxmlformats.org/officeDocument/2006/relationships/hyperlink" Id="rId16"/>
    <Relationship TargetMode="External" Target="https://www.legis.iowa.gov/docs/ico/chapter/225C.65.pdf" Type="http://schemas.openxmlformats.org/officeDocument/2006/relationships/hyperlink" Id="rId17"/>
    <Relationship TargetMode="External" Target="https://www.legis.iowa.gov/docs/ico/chapter/225C.66.pdf" Type="http://schemas.openxmlformats.org/officeDocument/2006/relationships/hyperlink" Id="rId18"/>
    <Relationship TargetMode="External" Target="https://www.legis.iowa.gov/docs/iac/rule/441.25.2.pdf" Type="http://schemas.openxmlformats.org/officeDocument/2006/relationships/hyperlink" Id="rId19"/>
    <Relationship TargetMode="External" Target="https://www.legis.iowa.gov/docs/iac/rule/441.25.2.pdf" Type="http://schemas.openxmlformats.org/officeDocument/2006/relationships/hyperlink" Id="rId20"/>
    <Relationship TargetMode="External" Target="https://www.legis.iowa.gov/docs/iac/rule/441.25.4.pdf" Type="http://schemas.openxmlformats.org/officeDocument/2006/relationships/hyperlink" Id="rId21"/>
    <Relationship TargetMode="External" Target="https://www.legis.iowa.gov/docs/iac/chapter/441.24.pdf" Type="http://schemas.openxmlformats.org/officeDocument/2006/relationships/hyperlink" Id="rId22"/>
    <Relationship TargetMode="External" Target="https://www.legis.iowa.gov/docs/iac/rule/441.77.56.pdf" Type="http://schemas.openxmlformats.org/officeDocument/2006/relationships/hyperlink" Id="rId23"/>
    <Relationship TargetMode="External" Target="https://www.legis.iowa.gov/docs/ico/chapter/125.pdf" Type="http://schemas.openxmlformats.org/officeDocument/2006/relationships/hyperlink" Id="rId24"/>
    <Relationship TargetMode="External" Target="https://www.legis.iowa.gov/docs/iac/rule/441.25.6.pdf" Type="http://schemas.openxmlformats.org/officeDocument/2006/relationships/hyperlink" Id="rId25"/>
    <Relationship TargetMode="External" Target="https://www.legis.iowa.gov/docs/iac/rule/441.24.37.pdf" Type="http://schemas.openxmlformats.org/officeDocument/2006/relationships/hyperlink" Id="rId26"/>
    <Relationship TargetMode="External" Target="https://www.legis.iowa.gov/docs/ico/chapter/135G.pdf" Type="http://schemas.openxmlformats.org/officeDocument/2006/relationships/hyperlink" Id="rId27"/>
    <Relationship TargetMode="External" Target="https://www.legis.iowa.gov/docs/ico/chapter/125.pdf" Type="http://schemas.openxmlformats.org/officeDocument/2006/relationships/hyperlink" Id="rId28"/>
    <Relationship TargetMode="External" Target="https://www.legis.iowa.gov/docs/iac/rule/441.25.1.pdf" Type="http://schemas.openxmlformats.org/officeDocument/2006/relationships/hyperlink" Id="rId29"/>
    <Relationship TargetMode="External" Target="https://www.legis.iowa.gov/docs/ico/chapter/229.pdf" Type="http://schemas.openxmlformats.org/officeDocument/2006/relationships/hyperlink" Id="rId30"/>
    <Relationship TargetMode="External" Target="https://www.legis.iowa.gov/docs/ico/chapter/331.pdf" Type="http://schemas.openxmlformats.org/officeDocument/2006/relationships/hyperlink" Id="rId31"/>
    <Relationship TargetMode="External" Target="https://www.legis.iowa.gov/docs/ico/chapter/225C.pdf" Type="http://schemas.openxmlformats.org/officeDocument/2006/relationships/hyperlink" Id="rId32"/>
    <Relationship TargetMode="External" Target="https://www.legis.iowa.gov/docs/ico/chapter/225C.60.pdf" Type="http://schemas.openxmlformats.org/officeDocument/2006/relationships/hyperlink" Id="rId33"/>
    <Relationship TargetMode="External" Target="https://www.legis.iowa.gov/docs/iac/rule/441.25.1.pdf" Type="http://schemas.openxmlformats.org/officeDocument/2006/relationships/hyperlink" Id="rId34"/>
    <Relationship TargetMode="External" Target="https://www.legis.iowa.gov/docs/ico/chapter/225C.57.pdf" Type="http://schemas.openxmlformats.org/officeDocument/2006/relationships/hyperlink" Id="rId35"/>
    <Relationship TargetMode="External" Target="https://www.legis.iowa.gov/docs/ico/chapter/225C.57.pdf" Type="http://schemas.openxmlformats.org/officeDocument/2006/relationships/hyperlink" Id="rId36"/>
    <Relationship TargetMode="External" Target="https://www.legis.iowa.gov/docs/ico/chapter/225C.61.pdf" Type="http://schemas.openxmlformats.org/officeDocument/2006/relationships/hyperlink" Id="rId37"/>
    <Relationship TargetMode="External" Target="https://www.legis.iowa.gov/docs/ico/chapter/225C.2.pdf" Type="http://schemas.openxmlformats.org/officeDocument/2006/relationships/hyperlink" Id="rId38"/>
    <Relationship TargetMode="External" Target="https://www.legis.iowa.gov/docs/iac/rule/441.24.4.pdf" Type="http://schemas.openxmlformats.org/officeDocument/2006/relationships/hyperlink" Id="rId39"/>
    <Relationship TargetMode="External" Target="https://www.legis.iowa.gov/docs/iac/rule/441.25.13.pdf" Type="http://schemas.openxmlformats.org/officeDocument/2006/relationships/hyperlink" Id="rId40"/>
    <Relationship TargetMode="External" Target="https://www.legis.iowa.gov/docs/ico/chapter/225C.7A.pdf" Type="http://schemas.openxmlformats.org/officeDocument/2006/relationships/hyperlink" Id="rId41"/>
    <Relationship TargetMode="External" Target="https://www.legis.iowa.gov/docs/ico/chapter/48A.2.pdf" Type="http://schemas.openxmlformats.org/officeDocument/2006/relationships/hyperlink" Id="rId42"/>
    <Relationship TargetMode="External" Target="https://www.legis.iowa.gov/docs/ico/chapter/602.1102.pdf" Type="http://schemas.openxmlformats.org/officeDocument/2006/relationships/hyperlink" Id="rId43"/>
    <Relationship TargetMode="External" Target="https://www.legis.iowa.gov/docs/ico/chapter/80B.3.pdf" Type="http://schemas.openxmlformats.org/officeDocument/2006/relationships/hyperlink" Id="rId44"/>
    <Relationship TargetMode="External" Target="https://www.legis.iowa.gov/docs/ico/chapter/228.1.pdf" Type="http://schemas.openxmlformats.org/officeDocument/2006/relationships/hyperlink" Id="rId45"/>
    <Relationship TargetMode="External" Target="https://www.legis.iowa.gov/docs/ico/chapter/225C.55.pdf" Type="http://schemas.openxmlformats.org/officeDocument/2006/relationships/hyperlink" Id="rId46"/>
    <Relationship TargetMode="External" Target="https://www.legis.iowa.gov/docs/iac/chapter/441.24.pdf" Type="http://schemas.openxmlformats.org/officeDocument/2006/relationships/hyperlink" Id="rId47"/>
    <Relationship TargetMode="External" Target="https://www.legis.iowa.gov/docs/ico/chapter/225C.7A.pdf" Type="http://schemas.openxmlformats.org/officeDocument/2006/relationships/hyperlink" Id="rId48"/>
    <Relationship TargetMode="External" Target="https://www.legis.iowa.gov/docs/ico/chapter/225C.7A.pdf" Type="http://schemas.openxmlformats.org/officeDocument/2006/relationships/hyperlink" Id="rId49"/>
    <Relationship TargetMode="External" Target="https://www.legis.iowa.gov/docs/ico/chapter/225C.7A.pdf" Type="http://schemas.openxmlformats.org/officeDocument/2006/relationships/hyperlink" Id="rId50"/>
    <Relationship TargetMode="External" Target="https://www.legis.iowa.gov/docs/ico/chapter/225C.60.pdf" Type="http://schemas.openxmlformats.org/officeDocument/2006/relationships/hyperlink" Id="rId51"/>
    <Relationship TargetMode="External" Target="https://www.legis.iowa.gov/docs/ico/chapter/627.6.pdf" Type="http://schemas.openxmlformats.org/officeDocument/2006/relationships/hyperlink" Id="rId52"/>
    <Relationship TargetMode="External" Target="https://www.legis.iowa.gov/docs/ico/chapter/225C.5.pdf" Type="http://schemas.openxmlformats.org/officeDocument/2006/relationships/hyperlink" Id="rId53"/>
    <Relationship TargetMode="External" Target="https://www.legis.iowa.gov/docs/ico/chapter/28E.pdf" Type="http://schemas.openxmlformats.org/officeDocument/2006/relationships/hyperlink" Id="rId54"/>
    <Relationship TargetMode="External" Target="https://www.legis.iowa.gov/docs/ico/chapter/225C.55.pdf" Type="http://schemas.openxmlformats.org/officeDocument/2006/relationships/hyperlink" Id="rId55"/>
    <Relationship TargetMode="External" Target="https://www.legis.iowa.gov/docs/ico/chapter/225C.57.pdf" Type="http://schemas.openxmlformats.org/officeDocument/2006/relationships/hyperlink" Id="rId56"/>
    <Relationship TargetMode="External" Target="https://www.legis.iowa.gov/docs/ico/chapter/225C.59.pdf" Type="http://schemas.openxmlformats.org/officeDocument/2006/relationships/hyperlink" Id="rId57"/>
    <Relationship TargetMode="External" Target="https://www.legis.iowa.gov/docs/ico/chapter/225C.68.pdf" Type="http://schemas.openxmlformats.org/officeDocument/2006/relationships/hyperlink" Id="rId58"/>
    <Relationship TargetMode="External" Target="https://www.legis.iowa.gov/docs/ico/chapter/225C.57.pdf" Type="http://schemas.openxmlformats.org/officeDocument/2006/relationships/hyperlink" Id="rId59"/>
    <Relationship TargetMode="External" Target="https://www.legis.iowa.gov/docs/ico/chapter/69.pdf" Type="http://schemas.openxmlformats.org/officeDocument/2006/relationships/hyperlink" Id="rId60"/>
    <Relationship TargetMode="External" Target="https://www.legis.iowa.gov/docs/ico/chapter/225C.57.pdf" Type="http://schemas.openxmlformats.org/officeDocument/2006/relationships/hyperlink" Id="rId61"/>
    <Relationship TargetMode="External" Target="https://www.legis.iowa.gov/docs/ico/chapter/225C.57.pdf" Type="http://schemas.openxmlformats.org/officeDocument/2006/relationships/hyperlink" Id="rId62"/>
    <Relationship TargetMode="External" Target="https://www.legis.iowa.gov/docs/ico/chapter/225C.55.pdf" Type="http://schemas.openxmlformats.org/officeDocument/2006/relationships/hyperlink" Id="rId63"/>
    <Relationship TargetMode="External" Target="https://www.legis.iowa.gov/docs/ico/chapter/225C.57.pdf" Type="http://schemas.openxmlformats.org/officeDocument/2006/relationships/hyperlink" Id="rId64"/>
    <Relationship TargetMode="External" Target="https://www.legis.iowa.gov/docs/ico/chapter/225C.68.pdf" Type="http://schemas.openxmlformats.org/officeDocument/2006/relationships/hyperlink" Id="rId65"/>
    <Relationship TargetMode="External" Target="https://www.legis.iowa.gov/docs/ico/chapter/225C.4.pdf" Type="http://schemas.openxmlformats.org/officeDocument/2006/relationships/hyperlink" Id="rId66"/>
    <Relationship TargetMode="External" Target="https://www.legis.iowa.gov/docs/ico/chapter/225C.60.pdf" Type="http://schemas.openxmlformats.org/officeDocument/2006/relationships/hyperlink" Id="rId67"/>
    <Relationship TargetMode="External" Target="https://www.legis.iowa.gov/docs/ico/chapter/225C.7A.pdf" Type="http://schemas.openxmlformats.org/officeDocument/2006/relationships/hyperlink" Id="rId68"/>
    <Relationship TargetMode="External" Target="https://www.legis.iowa.gov/docs/ico/chapter/225C.56.pdf" Type="http://schemas.openxmlformats.org/officeDocument/2006/relationships/hyperlink" Id="rId69"/>
    <Relationship TargetMode="External" Target="https://www.legis.iowa.gov/docs/ico/chapter/225C.58.pdf" Type="http://schemas.openxmlformats.org/officeDocument/2006/relationships/hyperlink" Id="rId70"/>
    <Relationship TargetMode="External" Target="https://www.legis.iowa.gov/docs/iac/rule/441.25.13.pdf" Type="http://schemas.openxmlformats.org/officeDocument/2006/relationships/hyperlink" Id="rId71"/>
    <Relationship TargetMode="External" Target="https://www.legis.iowa.gov/docs/iac/rule/441.25.13.pdf" Type="http://schemas.openxmlformats.org/officeDocument/2006/relationships/hyperlink" Id="rId72"/>
    <Relationship TargetMode="External" Target="https://www.legis.iowa.gov/docs/iac/rule/441.25.13.pdf" Type="http://schemas.openxmlformats.org/officeDocument/2006/relationships/hyperlink" Id="rId73"/>
    <Relationship TargetMode="External" Target="https://www.legis.iowa.gov/docs/iac/rule/441.25.13.pdf" Type="http://schemas.openxmlformats.org/officeDocument/2006/relationships/hyperlink" Id="rId74"/>
    <Relationship TargetMode="External" Target="https://www.legis.iowa.gov/docs/ico/chapter/28E.1.pdf" Type="http://schemas.openxmlformats.org/officeDocument/2006/relationships/hyperlink" Id="rId75"/>
    <Relationship TargetMode="External" Target="https://www.legis.iowa.gov/docs/ico/chapter/225C.55.pdf" Type="http://schemas.openxmlformats.org/officeDocument/2006/relationships/hyperlink" Id="rId76"/>
    <Relationship TargetMode="External" Target="https://www.legis.iowa.gov/docs/ico/chapter/225C.57.pdf" Type="http://schemas.openxmlformats.org/officeDocument/2006/relationships/hyperlink" Id="rId77"/>
    <Relationship TargetMode="External" Target="https://www.legis.iowa.gov/docs/ico/chapter/225C.59.pdf" Type="http://schemas.openxmlformats.org/officeDocument/2006/relationships/hyperlink" Id="rId78"/>
    <Relationship TargetMode="External" Target="https://www.legis.iowa.gov/docs/ico/chapter/225C.56.pdf" Type="http://schemas.openxmlformats.org/officeDocument/2006/relationships/hyperlink" Id="rId79"/>
    <Relationship TargetMode="External" Target="https://www.legis.iowa.gov/docs/ico/chapter/225C.60.pdf" Type="http://schemas.openxmlformats.org/officeDocument/2006/relationships/hyperlink" Id="rId80"/>
    <Relationship TargetMode="External" Target="https://www.legis.iowa.gov/docs/iac/rule/441.25.16.pdf" Type="http://schemas.openxmlformats.org/officeDocument/2006/relationships/hyperlink" Id="rId81"/>
    <Relationship TargetMode="External" Target="https://www.legis.iowa.gov/docs/iac/rule/441.25.16.pdf" Type="http://schemas.openxmlformats.org/officeDocument/2006/relationships/hyperlink" Id="rId82"/>
    <Relationship TargetMode="External" Target="https://www.legis.iowa.gov/docs/ico/chapter/225C.66.pdf" Type="http://schemas.openxmlformats.org/officeDocument/2006/relationships/hyperlink" Id="rId83"/>
    <Relationship TargetMode="External" Target="https://www.legis.iowa.gov/docs/iac/rule/441.25.16.pdf" Type="http://schemas.openxmlformats.org/officeDocument/2006/relationships/hyperlink" Id="rId84"/>
    <Relationship TargetMode="External" Target="https://www.legis.iowa.gov/docs/iac/rule/441.83.60.pdf" Type="http://schemas.openxmlformats.org/officeDocument/2006/relationships/hyperlink" Id="rId85"/>
    <Relationship TargetMode="External" Target="https://www.legis.iowa.gov/docs/iac/rule/441.25.16.pdf" Type="http://schemas.openxmlformats.org/officeDocument/2006/relationships/hyperlink" Id="rId86"/>
    <Relationship TargetMode="External" Target="https://www.legis.iowa.gov/docs/iac/rule/441.83.81.pdf" Type="http://schemas.openxmlformats.org/officeDocument/2006/relationships/hyperlink" Id="rId87"/>
    <Relationship TargetMode="External" Target="https://www.legis.iowa.gov/docs/ico/chapter/225C.65.pdf" Type="http://schemas.openxmlformats.org/officeDocument/2006/relationships/hyperlink" Id="rId88"/>
    <Relationship TargetMode="External" Target="https://www.legis.iowa.gov/docs/iac/rule/441.25.16.pdf" Type="http://schemas.openxmlformats.org/officeDocument/2006/relationships/hyperlink" Id="rId89"/>
    <Relationship TargetMode="External" Target="https://www.legis.iowa.gov/docs/iac/rule/441.24.1.pdf" Type="http://schemas.openxmlformats.org/officeDocument/2006/relationships/hyperlink" Id="rId90"/>
    <Relationship TargetMode="External" Target="https://www.legis.iowa.gov/docs/ico/chapter/225C.62.pdf" Type="http://schemas.openxmlformats.org/officeDocument/2006/relationships/hyperlink" Id="rId91"/>
    <Relationship TargetMode="External" Target="https://www.legis.iowa.gov/docs/ico/chapter/225C.64.pdf" Type="http://schemas.openxmlformats.org/officeDocument/2006/relationships/hyperlink" Id="rId92"/>
    <Relationship TargetMode="External" Target="https://www.legis.iowa.gov/docs/iac/rule/441.25.16.pdf" Type="http://schemas.openxmlformats.org/officeDocument/2006/relationships/hyperlink" Id="rId93"/>
    <Relationship TargetMode="External" Target="https://www.legis.iowa.gov/docs/ico/chapter/225C.62.pdf" Type="http://schemas.openxmlformats.org/officeDocument/2006/relationships/hyperlink" Id="rId94"/>
    <Relationship TargetMode="External" Target="https://www.legis.iowa.gov/docs/ico/chapter/225C.64.pdf" Type="http://schemas.openxmlformats.org/officeDocument/2006/relationships/hyperlink" Id="rId95"/>
    <Relationship TargetMode="External" Target="https://www.legis.iowa.gov/docs/ico/chapter/225C.65.pdf" Type="http://schemas.openxmlformats.org/officeDocument/2006/relationships/hyperlink" Id="rId96"/>
    <Relationship TargetMode="External" Target="https://www.legis.iowa.gov/docs/ico/chapter/225C.66.pdf" Type="http://schemas.openxmlformats.org/officeDocument/2006/relationships/hyperlink" Id="rId97"/>
    <Relationship TargetMode="External" Target="https://www.legis.iowa.gov/docs/ico/chapter/230.15.pdf" Type="http://schemas.openxmlformats.org/officeDocument/2006/relationships/hyperlink" Id="rId98"/>
    <Relationship TargetMode="External" Target="https://www.legis.iowa.gov/docs/ico/chapter/229.8.pdf" Type="http://schemas.openxmlformats.org/officeDocument/2006/relationships/hyperlink" Id="rId99"/>
    <Relationship TargetMode="External" Target="https://www.legis.iowa.gov/docs/ico/chapter/225C.56.pdf" Type="http://schemas.openxmlformats.org/officeDocument/2006/relationships/hyperlink" Id="rId100"/>
    <Relationship TargetMode="External" Target="https://www.legis.iowa.gov/docs/iac/rule/441.25.6.pdf" Type="http://schemas.openxmlformats.org/officeDocument/2006/relationships/hyperlink" Id="rId101"/>
    <Relationship TargetMode="External" Target="https://www.legis.iowa.gov/docs/iac/rule/441.25.2.pdf" Type="http://schemas.openxmlformats.org/officeDocument/2006/relationships/hyperlink" Id="rId102"/>
    <Relationship TargetMode="External" Target="https://www.legis.iowa.gov/docs/iac/rule/441.25.2.pdf" Type="http://schemas.openxmlformats.org/officeDocument/2006/relationships/hyperlink" Id="rId103"/>
    <Relationship TargetMode="External" Target="https://www.legis.iowa.gov/docs/iac/rule/441.25.19.pdf" Type="http://schemas.openxmlformats.org/officeDocument/2006/relationships/hyperlink" Id="rId104"/>
    <Relationship TargetMode="External" Target="https://www.legis.iowa.gov/docs/iac/rule/441.25.6.pdf" Type="http://schemas.openxmlformats.org/officeDocument/2006/relationships/hyperlink" Id="rId105"/>
    <Relationship TargetMode="External" Target="https://www.legis.iowa.gov/docs/iac/rule/441.25.6.pdf" Type="http://schemas.openxmlformats.org/officeDocument/2006/relationships/hyperlink" Id="rId106"/>
    <Relationship TargetMode="External" Target="https://www.legis.iowa.gov/docs/iac/rule/441.25.6.pdf" Type="http://schemas.openxmlformats.org/officeDocument/2006/relationships/hyperlink" Id="rId107"/>
    <Relationship TargetMode="External" Target="https://www.legis.iowa.gov/docs/iac/rule/441.25.6.pdf" Type="http://schemas.openxmlformats.org/officeDocument/2006/relationships/hyperlink" Id="rId108"/>
    <Relationship TargetMode="External" Target="https://www.legis.iowa.gov/docs/iac/rule/441.25.16.pdf" Type="http://schemas.openxmlformats.org/officeDocument/2006/relationships/hyperlink" Id="rId109"/>
    <Relationship TargetMode="External" Target="https://www.legis.iowa.gov/docs/ico/chapter/225C.4.pdf" Type="http://schemas.openxmlformats.org/officeDocument/2006/relationships/hyperlink" Id="rId110"/>
    <Relationship TargetMode="External" Target="https://www.legis.iowa.gov/docs/ico/chapter/225C.6A.pdf" Type="http://schemas.openxmlformats.org/officeDocument/2006/relationships/hyperlink" Id="rId111"/>
    <Relationship TargetMode="External" Target="https://www.legis.iowa.gov/docs/iac/rule/441.24.1.pdf" Type="http://schemas.openxmlformats.org/officeDocument/2006/relationships/hyperlink" Id="rId112"/>
    <Relationship TargetMode="External" Target="https://www.legis.iowa.gov/docs/ico/chapter/225C.60.pdf" Type="http://schemas.openxmlformats.org/officeDocument/2006/relationships/hyperlink" Id="rId113"/>
    <Relationship TargetMode="External" Target="https://www.legis.iowa.gov/docs/iac/rule/441.25.21.pdf" Type="http://schemas.openxmlformats.org/officeDocument/2006/relationships/hyperlink" Id="rId114"/>
    <Relationship TargetMode="External" Target="https://www.legis.iowa.gov/docs/ico/chapter/17A.19.pdf" Type="http://schemas.openxmlformats.org/officeDocument/2006/relationships/hyperlink" Id="rId115"/>
    <Relationship TargetMode="External" Target="https://www.legis.iowa.gov/docs/ico/chapter/229.pdf" Type="http://schemas.openxmlformats.org/officeDocument/2006/relationships/hyperlink" Id="rId116"/>
    <Relationship TargetMode="External" Target="https://www.legis.iowa.gov/docs/ico/chapter/225C.60.pdf" Type="http://schemas.openxmlformats.org/officeDocument/2006/relationships/hyperlink" Id="rId117"/>
    <Relationship TargetMode="External" Target="https://www.legis.iowa.gov/docs/ico/chapter/225C.55-67.pdf" Type="http://schemas.openxmlformats.org/officeDocument/2006/relationships/hyperlink" Id="rId118"/>
    <Relationship TargetMode="External" Target="https://www.legis.iowa.gov/docs/iac/rule/441.25.22.pdf" Type="http://schemas.openxmlformats.org/officeDocument/2006/relationships/hyperlink" Id="rId119"/>
    <Relationship TargetMode="External" Target="https://www.legis.iowa.gov/docs/iac/rule/441.25.23.pdf" Type="http://schemas.openxmlformats.org/officeDocument/2006/relationships/hyperlink" Id="rId120"/>
    <Relationship TargetMode="External" Target="https://www.legis.iowa.gov/docs/ico/chapter/225C.60.pdf" Type="http://schemas.openxmlformats.org/officeDocument/2006/relationships/hyperlink" Id="rId121"/>
    <Relationship TargetMode="External" Target="https://www.legis.iowa.gov/docs/ico/chapter/225C.7A.pdf" Type="http://schemas.openxmlformats.org/officeDocument/2006/relationships/hyperlink" Id="rId122"/>
    <Relationship TargetMode="External" Target="https://www.legis.iowa.gov/docs/ico/chapter/225C.7A.pdf" Type="http://schemas.openxmlformats.org/officeDocument/2006/relationships/hyperlink" Id="rId123"/>
    <Relationship TargetMode="External" Target="https://www.legis.iowa.gov/docs/iac/rule/441.25.19.pdf" Type="http://schemas.openxmlformats.org/officeDocument/2006/relationships/hyperlink" Id="rId124"/>
    <Relationship TargetMode="External" Target="https://www.legis.iowa.gov/docs/ico/chapter/225C.65.pdf" Type="http://schemas.openxmlformats.org/officeDocument/2006/relationships/hyperlink" Id="rId125"/>
    <Relationship TargetMode="External" Target="https://www.legis.iowa.gov/docs/ico/chapter/225C.66.pdf" Type="http://schemas.openxmlformats.org/officeDocument/2006/relationships/hyperlink" Id="rId126"/>
    <Relationship TargetMode="External" Target="https://www.legis.iowa.gov/docs/ico/chapter/225C.56.pdf" Type="http://schemas.openxmlformats.org/officeDocument/2006/relationships/hyperlink" Id="rId127"/>
    <Relationship TargetMode="External" Target="https://www.legis.iowa.gov/docs/ico/chapter/225C.7A.pdf" Type="http://schemas.openxmlformats.org/officeDocument/2006/relationships/hyperlink" Id="rId128"/>
    <Relationship TargetMode="External" Target="https://www.legis.iowa.gov/docs/iac/rule/441.25.23.pdf" Type="http://schemas.openxmlformats.org/officeDocument/2006/relationships/hyperlink" Id="rId129"/>
    <Relationship TargetMode="External" Target="https://www.legis.iowa.gov/docs/ico/chapter/225C.pdf" Type="http://schemas.openxmlformats.org/officeDocument/2006/relationships/hyperlink" Id="rId130"/>
    <Relationship TargetMode="External" Target="https://www.legis.iowa.gov/docs/ico/chapter/229.pdf" Type="http://schemas.openxmlformats.org/officeDocument/2006/relationships/hyperlink" Id="rId131"/>
    <Relationship TargetMode="External" Target="https://www.legis.iowa.gov/docs/ico/chapter/229.1.pdf" Type="http://schemas.openxmlformats.org/officeDocument/2006/relationships/hyperlink" Id="rId132"/>
    <Relationship TargetMode="External" Target="https://www.legis.iowa.gov/docs/ico/chapter/225C.61.pdf" Type="http://schemas.openxmlformats.org/officeDocument/2006/relationships/hyperlink" Id="rId133"/>
    <Relationship TargetMode="External" Target="https://www.legis.iowa.gov/docs/ico/chapter/229.pdf" Type="http://schemas.openxmlformats.org/officeDocument/2006/relationships/hyperlink" Id="rId134"/>
    <Relationship TargetMode="External" Target="https://www.legis.iowa.gov/docs/ico/chapter/229.44.pdf" Type="http://schemas.openxmlformats.org/officeDocument/2006/relationships/hyperlink" Id="rId135"/>
    <Relationship TargetMode="External" Target="https://www.legis.iowa.gov/docs/ico/chapter/225C.61.pdf" Type="http://schemas.openxmlformats.org/officeDocument/2006/relationships/hyperlink" Id="rId136"/>
    <Relationship TargetMode="External" Target="https://www.legis.iowa.gov/docs/ico/chapter/229.pdf" Type="http://schemas.openxmlformats.org/officeDocument/2006/relationships/hyperlink" Id="rId137"/>
    <Relationship TargetMode="External" Target="https://www.legis.iowa.gov/docs/ico/chapter/229.pdf" Type="http://schemas.openxmlformats.org/officeDocument/2006/relationships/hyperlink" Id="rId138"/>
    <Relationship TargetMode="External" Target="https://www.legis.iowa.gov/docs/ico/chapter/602.6107.pdf" Type="http://schemas.openxmlformats.org/officeDocument/2006/relationships/hyperlink" Id="rId139"/>
    <Relationship TargetMode="External" Target="https://www.legis.iowa.gov/docs/ico/chapter/225C.56.pdf" Type="http://schemas.openxmlformats.org/officeDocument/2006/relationships/hyperlink" Id="rId140"/>
    <Relationship TargetMode="External" Target="https://www.legis.iowa.gov/docs/ico/chapter/229.pdf" Type="http://schemas.openxmlformats.org/officeDocument/2006/relationships/hyperlink" Id="rId141"/>
    <Relationship TargetMode="External" Target="https://www.legis.iowa.gov/docs/iac/rule/441.25.52.pdf" Type="http://schemas.openxmlformats.org/officeDocument/2006/relationships/hyperlink" Id="rId142"/>
    <Relationship TargetMode="External" Target="https://www.legis.iowa.gov/docs/ico/chapter/229.19.pdf" Type="http://schemas.openxmlformats.org/officeDocument/2006/relationships/hyperlink" Id="rId143"/>
    <Relationship TargetMode="External" Target="https://www.legis.iowa.gov/docs/ico/chapter/229.19.pdf" Type="http://schemas.openxmlformats.org/officeDocument/2006/relationships/hyperlink" Id="rId144"/>
    <Relationship TargetMode="External" Target="https://www.legis.iowa.gov/docs/iac/rule/441.25.55.pdf" Type="http://schemas.openxmlformats.org/officeDocument/2006/relationships/hyperlink" Id="rId145"/>
    <Relationship TargetMode="External" Target="https://www.legis.iowa.gov/docs/ico/chapter/229.19.pdf" Type="http://schemas.openxmlformats.org/officeDocument/2006/relationships/hyperlink" Id="rId146"/>
    <Relationship TargetMode="External" Target="https://www.legis.iowa.gov/docs/iac/rule/441.25.104.pdf" Type="http://schemas.openxmlformats.org/officeDocument/2006/relationships/hyperlink" Id="rId147"/>
    <Relationship TargetMode="External" Target="https://www.legis.iowa.gov/docs/iac/rule/441.25.41.pdf" Type="http://schemas.openxmlformats.org/officeDocument/2006/relationships/hyperlink" Id="rId148"/>
    <Relationship TargetMode="External" Target="https://www.legis.iowa.gov/docs/ico/chapter/229.pdf" Type="http://schemas.openxmlformats.org/officeDocument/2006/relationships/hyperlink" Id="rId149"/>
    <Relationship TargetMode="External" Target="https://www.legis.iowa.gov/docs/iac/rule/441.25.106.pdf" Type="http://schemas.openxmlformats.org/officeDocument/2006/relationships/hyperlink" Id="rId150"/>
    <Relationship TargetMode="External" Target="https://www.legis.iowa.gov/docs/iac/rule/441.25.106.pdf" Type="http://schemas.openxmlformats.org/officeDocument/2006/relationships/hyperlink" Id="rId1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