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MENTAL HEALTH</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AUTISM SUPPORT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These rules provide for definitions of diagnostic and financial eligibility, provider qualifications, and appeal procedures related to the autism support program created in Iowa Code chapter </w:t>
      </w:r>
      <w:hyperlink r:id="rId5">
        <w:r>
          <w:rPr>
            <w:rStyle w:val="Hyperlink"/>
            <w:rFonts w:ascii="Times New Roman" w:hAnsi="Times New Roman"/>
            <w:b w:val="false"/>
            <w:i w:val="false"/>
            <w:color w:val="000000"/>
            <w:sz w:val="22"/>
          </w:rPr>
          <w:t>225D</w:t>
        </w:r>
      </w:hyperlink>
      <w:r>
        <w:rPr>
          <w:rFonts w:ascii="Times New Roman" w:hAnsi="Times New Roman"/>
          <w:b w:val="false"/>
          <w:i w:val="false"/>
          <w:color w:val="000000"/>
          <w:sz w:val="22"/>
        </w:rPr>
        <w:t>. The purpose of the autism support program is to provide funding for applied behavioral analysis services and care coordination for children with a diagnosis of autism who meet certain financial and clinical eligibility criteria.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6386C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441—22.1</w:t>
      </w:r>
      <w:r>
        <w:rPr>
          <w:rFonts w:ascii="Times New Roman" w:hAnsi="Times New Roman"/>
          <w:b/>
          <w:i w:val="false"/>
          <w:color w:val="000000"/>
          <w:sz w:val="22"/>
        </w:rPr>
        <w:t xml:space="preserve">(225D)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entity selected by the department through a request for proposal process or other contractual arrangement to administer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individual on whose behalf an application has been submitted but who has not been identified as an eligible individual, or an individual who has received a denial of eligibility for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behavioral analysis”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“ABA”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225D.1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“Autism” </w:t>
      </w:r>
      <w:r>
        <w:rPr>
          <w:rFonts w:ascii="Times New Roman" w:hAnsi="Times New Roman"/>
          <w:b w:val="false"/>
          <w:i w:val="false"/>
          <w:color w:val="000000"/>
          <w:sz w:val="22"/>
        </w:rPr>
        <w:t xml:space="preserve">means autism spectrum disorders as defined in Iowa Code section </w:t>
      </w:r>
      <w:hyperlink r:id="rId7">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“Autism service provider” </w:t>
      </w:r>
      <w:r>
        <w:rPr>
          <w:rFonts w:ascii="Times New Roman" w:hAnsi="Times New Roman"/>
          <w:b w:val="false"/>
          <w:i w:val="false"/>
          <w:color w:val="000000"/>
          <w:sz w:val="22"/>
        </w:rPr>
        <w:t>means a person providing applied behavioral analysis, who meets both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certified as a behavior analyst by the Behavior Analyst Certification Board, is a psychologist licensed under Iowa Code chapter </w:t>
      </w:r>
      <w:hyperlink r:id="rId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or is a psychiatrist licensed under Iowa Code chapter </w:t>
      </w:r>
      <w:hyperlink r:id="rId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board-certified assistant behavior analyst who performs duties, identified by and based on the standards of the Behavior Analyst Certification Board, under the supervision of a board-certified behavior analyst.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approved as a member of the provider network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“Autism support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autism support fund created in Iowa Code section </w:t>
      </w:r>
      <w:hyperlink r:id="rId10">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“Autism support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program created in Iowa Code section </w:t>
      </w:r>
      <w:hyperlink r:id="rId11">
        <w:r>
          <w:rPr>
            <w:rStyle w:val="Hyperlink"/>
            <w:rFonts w:ascii="Times New Roman" w:hAnsi="Times New Roman"/>
            <w:b w:val="false"/>
            <w:i w:val="false"/>
            <w:color w:val="000000"/>
            <w:sz w:val="22"/>
          </w:rPr>
          <w:t>225D.2</w:t>
        </w:r>
      </w:hyperlink>
      <w:r>
        <w:rPr>
          <w:rFonts w:ascii="Times New Roman" w:hAnsi="Times New Roman"/>
          <w:b w:val="false"/>
          <w:i w:val="false"/>
          <w:color w:val="000000"/>
          <w:sz w:val="22"/>
        </w:rPr>
        <w:t xml:space="preserve"> to provide funding for applied behavioral analysis and care coordination for eligible individuals with a diagnosis of autism.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relevant” </w:t>
      </w:r>
      <w:r>
        <w:rPr>
          <w:rFonts w:ascii="Times New Roman" w:hAnsi="Times New Roman"/>
          <w:b w:val="false"/>
          <w:i w:val="false"/>
          <w:color w:val="000000"/>
          <w:sz w:val="22"/>
        </w:rPr>
        <w:t>means medically necessary and resulting in the development, maintenance, or restoration, to the maximum extent practicable, of the functioning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assessment of autism” </w:t>
      </w:r>
      <w:r>
        <w:rPr>
          <w:rFonts w:ascii="Times New Roman" w:hAnsi="Times New Roman"/>
          <w:b w:val="false"/>
          <w:i w:val="false"/>
          <w:color w:val="000000"/>
          <w:sz w:val="22"/>
        </w:rPr>
        <w:t>means medically necessary assessment, evaluations, or tests performed by a licensed child psychiatrist, developmental pediatrician, or clinical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 xml:space="preserve">means a child less than 14 years of age who has been diagnosed with autism based on a diagnostic assessment of autism, is not otherwise eligible for coverage for applied behavioral analysis treatment or applied behavior analysis treatment under the medical assistance program, Iowa Code section </w:t>
      </w:r>
      <w:hyperlink r:id="rId12">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or private insurance coverage, and whose household income does not exceed 500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most recently revised poverty income guidelines published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income” </w:t>
      </w:r>
      <w:r>
        <w:rPr>
          <w:rFonts w:ascii="Times New Roman" w:hAnsi="Times New Roman"/>
          <w:b w:val="false"/>
          <w:i w:val="false"/>
          <w:color w:val="000000"/>
          <w:sz w:val="22"/>
        </w:rPr>
        <w:t xml:space="preserve">means household income, reported on the tax return on which the eligible individual is claimed as a dependent, as determined using the modified adjusted gross income methodology pursuant to </w:t>
      </w:r>
      <w:r>
        <w:rPr>
          <w:rFonts w:ascii="Times New Roman" w:hAnsi="Times New Roman"/>
          <w:b w:val="false"/>
          <w:i w:val="false"/>
          <w:color w:val="000000"/>
          <w:sz w:val="22"/>
        </w:rPr>
        <w:t>Section 2002 of the federal Patient Protection and Affordable Care Act</w:t>
      </w:r>
      <w:r>
        <w:rPr>
          <w:rFonts w:ascii="Times New Roman" w:hAnsi="Times New Roman"/>
          <w:b w:val="false"/>
          <w:i w:val="false"/>
          <w:color w:val="000000"/>
          <w:sz w:val="22"/>
        </w:rPr>
        <w: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111-148. If the eligible individual’s parents live together and file separate tax returns, the income reported on both parents’ tax returns must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means the total number of personal and dependent exemptions claimed on the tax return on which the eligible individual is claimed as a dependent plus any child under the age of 19 living in the household who is claimed for tax purposes by a noncustodial parent through a release of claim to exemption by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441—subrule 78.53(1)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amount of treatment” </w:t>
      </w:r>
      <w:r>
        <w:rPr>
          <w:rFonts w:ascii="Times New Roman" w:hAnsi="Times New Roman"/>
          <w:b w:val="false"/>
          <w:i w:val="false"/>
          <w:color w:val="000000"/>
          <w:sz w:val="22"/>
        </w:rPr>
        <w:t>means a maximum of 24 months of applied behavioral analysis funded by the autism support program. Months of service are not required to be consecutive.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annual benefit” </w:t>
      </w:r>
      <w:r>
        <w:rPr>
          <w:rFonts w:ascii="Times New Roman" w:hAnsi="Times New Roman"/>
          <w:b w:val="false"/>
          <w:i w:val="false"/>
          <w:color w:val="000000"/>
          <w:sz w:val="22"/>
        </w:rPr>
        <w:t>means a maximum annual benefit amount of $36,000 per year for autism support program services for an eligible individual. For the purposes of this program, the annual benefit is calculated by using as a starting date the date the first service is reimbursed by the program and an ending date 12 months from the starting date. Expenditures included in the calculation of the maximum annual benefit include reimbursements to autism service providers for provision of applied behavioral analysis and reimbursements to integrated health homes for costs of care coordination. Cost-sharing paid by the eligible individual is not included in the calculation of the individual’s annual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“Medicaid” </w:t>
      </w:r>
      <w:r>
        <w:rPr>
          <w:rFonts w:ascii="Times New Roman" w:hAnsi="Times New Roman"/>
          <w:b w:val="false"/>
          <w:i w:val="false"/>
          <w:color w:val="000000"/>
          <w:sz w:val="22"/>
        </w:rPr>
        <w:t xml:space="preserve">means assistance provided under the medical assistance program pursuant to Iowa Code chapter </w:t>
      </w:r>
      <w:hyperlink r:id="rId1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“Month of service” </w:t>
      </w:r>
      <w:r>
        <w:rPr>
          <w:rFonts w:ascii="Times New Roman" w:hAnsi="Times New Roman"/>
          <w:b w:val="false"/>
          <w:i w:val="false"/>
          <w:color w:val="000000"/>
          <w:sz w:val="22"/>
        </w:rPr>
        <w:t xml:space="preserve">means any month in which an individual receives at least one billable unit of applied behavioral analysis service funded by the autism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means a network of autism service providers approved by the department to provide services to eligible individuals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autism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“RAP” </w:t>
      </w:r>
      <w:r>
        <w:rPr>
          <w:rFonts w:ascii="Times New Roman" w:hAnsi="Times New Roman"/>
          <w:b w:val="false"/>
          <w:i w:val="false"/>
          <w:color w:val="000000"/>
          <w:sz w:val="22"/>
        </w:rPr>
        <w:t xml:space="preserve">means the regional autism assistance program created in Iowa Code section </w:t>
      </w:r>
      <w:hyperlink r:id="rId16">
        <w:r>
          <w:rPr>
            <w:rStyle w:val="Hyperlink"/>
            <w:rFonts w:ascii="Times New Roman" w:hAnsi="Times New Roman"/>
            <w:b w:val="false"/>
            <w:i w:val="false"/>
            <w:color w:val="000000"/>
            <w:sz w:val="22"/>
          </w:rPr>
          <w:t>256.35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means a plan for the treatment of autism developed by a licensed physician or licensed psychologist pursuant to a comprehensive evaluation or reevaluation performed in consultation with the patient and the patient’s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3057C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3788C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441—22.2</w:t>
      </w:r>
      <w:r>
        <w:rPr>
          <w:rFonts w:ascii="Times New Roman" w:hAnsi="Times New Roman"/>
          <w:b/>
          <w:i w:val="false"/>
          <w:color w:val="000000"/>
          <w:sz w:val="22"/>
        </w:rPr>
        <w:t xml:space="preserve">(225D) </w:t>
      </w:r>
      <w:r>
        <w:rPr>
          <w:rFonts w:ascii="Times New Roman" w:hAnsi="Times New Roman"/>
          <w:b/>
          <w:i w:val="false"/>
          <w:color w:val="000000"/>
          <w:sz w:val="22"/>
        </w:rPr>
        <w:t xml:space="preserve">Eligibility and application requirements. </w:t>
      </w:r>
      <w:r>
        <w:rPr>
          <w:rFonts w:ascii="Times New Roman" w:hAnsi="Times New Roman"/>
          <w:b w:val="false"/>
          <w:i w:val="false"/>
          <w:color w:val="000000"/>
          <w:sz w:val="22"/>
        </w:rPr>
        <w:t>To be determined eligible for funding for services through the autism support program, an individual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an application to the department using a standardized application form available through the administrator’s and the department’s websites, members of the provider network, the regional autism assistance program, and advocacy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An applicant for autism program services shall be less than the age of 14 at the time of application for the program. Proof of age must be provided at the time of application. An individual who reaches the age of 14 prior to receipt of the maximum benefits of the program may continue to receive services from the program in accordance with the individual’s treatment plan, up to a maximum of 24 months of applied behavioral analysis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diagnosis of autism based on a diagnostic assessment of autism dated 24 months or less from the date of application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shall be determined ineligible for coverage of applied behavioral analysis services under the medical assistance program, Iowa Code section </w:t>
      </w:r>
      <w:hyperlink r:id="rId17">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Iowa Code section </w:t>
      </w:r>
      <w:hyperlink r:id="rId18">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xml:space="preserve">, or other private insurance coverage. Proof of insurance coverage and noneligibility for coverage for applied behavioral analysis shall be provided at the time of application and shall include a written denial of coverage or a benefits summary indicating that the applied behavioral analysis treatment or applied behavior analysis treatment is not a covered benefit for which the applicant is eligible under the Medicaid program, Iowa Code section </w:t>
      </w:r>
      <w:hyperlink r:id="rId19">
        <w:r>
          <w:rPr>
            <w:rStyle w:val="Hyperlink"/>
            <w:rFonts w:ascii="Times New Roman" w:hAnsi="Times New Roman"/>
            <w:b w:val="false"/>
            <w:i w:val="false"/>
            <w:color w:val="000000"/>
            <w:sz w:val="22"/>
          </w:rPr>
          <w:t>514C.28</w:t>
        </w:r>
      </w:hyperlink>
      <w:r>
        <w:rPr>
          <w:rFonts w:ascii="Times New Roman" w:hAnsi="Times New Roman"/>
          <w:b w:val="false"/>
          <w:i w:val="false"/>
          <w:color w:val="000000"/>
          <w:sz w:val="22"/>
        </w:rPr>
        <w:t xml:space="preserve">, Iowa Code section </w:t>
      </w:r>
      <w:hyperlink r:id="rId20">
        <w:r>
          <w:rPr>
            <w:rStyle w:val="Hyperlink"/>
            <w:rFonts w:ascii="Times New Roman" w:hAnsi="Times New Roman"/>
            <w:b w:val="false"/>
            <w:i w:val="false"/>
            <w:color w:val="000000"/>
            <w:sz w:val="22"/>
          </w:rPr>
          <w:t>514C.31</w:t>
        </w:r>
      </w:hyperlink>
      <w:r>
        <w:rPr>
          <w:rFonts w:ascii="Times New Roman" w:hAnsi="Times New Roman"/>
          <w:b w:val="false"/>
          <w:i w:val="false"/>
          <w:color w:val="000000"/>
          <w:sz w:val="22"/>
        </w:rPr>
        <w:t>, or other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22.2(5)</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a household income equal to or less than 500 percent of the federal poverty level. Information needed to determine household income using modified adjusted gross income methodology shall be identified on the program application. Household size will be determined according to the standards in this chapter. The information shall be provided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to the parent or guardian a written notice of decision determining initial eligibility or denial within 30 calendar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22.2(7)</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refer an applicant determined to be an eligible individual to care coordination services. The referral will occur within 5 business days of determination of eligibility for the program. Care coordination services will be provided by the University of Iowa regional autism assistance program (RAP) or an integrated health home. Eligible individuals who reside in counties where integrated health homes for children with a serious emotional disturbance are operational may choose to receive care coordination through the University of Iowa RAP program or an integrated health home that serves residents of the eligible individual’s county of residence. Care coordination is not required as a condition of receiving services through the autism support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22.2(8)</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information to an applicant determined to be an eligible individual regarding all available administrators. The eligible individual may choose any available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22.2(9)</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maintain a list of individuals determined eligible for the program but unable to access services due to lack of available providers and shall work to connect eligible individuals on the list to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22.2(10)</w:t>
      </w:r>
      <w:r>
        <w:rPr>
          <w:rFonts w:ascii="Times New Roman" w:hAnsi="Times New Roman"/>
          <w:b w:val="false"/>
          <w:i w:val="false"/>
          <w:color w:val="000000"/>
          <w:sz w:val="22"/>
        </w:rPr>
        <w:t> </w:t>
      </w:r>
      <w:r>
        <w:rPr>
          <w:rFonts w:ascii="Times New Roman" w:hAnsi="Times New Roman"/>
          <w:b w:val="false"/>
          <w:i w:val="false"/>
          <w:color w:val="000000"/>
          <w:sz w:val="22"/>
        </w:rPr>
        <w:t>The department shall stop processing applications at the point where available funds are fully obligated for eligible individuals and additional eligible individuals would cause expenditures in excess of the funds available to the program. The department shall maintain a waiting list of individuals denied access to the program due to lack of available funds. If additional funds become available, the department shall contact individuals on the list in order of the earliest date and time of the receipt of the original application. The applicant shall be allowed 30 calendar days to submit an updated application and any required information needed to determine eligibility. If the applicant does not submit required information, the applicant will be denied eligibility and removed from the waiting list maintained for individuals denied access to the program due to lack of funding. The age of the applicant at the time of the most recent application will be used when determining eligibility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3788C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w:t>
      </w:r>
      <w:r>
        <w:rPr>
          <w:rFonts w:ascii="Times New Roman" w:hAnsi="Times New Roman"/>
          <w:b/>
          <w:i w:val="false"/>
          <w:color w:val="000000"/>
          <w:sz w:val="22"/>
        </w:rPr>
        <w:t xml:space="preserve">(225D) </w:t>
      </w:r>
      <w:r>
        <w:rPr>
          <w:rFonts w:ascii="Times New Roman" w:hAnsi="Times New Roman"/>
          <w:b/>
          <w:i w:val="false"/>
          <w:color w:val="000000"/>
          <w:sz w:val="22"/>
        </w:rPr>
        <w:t xml:space="preserve">Cost-sharing requirements and graduated schedule of cost sharing.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An individual with a household income equal to or greater than 200 percent of the federal poverty level, up to a maximum of 500 percent of the federal poverty level, shall be subject to cost-sharing requirements. Cost sharing shall be implemented incrementally up to a maximum of 15 percent of the costs of the services provided through the program for an individual with a household income equal to 500 percent of the federal poverty level. The following is a chart of the cost-sharing requirements:</w:t>
      </w:r>
    </w:p>
    <w:p>
      <w:pPr>
        <w:spacing w:before="0" w:after="0"/>
        <w:ind w:left="120"/>
        <w:jc w:val="both"/>
      </w:pPr>
      <w:r>
        <w:br/>
      </w:r>
      <w:r>
        <w:br/>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51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200–209%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350–359%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210–219%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360–369%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220–229%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370–379%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230–239%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380–389%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240–249%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390–399%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250–259%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400–409%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260–269%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410–419%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270–279%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420–429%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280–289%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430–439%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12.0%</w:t>
            </w:r>
          </w:p>
        </w:tc>
      </w:tr>
      <w:tr>
        <w:trPr>
          <w:trHeight w:val="46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290–299%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440–449%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300–309%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450–459%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310–319%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460–469%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320–329%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470–479%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330–339%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480–489%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14.5%</w:t>
            </w:r>
          </w:p>
        </w:tc>
      </w:tr>
      <w:tr>
        <w:trPr>
          <w:trHeight w:val="270" w:hRule="atLeast"/>
        </w:trPr>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340–349%</w:t>
            </w:r>
          </w:p>
        </w:tc>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27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490–500%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An individual may request an exemption from cost sharing due to financial hardship. To qualify for an exemption, an individual shall submit written documentation to the department that the individual or the individual’s family does not have the financial means to fulfill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Criteria to determine financial hardship include, but are not limited to, a change in income, change in employment of the parent or guardian, additional medical expenditures, other family members’ health conditions, or other conditions which may affect the ability to fulfill cost-sharing requirements. The department shall provide a written determination regarding eligibility for exemption from cost-sharing requirements. Eligibility for exemption from cost sharing expires at the end of the financial eligibility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w:t>
      </w:r>
      <w:r>
        <w:rPr>
          <w:rFonts w:ascii="Times New Roman" w:hAnsi="Times New Roman"/>
          <w:b/>
          <w:i w:val="false"/>
          <w:color w:val="000000"/>
          <w:sz w:val="22"/>
        </w:rPr>
        <w:t xml:space="preserve">(225D) </w:t>
      </w:r>
      <w:r>
        <w:rPr>
          <w:rFonts w:ascii="Times New Roman" w:hAnsi="Times New Roman"/>
          <w:b/>
          <w:i w:val="false"/>
          <w:color w:val="000000"/>
          <w:sz w:val="22"/>
        </w:rPr>
        <w:t xml:space="preserve">Review of financial eligibility, cost-sharing requirements, exemption from cost sharing, and disenrollment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An eligible individual’s continued financial eligibility for the program, cost-sharing requirements, and exemption from cost sharing shall be determined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request needed information from the eligible individual’s parent or guardian for redetermination of financial eligibility, cost-sharing requirements, and exemption from cost sharing at least 30 days prior to the expiration of the eligible individual’s eligibility period. The notice requesting information needed for renewal of eligibility shall include the ending date of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written notice of decision determining ongoing eligibility or denial within 15 calendar days of receipt of the continued financial eligibility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If the signed application and verification of continuing eligibility are not received by the department by the last working day of the renewal month, the individual’s eligibility for the program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val="false"/>
          <w:color w:val="000000"/>
          <w:sz w:val="22"/>
        </w:rPr>
        <w:t>Reasons for disenrollment in the autism support program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no longer meets one or more of the eligibility criteria outlined in rule </w:t>
      </w:r>
      <w:hyperlink r:id="rId21">
        <w:r>
          <w:rPr>
            <w:rStyle w:val="Hyperlink"/>
            <w:rFonts w:ascii="Times New Roman" w:hAnsi="Times New Roman"/>
            <w:b w:val="false"/>
            <w:i w:val="false"/>
            <w:color w:val="000000"/>
            <w:sz w:val="22"/>
          </w:rPr>
          <w:t>441—22.2</w:t>
        </w:r>
      </w:hyperlink>
      <w:r>
        <w:rPr>
          <w:rFonts w:ascii="Times New Roman" w:hAnsi="Times New Roman"/>
          <w:b w:val="false"/>
          <w:i w:val="false"/>
          <w:color w:val="000000"/>
          <w:sz w:val="22"/>
        </w:rPr>
        <w:t>(225D).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or legal guardian has failed to provide information required for redetermination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eligible individual has failed to access authorized services for a period of three consecutive months and has not made arrangements with the autism service provider or administrator to access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funds are appropriated for the autism support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w:t>
      </w:r>
      <w:r>
        <w:rPr>
          <w:rFonts w:ascii="Times New Roman" w:hAnsi="Times New Roman"/>
          <w:b/>
          <w:i w:val="false"/>
          <w:color w:val="000000"/>
          <w:sz w:val="22"/>
        </w:rPr>
        <w:t xml:space="preserve">(225D) </w:t>
      </w:r>
      <w:r>
        <w:rPr>
          <w:rFonts w:ascii="Times New Roman" w:hAnsi="Times New Roman"/>
          <w:b/>
          <w:i w:val="false"/>
          <w:color w:val="000000"/>
          <w:sz w:val="22"/>
        </w:rPr>
        <w:t xml:space="preserve">Initial service authorization and renewal of service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All services reimbursed through the program shall be prior-authorized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An autism service provider shall submit an initial treatment plan to the administrator specifying a plan of treatment for a period of no more than six months. The initial treatment plan shall specify the amount of units of applied behavioral analysis services requested for the eligible individual and include a baseline standardized assessment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Family engagement and participation are required for participation in the autism support program. Treatment plans shall identify specific activities and responsibilities of parents or guardians in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reflect the autism service provider’s engagement with the school in which the eligible individual is enrolled. Treatment plans shall identify specific actions taken by the autism service provider to engage the eligible individual’s school and the results of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The treatment plan may include services provided by staff with a minimum of a bachelor’s degree in a human services or education field, working under the supervision of an autism service provider who is board-certified as a behavior analyst. The treatment plan shall identify which services shall be provided directly by the board-certified behavior analyst and which services shall be provided by staff under the supervision of a board-certified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For renewal or modification of service authorizations, the autism service provider shall submit an updated plan of treatment with a request for the number of units of applied behavioral analysis the provider believes is medically necessary to address the eligible individual’s ongoing treatment needs. The autism service provider shall also provide evidence of the eligible individual’s progress on identified treatment goals. The administrator shall consider the eligible individual’s updated standardized assessment score along with other clinical information when reviewing requests for renewal or modification of service authorizations. Ongoing service authorization requests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provide approval, request for modification, or denial within five business days of receipt of all service authorization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w:t>
      </w:r>
      <w:r>
        <w:rPr>
          <w:rFonts w:ascii="Times New Roman" w:hAnsi="Times New Roman"/>
          <w:b/>
          <w:i w:val="false"/>
          <w:color w:val="000000"/>
          <w:sz w:val="22"/>
        </w:rPr>
        <w:t xml:space="preserve">(225D) </w:t>
      </w:r>
      <w:r>
        <w:rPr>
          <w:rFonts w:ascii="Times New Roman" w:hAnsi="Times New Roman"/>
          <w:b/>
          <w:i w:val="false"/>
          <w:color w:val="000000"/>
          <w:sz w:val="22"/>
        </w:rPr>
        <w:t xml:space="preserve">Provider network. </w:t>
      </w:r>
      <w:r>
        <w:rPr>
          <w:rFonts w:ascii="Times New Roman" w:hAnsi="Times New Roman"/>
          <w:b w:val="false"/>
          <w:i w:val="false"/>
          <w:color w:val="000000"/>
          <w:sz w:val="22"/>
        </w:rPr>
        <w:t>The administrator shall establish and maintain a network of department-approved autism service providers so that applied behavioral analysis services are available to eligible individuals statewide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A provider shall be approved to participate in the autism support program provider network if the provider meets one of the following standards in paragraph 22.6(1)</w:t>
      </w:r>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autism service provider is certified as a behavior analyst by the Behavior Analyst Certification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psychologist licensed under Iowa Code chapter </w:t>
      </w:r>
      <w:hyperlink r:id="rId22">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psychiatrist licensed under Iowa Code chapter </w:t>
      </w:r>
      <w:hyperlink r:id="rId2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shall be deemed eligible to participate in the autism support program provider network if the autism service provider meets the standards in paragraph </w:t>
      </w:r>
      <w:hyperlink r:id="rId24">
        <w:r>
          <w:rPr>
            <w:rStyle w:val="Hyperlink"/>
            <w:rFonts w:ascii="Times New Roman" w:hAnsi="Times New Roman"/>
            <w:b w:val="false"/>
            <w:i w:val="false"/>
            <w:color w:val="000000"/>
            <w:sz w:val="22"/>
          </w:rPr>
          <w:t>22.6(1)</w:t>
        </w:r>
        <w:r>
          <w:rPr>
            <w:rFonts w:ascii="Times New Roman" w:hAnsi="Times New Roman"/>
            <w:b w:val="false"/>
            <w:i/>
            <w:color w:val="000000"/>
            <w:sz w:val="22"/>
          </w:rPr>
          <w:t>“a,”</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the provider is approved to provide applied behavioral analysis services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The administrator’s provider network shall accept the rate established by the department through the department’s contract with the administrator as payment in full for the services rendered and will not charge eligible individuals any additional fees for services rendered, except for those eligible individuals who are required to pay a portion of the cost of services due to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calculating the cost-sharing amount according to standards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The autism service provider is responsible for collecting the cost-sharing amount from the eligible individual and will only be reimbursed by the administrator for the balance of the service fee minus the amount of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441—22.7</w:t>
      </w:r>
      <w:r>
        <w:rPr>
          <w:rFonts w:ascii="Times New Roman" w:hAnsi="Times New Roman"/>
          <w:b/>
          <w:i w:val="false"/>
          <w:color w:val="000000"/>
          <w:sz w:val="22"/>
        </w:rPr>
        <w:t xml:space="preserve">(225D) </w:t>
      </w:r>
      <w:r>
        <w:rPr>
          <w:rFonts w:ascii="Times New Roman" w:hAnsi="Times New Roman"/>
          <w:b/>
          <w:i w:val="false"/>
          <w:color w:val="000000"/>
          <w:sz w:val="22"/>
        </w:rPr>
        <w:t xml:space="preserve">Financial management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take new applications for the program that would cause expenditures of the program to exceed the budgeted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 expenditure of program funds to services for those individuals determined to be eligible individuals and for related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Allocate available funds for eligible individuals’ services in a manner that allows for funding for all eligible individuals’ services authorized by the administrator without exceeding the department’s funding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annual expenditures for each eligible individual to the amount identified in Iowa Code section </w:t>
      </w:r>
      <w:hyperlink r:id="rId25">
        <w:r>
          <w:rPr>
            <w:rStyle w:val="Hyperlink"/>
            <w:rFonts w:ascii="Times New Roman" w:hAnsi="Times New Roman"/>
            <w:b w:val="false"/>
            <w:i w:val="false"/>
            <w:color w:val="000000"/>
            <w:sz w:val="22"/>
          </w:rPr>
          <w:t>225D.2(2)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length of service through the program to the amount identified in Iowa Code section </w:t>
      </w:r>
      <w:hyperlink r:id="rId26">
        <w:r>
          <w:rPr>
            <w:rStyle w:val="Hyperlink"/>
            <w:rFonts w:ascii="Times New Roman" w:hAnsi="Times New Roman"/>
            <w:b w:val="false"/>
            <w:i w:val="false"/>
            <w:color w:val="000000"/>
            <w:sz w:val="22"/>
          </w:rPr>
          <w:t>225D.2(2)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 payment for applied behavioral analysis services to an hourly or equivalent quarter-hour unit rate that is equal to the contracted rate currently paid by Medicaid for applied behavioral analysis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 payment for integrated health home services to an amount consistent with the monthly per-member per-month amount paid by Medicaid to approved providers of integrated health home services for children with a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provide financial compensation to the University of Iowa regional autism assistance program for care coordination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2816C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w:t>
      </w:r>
      <w:r>
        <w:rPr>
          <w:rFonts w:ascii="Times New Roman" w:hAnsi="Times New Roman"/>
          <w:b/>
          <w:i w:val="false"/>
          <w:color w:val="000000"/>
          <w:sz w:val="22"/>
        </w:rPr>
        <w:t xml:space="preserve">(225D)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Notice of adverse action shall be given in accordance with </w:t>
      </w:r>
      <w:hyperlink r:id="rId2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shall be given in accordance with </w:t>
      </w:r>
      <w:hyperlink r:id="rId2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1329C</w:t>
      </w:r>
      <w:r>
        <w:rPr>
          <w:rFonts w:ascii="Times New Roman" w:hAnsi="Times New Roman"/>
          <w:b w:val="false"/>
          <w:i w:val="false"/>
          <w:color w:val="000000"/>
          <w:sz w:val="16"/>
        </w:rPr>
        <w:t>, IAB 2/19/14, effective 4/1/14</w:t>
      </w:r>
      <w:r>
        <w:rPr>
          <w:rFonts w:ascii="Times New Roman" w:hAnsi="Times New Roman"/>
          <w:b w:val="false"/>
          <w:i w:val="false"/>
          <w:color w:val="000000"/>
          <w:sz w:val="16"/>
        </w:rPr>
        <w:t xml:space="preserve">; </w:t>
      </w:r>
      <w:r>
        <w:rPr>
          <w:rFonts w:ascii="Times New Roman" w:hAnsi="Times New Roman"/>
          <w:b/>
          <w:i w:val="false"/>
          <w:color w:val="000000"/>
          <w:sz w:val="16"/>
        </w:rPr>
        <w:t>ARC 6386C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9">
        <w:r>
          <w:rPr>
            <w:rStyle w:val="Hyperlink"/>
            <w:rFonts w:ascii="Times New Roman" w:hAnsi="Times New Roman"/>
            <w:b w:val="false"/>
            <w:i w:val="false"/>
            <w:color w:val="000000"/>
            <w:sz w:val="22"/>
          </w:rPr>
          <w:t>225D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1329C</w:t>
      </w:r>
      <w:r>
        <w:rPr>
          <w:rFonts w:ascii="Times New Roman" w:hAnsi="Times New Roman"/>
          <w:b w:val="false"/>
          <w:i w:val="false"/>
          <w:color w:val="000000"/>
          <w:sz w:val="21"/>
        </w:rPr>
        <w:t xml:space="preserve"> (Notice ARC 1184C, IAB 11/13/13)</w:t>
      </w:r>
      <w:r>
        <w:rPr>
          <w:rFonts w:ascii="Times New Roman" w:hAnsi="Times New Roman"/>
          <w:b w:val="false"/>
          <w:i w:val="false"/>
          <w:color w:val="000000"/>
          <w:sz w:val="21"/>
        </w:rPr>
        <w:t>, IAB 2/19/14, effective 4/1/14]</w:t>
      </w:r>
    </w:p>
    <w:p>
      <w:pPr>
        <w:spacing w:before="0" w:after="0"/>
        <w:ind w:left="120"/>
        <w:jc w:val="center"/>
      </w:pPr>
      <w:r>
        <w:rPr>
          <w:rFonts w:ascii="Times New Roman" w:hAnsi="Times New Roman"/>
          <w:b w:val="false"/>
          <w:i w:val="false"/>
          <w:color w:val="000000"/>
          <w:sz w:val="21"/>
        </w:rPr>
        <w:t>[Filed ARC 2816C</w:t>
      </w:r>
      <w:r>
        <w:rPr>
          <w:rFonts w:ascii="Times New Roman" w:hAnsi="Times New Roman"/>
          <w:b w:val="false"/>
          <w:i w:val="false"/>
          <w:color w:val="000000"/>
          <w:sz w:val="21"/>
        </w:rPr>
        <w:t xml:space="preserve"> (Notice ARC 2680C, IAB 8/17/16)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3057C</w:t>
      </w:r>
      <w:r>
        <w:rPr>
          <w:rFonts w:ascii="Times New Roman" w:hAnsi="Times New Roman"/>
          <w:b w:val="false"/>
          <w:i w:val="false"/>
          <w:color w:val="000000"/>
          <w:sz w:val="21"/>
        </w:rPr>
        <w:t xml:space="preserve"> (Notice ARC 2971C, IAB 3/15/17)</w:t>
      </w:r>
      <w:r>
        <w:rPr>
          <w:rFonts w:ascii="Times New Roman" w:hAnsi="Times New Roman"/>
          <w:b w:val="false"/>
          <w:i w:val="false"/>
          <w:color w:val="000000"/>
          <w:sz w:val="21"/>
        </w:rPr>
        <w:t>, IAB 5/10/17, effective 7/1/17]</w:t>
      </w:r>
    </w:p>
    <w:p>
      <w:pPr>
        <w:spacing w:before="0" w:after="0"/>
        <w:ind w:left="120"/>
        <w:jc w:val="center"/>
      </w:pPr>
      <w:r>
        <w:rPr>
          <w:rFonts w:ascii="Times New Roman" w:hAnsi="Times New Roman"/>
          <w:b w:val="false"/>
          <w:i w:val="false"/>
          <w:color w:val="000000"/>
          <w:sz w:val="21"/>
        </w:rPr>
        <w:t>[Filed ARC 3788C</w:t>
      </w:r>
      <w:r>
        <w:rPr>
          <w:rFonts w:ascii="Times New Roman" w:hAnsi="Times New Roman"/>
          <w:b w:val="false"/>
          <w:i w:val="false"/>
          <w:color w:val="000000"/>
          <w:sz w:val="21"/>
        </w:rPr>
        <w:t xml:space="preserve"> (Notice ARC 3619C, IAB 2/14/18)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6386C</w:t>
      </w:r>
      <w:r>
        <w:rPr>
          <w:rFonts w:ascii="Times New Roman" w:hAnsi="Times New Roman"/>
          <w:b w:val="false"/>
          <w:i w:val="false"/>
          <w:color w:val="000000"/>
          <w:sz w:val="21"/>
        </w:rPr>
        <w:t xml:space="preserve"> (Notice ARC 6299C, IAB 4/20/22)</w:t>
      </w:r>
      <w:r>
        <w:rPr>
          <w:rFonts w:ascii="Times New Roman" w:hAnsi="Times New Roman"/>
          <w:b w:val="false"/>
          <w:i w:val="false"/>
          <w:color w:val="000000"/>
          <w:sz w:val="21"/>
        </w:rPr>
        <w:t>, IAB 6/29/22, effective 9/1/22]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D.pdf" Type="http://schemas.openxmlformats.org/officeDocument/2006/relationships/hyperlink" Id="rId5"/>
    <Relationship TargetMode="External" Target="https://www.legis.iowa.gov/docs/ico/chapter/225D.1.pdf" Type="http://schemas.openxmlformats.org/officeDocument/2006/relationships/hyperlink" Id="rId6"/>
    <Relationship TargetMode="External" Target="https://www.legis.iowa.gov/docs/ico/chapter/514C.28.pdf" Type="http://schemas.openxmlformats.org/officeDocument/2006/relationships/hyperlink" Id="rId7"/>
    <Relationship TargetMode="External" Target="https://www.legis.iowa.gov/docs/ico/chapter/154B.pdf" Type="http://schemas.openxmlformats.org/officeDocument/2006/relationships/hyperlink" Id="rId8"/>
    <Relationship TargetMode="External" Target="https://www.legis.iowa.gov/docs/ico/chapter/148.pdf" Type="http://schemas.openxmlformats.org/officeDocument/2006/relationships/hyperlink" Id="rId9"/>
    <Relationship TargetMode="External" Target="https://www.legis.iowa.gov/docs/ico/chapter/225D.2.pdf" Type="http://schemas.openxmlformats.org/officeDocument/2006/relationships/hyperlink" Id="rId10"/>
    <Relationship TargetMode="External" Target="https://www.legis.iowa.gov/docs/ico/chapter/225D.2.pdf" Type="http://schemas.openxmlformats.org/officeDocument/2006/relationships/hyperlink" Id="rId11"/>
    <Relationship TargetMode="External" Target="https://www.legis.iowa.gov/docs/ico/chapter/514C.28.pdf" Type="http://schemas.openxmlformats.org/officeDocument/2006/relationships/hyperlink" Id="rId12"/>
    <Relationship TargetMode="External" Target="https://www.legis.iowa.gov/docs/ico/chapter/514C.31.pdf" Type="http://schemas.openxmlformats.org/officeDocument/2006/relationships/hyperlink" Id="rId13"/>
    <Relationship TargetMode="External" Target="https://www.legis.iowa.gov/docs/iac/rule/441.78.53.pdf" Type="http://schemas.openxmlformats.org/officeDocument/2006/relationships/hyperlink" Id="rId14"/>
    <Relationship TargetMode="External" Target="https://www.legis.iowa.gov/docs/ico/chapter/249A.pdf" Type="http://schemas.openxmlformats.org/officeDocument/2006/relationships/hyperlink" Id="rId15"/>
    <Relationship TargetMode="External" Target="https://www.legis.iowa.gov/docs/ico/chapter/256.35.pdf" Type="http://schemas.openxmlformats.org/officeDocument/2006/relationships/hyperlink" Id="rId16"/>
    <Relationship TargetMode="External" Target="https://www.legis.iowa.gov/docs/ico/chapter/514C.28.pdf" Type="http://schemas.openxmlformats.org/officeDocument/2006/relationships/hyperlink" Id="rId17"/>
    <Relationship TargetMode="External" Target="https://www.legis.iowa.gov/docs/ico/chapter/514C.31.pdf" Type="http://schemas.openxmlformats.org/officeDocument/2006/relationships/hyperlink" Id="rId18"/>
    <Relationship TargetMode="External" Target="https://www.legis.iowa.gov/docs/ico/chapter/514C.28.pdf" Type="http://schemas.openxmlformats.org/officeDocument/2006/relationships/hyperlink" Id="rId19"/>
    <Relationship TargetMode="External" Target="https://www.legis.iowa.gov/docs/ico/chapter/514C.31.pdf" Type="http://schemas.openxmlformats.org/officeDocument/2006/relationships/hyperlink" Id="rId20"/>
    <Relationship TargetMode="External" Target="https://www.legis.iowa.gov/docs/iac/rule/441.22.2.pdf" Type="http://schemas.openxmlformats.org/officeDocument/2006/relationships/hyperlink" Id="rId21"/>
    <Relationship TargetMode="External" Target="https://www.legis.iowa.gov/docs/ico/chapter/154B.pdf" Type="http://schemas.openxmlformats.org/officeDocument/2006/relationships/hyperlink" Id="rId22"/>
    <Relationship TargetMode="External" Target="https://www.legis.iowa.gov/docs/ico/chapter/148.pdf" Type="http://schemas.openxmlformats.org/officeDocument/2006/relationships/hyperlink" Id="rId23"/>
    <Relationship TargetMode="External" Target="https://www.legis.iowa.gov/docs/iac/rule/441.22.6.pdf" Type="http://schemas.openxmlformats.org/officeDocument/2006/relationships/hyperlink" Id="rId24"/>
    <Relationship TargetMode="External" Target="https://www.legis.iowa.gov/docs/ico/chapter/225D.2.pdf" Type="http://schemas.openxmlformats.org/officeDocument/2006/relationships/hyperlink" Id="rId25"/>
    <Relationship TargetMode="External" Target="https://www.legis.iowa.gov/docs/ico/chapter/225D.2.pdf" Type="http://schemas.openxmlformats.org/officeDocument/2006/relationships/hyperlink" Id="rId26"/>
    <Relationship TargetMode="External" Target="https://www.legis.iowa.gov/docs/iac/chapter/441.16.pdf" Type="http://schemas.openxmlformats.org/officeDocument/2006/relationships/hyperlink" Id="rId27"/>
    <Relationship TargetMode="External" Target="https://www.legis.iowa.gov/docs/iac/chapter/441.7.pdf" Type="http://schemas.openxmlformats.org/officeDocument/2006/relationships/hyperlink" Id="rId28"/>
    <Relationship TargetMode="External" Target="https://www.legis.iowa.gov/docs/ico/chapter/225D.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