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XV</w:t>
      </w:r>
    </w:p>
    <w:p>
      <w:pPr>
        <w:pBdr>
          <w:bottom w:space="3"/>
        </w:pBdr>
        <w:spacing w:before="0" w:after="0"/>
        <w:ind w:left="120"/>
        <w:jc w:val="center"/>
      </w:pPr>
      <w:r>
        <w:rPr>
          <w:rFonts w:ascii="Times New Roman" w:hAnsi="Times New Roman"/>
          <w:b w:val="false"/>
          <w:i/>
          <w:color w:val="000000"/>
          <w:sz w:val="16"/>
        </w:rPr>
        <w:t>INDIVIDUAL AND FAMILY SUPPORT</w:t>
      </w:r>
      <w:r>
        <w:br/>
      </w:r>
      <w:r>
        <w:rPr>
          <w:rFonts w:ascii="Times New Roman" w:hAnsi="Times New Roman"/>
          <w:b w:val="false"/>
          <w:i/>
          <w:color w:val="000000"/>
          <w:sz w:val="16"/>
        </w:rPr>
        <w:t>AND PROTECTIVE SERVICES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170</w:t>
      </w:r>
    </w:p>
    <w:p>
      <w:pPr>
        <w:spacing w:before="0" w:after="0"/>
        <w:ind w:left="120"/>
        <w:jc w:val="center"/>
      </w:pPr>
      <w:r>
        <w:rPr>
          <w:rFonts w:ascii="Times New Roman" w:hAnsi="Times New Roman"/>
          <w:b w:val="false"/>
          <w:i w:val="false"/>
          <w:color w:val="000000"/>
          <w:sz w:val="21"/>
        </w:rPr>
        <w:t>CHILD CARE SERVICES</w:t>
      </w:r>
    </w:p>
    <w:p>
      <w:pPr>
        <w:spacing w:before="0" w:after="0"/>
        <w:ind w:left="120"/>
        <w:jc w:val="center"/>
      </w:pPr>
      <w:r>
        <w:rPr>
          <w:rFonts w:ascii="Times New Roman" w:hAnsi="Times New Roman"/>
          <w:b w:val="false"/>
          <w:i w:val="false"/>
          <w:color w:val="000000"/>
          <w:sz w:val="14"/>
        </w:rPr>
        <w:t>[Prior to 7/1/83, Social Services[770] Ch 132]</w:t>
      </w:r>
    </w:p>
    <w:p>
      <w:pPr>
        <w:spacing w:before="0" w:after="0"/>
        <w:ind w:left="120"/>
        <w:jc w:val="center"/>
      </w:pPr>
      <w:r>
        <w:rPr>
          <w:rFonts w:ascii="Times New Roman" w:hAnsi="Times New Roman"/>
          <w:b w:val="false"/>
          <w:i w:val="false"/>
          <w:color w:val="000000"/>
          <w:sz w:val="14"/>
        </w:rPr>
        <w:t>[Previously appeared as Ch 132—renumbered IAB 2/29/84]</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The intent of this chapter is to establish requirements for the payment of child care services. Child care services are for children of low-income parents who are in academic or vocational training, or employed or looking for employment, or unable to care for children due to physical or mental illness, or needing protective services to prevent or alleviate child abuse or neglect. Services may be provided in a licensed child care center, a registered child development home, the child’s own home, or a nonregistered family child care home.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means child care assistance incorrectly paid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Loss or misfiling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timely changes in assistance following amendments of policies that require the changes by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means a service that provides child care in the absence of parents for a portion of the day, but less than 24 hours. Child care supplements parental care by providing care and protection for children who need care in or outside their homes for part of the day. Child care provides experiences for each child’s social, emotional, intellectual, and physical development. Child care may involve comprehensive child development care or it may include special services for a child with special needs. Components of this service shall include supervision, food services, program and activities, and may include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with protective needs” </w:t>
      </w:r>
      <w:r>
        <w:rPr>
          <w:rFonts w:ascii="Times New Roman" w:hAnsi="Times New Roman"/>
          <w:b w:val="false"/>
          <w:i w:val="false"/>
          <w:color w:val="000000"/>
          <w:sz w:val="22"/>
        </w:rPr>
        <w:t>means a child who is in foster care or has a case file that identifies child care as a safety or well-being need to prevent or alleviate the effects of child abuse or neglect. Child care is provided as part of a safety plan during a child abuse or child in need of assistance assessment or as part of the service plan established in the family’s case plan. The child must have: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open child abuse 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open child in need of assistance assessment;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open child welfare case as a result of a child abuse assessment;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petition on file for a child in need of assistance adjudication;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Adjudication as a child in need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with special needs” </w:t>
      </w:r>
      <w:r>
        <w:rPr>
          <w:rFonts w:ascii="Times New Roman" w:hAnsi="Times New Roman"/>
          <w:b w:val="false"/>
          <w:i w:val="false"/>
          <w:color w:val="000000"/>
          <w:sz w:val="22"/>
        </w:rPr>
        <w:t>means a child with one or more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child has been diagnosed by a physician or by a person endorsed for service as a school psychologist by the Iowa department of education to have a developmental disability which substantially limits one or more major life activities, and the child requires professional treatment, assistance in self-care, or the purchase of special adaptive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child has been determined by a qualified intellectual disability professional as defined in rule </w:t>
      </w:r>
      <w:hyperlink r:id="rId5">
        <w:r>
          <w:rPr>
            <w:rStyle w:val="Hyperlink"/>
            <w:rFonts w:ascii="Times New Roman" w:hAnsi="Times New Roman"/>
            <w:b w:val="false"/>
            <w:i w:val="false"/>
            <w:color w:val="000000"/>
            <w:sz w:val="22"/>
          </w:rPr>
          <w:t>441—83.60</w:t>
        </w:r>
      </w:hyperlink>
      <w:r>
        <w:rPr>
          <w:rFonts w:ascii="Times New Roman" w:hAnsi="Times New Roman"/>
          <w:b w:val="false"/>
          <w:i w:val="false"/>
          <w:color w:val="000000"/>
          <w:sz w:val="22"/>
        </w:rPr>
        <w:t>(249A) to have a condition which impairs the child’s intellectual and social functioning.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child has been diagnosed by a mental health professional as defined in rule </w:t>
      </w:r>
      <w:hyperlink r:id="rId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(225C) to have a behavioral or emotional disorder characterized by situationally inappropriate behavior which deviates substantially from behavior appropriate to the child’s age, or which significantly interferes with the child’s intellectual, social, or personal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current or former recipient of the child care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False or misleading statements, oral or written, regarding the client’s income, resources, or other circumstances which affect eligibility or the amount of assistance received;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timely report changes in income, resources, or other circumstances which affect eligibility or the amount of assistance received;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timely report the receipt of child care units in excess of the number approved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comply with the need for service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services” </w:t>
      </w:r>
      <w:r>
        <w:rPr>
          <w:rFonts w:ascii="Times New Roman" w:hAnsi="Times New Roman"/>
          <w:b w:val="false"/>
          <w:i w:val="false"/>
          <w:color w:val="000000"/>
          <w:sz w:val="22"/>
        </w:rPr>
        <w:t>means the preparation and serving of nutritionally balanced meals and snacks.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“Fraudulent means” </w:t>
      </w:r>
      <w:r>
        <w:rPr>
          <w:rFonts w:ascii="Times New Roman" w:hAnsi="Times New Roman"/>
          <w:b w:val="false"/>
          <w:i w:val="false"/>
          <w:color w:val="000000"/>
          <w:sz w:val="22"/>
        </w:rPr>
        <w:t>means knowingly making or causing to be made a false statement or a misrepresentation of a material fact, knowingly failing to disclose a material fact, or committing a fraudulent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“In-home” </w:t>
      </w:r>
      <w:r>
        <w:rPr>
          <w:rFonts w:ascii="Times New Roman" w:hAnsi="Times New Roman"/>
          <w:b w:val="false"/>
          <w:i w:val="false"/>
          <w:color w:val="000000"/>
          <w:sz w:val="22"/>
        </w:rPr>
        <w:t>means care which is provided within the child’s own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“Migrant seasonal farm worker” </w:t>
      </w:r>
      <w:r>
        <w:rPr>
          <w:rFonts w:ascii="Times New Roman" w:hAnsi="Times New Roman"/>
          <w:b w:val="false"/>
          <w:i w:val="false"/>
          <w:color w:val="000000"/>
          <w:sz w:val="22"/>
        </w:rPr>
        <w:t>means a person to whom all of the following conditions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performs seasonal agricultural work which requires travel so that the person is unable to return to the person’s permanent residence within the same day.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Most of the person’s income is derived from seasonal agricultural work performed during the months of July through October. Most shall mean the simple majority of the income.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generally performs seasonal agricultural work in Iowa during the months of July through October.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or distance learning” </w:t>
      </w:r>
      <w:r>
        <w:rPr>
          <w:rFonts w:ascii="Times New Roman" w:hAnsi="Times New Roman"/>
          <w:b w:val="false"/>
          <w:i w:val="false"/>
          <w:color w:val="000000"/>
          <w:sz w:val="22"/>
        </w:rPr>
        <w:t>means training such as, but not limited to, training conducted over the Iowa communications network, on-line courses, or web conferencing. The training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Interaction between the instructor and the student, such as required chats or message boards;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Mechanisms for evaluation and measurement of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any benefit or payment received in an amount greater than the amount the client or provider is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the parent or the person who serves in the capacity of the parent of the child receiving child care assistance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and activities” </w:t>
      </w:r>
      <w:r>
        <w:rPr>
          <w:rFonts w:ascii="Times New Roman" w:hAnsi="Times New Roman"/>
          <w:b w:val="false"/>
          <w:i w:val="false"/>
          <w:color w:val="000000"/>
          <w:sz w:val="22"/>
        </w:rPr>
        <w:t>means the daily schedule of experiences in a child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“PROMISE JOBS” </w:t>
      </w:r>
      <w:r>
        <w:rPr>
          <w:rFonts w:ascii="Times New Roman" w:hAnsi="Times New Roman"/>
          <w:b w:val="false"/>
          <w:i w:val="false"/>
          <w:color w:val="000000"/>
          <w:sz w:val="22"/>
        </w:rPr>
        <w:t xml:space="preserve">means the department’s work and training program, promoting independence and self-sufficiency through employment job opportunities and basic skills, as described in </w:t>
      </w:r>
      <w:hyperlink r:id="rId7">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licensed child care center, a registered child development home, a caretaker who provides care for a child in the child’s home, or a nonregistered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error” </w:t>
      </w:r>
      <w:r>
        <w:rPr>
          <w:rFonts w:ascii="Times New Roman" w:hAnsi="Times New Roman"/>
          <w:b w:val="false"/>
          <w:i w:val="false"/>
          <w:color w:val="000000"/>
          <w:sz w:val="22"/>
        </w:rPr>
        <w:t>means and may result from: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Presentation for payment of any false or fraudulent claim for services or merchandise;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Submittal of false information for the purpose of obtaining greater compensation than that to which the provider is legally entitled;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report the receipt of a child care assistance payment in excess of that approved by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Charging the department an amount for services rendered over and above what is charged private pay clients for the same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maintain a copy of Form 470-4535 signed by the parent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“Recoupment” </w:t>
      </w:r>
      <w:r>
        <w:rPr>
          <w:rFonts w:ascii="Times New Roman" w:hAnsi="Times New Roman"/>
          <w:b w:val="false"/>
          <w:i w:val="false"/>
          <w:color w:val="000000"/>
          <w:sz w:val="22"/>
        </w:rPr>
        <w:t>means the repayment of an overpayment by a payment from the client or provider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care, protection, and guidance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means the movement of children in a four or more wheeled vehicle designed to carry passengers, such as a car, van, or bus, between home and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means a half day which shall be up to 5 hours of service per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“Vocational training or education” </w:t>
      </w:r>
      <w:r>
        <w:rPr>
          <w:rFonts w:ascii="Times New Roman" w:hAnsi="Times New Roman"/>
          <w:b w:val="false"/>
          <w:i w:val="false"/>
          <w:color w:val="000000"/>
          <w:sz w:val="22"/>
        </w:rPr>
        <w:t>means a training plan which includes a specific goal, that is, high school completion, improved English skills, or development of specific academic or vocational skills.</w:t>
      </w:r>
    </w:p>
    <w:p>
      <w:pPr>
        <w:spacing w:before="0" w:after="0"/>
        <w:ind w:left="120"/>
        <w:jc w:val="both"/>
      </w:pPr>
      <w:r>
        <w:rPr>
          <w:rFonts w:ascii="Times New Roman" w:hAnsi="Times New Roman"/>
          <w:b w:val="false"/>
          <w:i w:val="false"/>
          <w:color w:val="000000"/>
          <w:sz w:val="22"/>
        </w:rPr>
        <w:t>Training may be approved for high school completion activities, high school equivalency, adult basic education, English as a second language, or postsecondary education, up to and including an associate or a baccalaureate degree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1525C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1606C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441—170.2</w:t>
      </w:r>
      <w:r>
        <w:rPr>
          <w:rFonts w:ascii="Times New Roman" w:hAnsi="Times New Roman"/>
          <w:b/>
          <w:i w:val="false"/>
          <w:color w:val="000000"/>
          <w:sz w:val="22"/>
        </w:rPr>
        <w:t xml:space="preserve">(237A,239B)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 xml:space="preserve">A person deemed eligible for benefits under this chapter is subject to all other state child care assistance requirements including, but not limited to, provider requirements under Iowa Code chapter </w:t>
      </w:r>
      <w:hyperlink r:id="rId8">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provider reimbursement methodology. The department shall determine the number of units of service to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Financial eligibility for child care assistance shall be based on federal poverty levels as determined by the Office of Management and Budget and on Iowa’s median family income as determined by the U.S. Census Bureau. Poverty guidelines and median family income amounts are updated annually. Changes shall go into effect for the child care assistance program on July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initial eligibility, an applicant family’s nonexempt gross monthly income as established in </w:t>
      </w:r>
      <w:hyperlink r:id="rId9">
        <w:r>
          <w:rPr>
            <w:rStyle w:val="Hyperlink"/>
            <w:rFonts w:ascii="Times New Roman" w:hAnsi="Times New Roman"/>
            <w:b w:val="false"/>
            <w:i w:val="false"/>
            <w:color w:val="000000"/>
            <w:sz w:val="22"/>
          </w:rPr>
          <w:t>paragraph 170.2(1)</w:t>
        </w:r>
      </w:hyperlink>
      <w:r>
        <w:rPr>
          <w:rFonts w:ascii="Times New Roman" w:hAnsi="Times New Roman"/>
          <w:b w:val="false"/>
          <w:i/>
          <w:color w:val="000000"/>
          <w:sz w:val="22"/>
        </w:rPr>
        <w:t>“c”</w:t>
      </w:r>
      <w:r>
        <w:rPr>
          <w:rFonts w:ascii="Times New Roman" w:hAnsi="Times New Roman"/>
          <w:b w:val="false"/>
          <w:i w:val="false"/>
          <w:color w:val="000000"/>
          <w:sz w:val="22"/>
        </w:rPr>
        <w:t xml:space="preserve"> cannot exceed the amounts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160 percent of the federal poverty level applicable to the family size for children needing basic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200 percent of the federal poverty level applicable to the family size for children needing special-needs care;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85 percent of Iowa’s median family income, if that figure is lower than the standard in numbered paragraph “1” or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ongoing eligibility, at the time of a family’s annual eligibility redetermination as described in </w:t>
      </w:r>
      <w:hyperlink r:id="rId10">
        <w:r>
          <w:rPr>
            <w:rStyle w:val="Hyperlink"/>
            <w:rFonts w:ascii="Times New Roman" w:hAnsi="Times New Roman"/>
            <w:b w:val="false"/>
            <w:i w:val="false"/>
            <w:color w:val="000000"/>
            <w:sz w:val="22"/>
          </w:rPr>
          <w:t>subrule 170.3(5)</w:t>
        </w:r>
      </w:hyperlink>
      <w:r>
        <w:rPr>
          <w:rFonts w:ascii="Times New Roman" w:hAnsi="Times New Roman"/>
          <w:b w:val="false"/>
          <w:i w:val="false"/>
          <w:color w:val="000000"/>
          <w:sz w:val="22"/>
        </w:rPr>
        <w:t xml:space="preserve">, if the family’s nonexempt gross monthly income as established in </w:t>
      </w:r>
      <w:hyperlink r:id="rId11">
        <w:r>
          <w:rPr>
            <w:rStyle w:val="Hyperlink"/>
            <w:rFonts w:ascii="Times New Roman" w:hAnsi="Times New Roman"/>
            <w:b w:val="false"/>
            <w:i w:val="false"/>
            <w:color w:val="000000"/>
            <w:sz w:val="22"/>
          </w:rPr>
          <w:t>paragraph 170.2(1)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exceeds the amounts in </w:t>
      </w:r>
      <w:hyperlink r:id="rId12">
        <w:r>
          <w:rPr>
            <w:rStyle w:val="Hyperlink"/>
            <w:rFonts w:ascii="Times New Roman" w:hAnsi="Times New Roman"/>
            <w:b w:val="false"/>
            <w:i w:val="false"/>
            <w:color w:val="000000"/>
            <w:sz w:val="22"/>
          </w:rPr>
          <w:t>subparagraph 170.2(1)</w:t>
        </w:r>
      </w:hyperlink>
      <w:r>
        <w:rPr>
          <w:rFonts w:ascii="Times New Roman" w:hAnsi="Times New Roman"/>
          <w:b w:val="false"/>
          <w:i/>
          <w:color w:val="000000"/>
          <w:sz w:val="22"/>
        </w:rPr>
        <w:t>“a”</w:t>
      </w:r>
      <w:r>
        <w:rPr>
          <w:rFonts w:ascii="Times New Roman" w:hAnsi="Times New Roman"/>
          <w:b w:val="false"/>
          <w:i w:val="false"/>
          <w:color w:val="000000"/>
          <w:sz w:val="22"/>
        </w:rPr>
        <w:t>(1), the family may continue to be eligible as long as the family’s nonexempt gross monthly income does not exceed the amounts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225 percent of the federal poverty level applicable to the family size for children needing basic care or special-needs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85 percent of Iowa’s median family income, if that figure is lower than the standard in numbered paragraph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ongoing eligibility, at the time of a family’s annual eligibility redetermination as described in </w:t>
      </w:r>
      <w:hyperlink r:id="rId13">
        <w:r>
          <w:rPr>
            <w:rStyle w:val="Hyperlink"/>
            <w:rFonts w:ascii="Times New Roman" w:hAnsi="Times New Roman"/>
            <w:b w:val="false"/>
            <w:i w:val="false"/>
            <w:color w:val="000000"/>
            <w:sz w:val="22"/>
          </w:rPr>
          <w:t>subrule 170.3(5)</w:t>
        </w:r>
      </w:hyperlink>
      <w:r>
        <w:rPr>
          <w:rFonts w:ascii="Times New Roman" w:hAnsi="Times New Roman"/>
          <w:b w:val="false"/>
          <w:i w:val="false"/>
          <w:color w:val="000000"/>
          <w:sz w:val="22"/>
        </w:rPr>
        <w:t xml:space="preserve">, if the family’s nonexempt gross monthly income as established in </w:t>
      </w:r>
      <w:hyperlink r:id="rId14">
        <w:r>
          <w:rPr>
            <w:rStyle w:val="Hyperlink"/>
            <w:rFonts w:ascii="Times New Roman" w:hAnsi="Times New Roman"/>
            <w:b w:val="false"/>
            <w:i w:val="false"/>
            <w:color w:val="000000"/>
            <w:sz w:val="22"/>
          </w:rPr>
          <w:t>paragraph 170.2(1)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exceeds the amounts in subparagraphs </w:t>
      </w:r>
      <w:hyperlink r:id="rId15">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16">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(2), the family may continue to be eligible as long as the family’s nonexempt gross monthly income does not exceed the amounts in this subparagraph.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250 percent of the federal poverty level applicable to the family size for children needing basic care;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275 percent of the federal poverty level applicable to the family size for children needing special-needs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income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participating in activities approved under the PROMISE JOBS program is eligible for child care assistance without regard to income if there is a need for child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part of the family investment program or whose earned income was taken into account in determining the needs of a family investment program recipient is eligible for child care assistance without regard to income if there is a need for child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Protective child care services are provided without regard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certain cases, the department will provide child care services directed in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care services for licensed foster parents who need child care for foster children are provided without regard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Determining gross income. </w:t>
      </w:r>
      <w:r>
        <w:rPr>
          <w:rFonts w:ascii="Times New Roman" w:hAnsi="Times New Roman"/>
          <w:b w:val="false"/>
          <w:i w:val="false"/>
          <w:color w:val="000000"/>
          <w:sz w:val="22"/>
        </w:rPr>
        <w:t xml:space="preserve">Eligibility shall be determined using a projection of income based on the best estimate of future income. In determining a family’s gross monthly income, the department shall consider all income received by a family member from sources identified by the U.S. Census Bureau in computing median income, unless excluded under paragraph </w:t>
      </w:r>
      <w:hyperlink r:id="rId17">
        <w:r>
          <w:rPr>
            <w:rStyle w:val="Hyperlink"/>
            <w:rFonts w:ascii="Times New Roman" w:hAnsi="Times New Roman"/>
            <w:b w:val="false"/>
            <w:i w:val="false"/>
            <w:color w:val="000000"/>
            <w:sz w:val="22"/>
          </w:rPr>
          <w:t>170.2(1)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considered shall include wages or salary, net profit from farm or nonfarm self-employment, social security, dividends, interest, income from estates or trusts, net rental income and royalties, public assistance or welfare payments, pensions and annuities, unemployment compensation, workers’ compensation, alimony, child support, veterans pensions, cash payments, casino profits, railroad retirement, permanent disability insurance, strike pay and living allowance payments made to participants of the AmeriCorps program. “Net profit from self-employment” means gross income less the costs of producing the income other than depreciation. A net loss in self-employment income cannot be offset from other earned or unearned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migrant seasonal farm workers, the monthly gross income shall be determined by calculating the total amount of income earned in a 12-month period preceding the date of application and dividing the total amount by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income received weekly or once every two weeks is projected for future months, income shall be projected by adding all income received in the period being used for the projection and dividing the result by the number of instances of income received in that period. The result shall be multiplied by four if the income is received weekly, or by two if the income is received biweekly, regardless of the number of weekly or biweekly payments to be made in future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exclusions. </w:t>
      </w:r>
      <w:r>
        <w:rPr>
          <w:rFonts w:ascii="Times New Roman" w:hAnsi="Times New Roman"/>
          <w:b w:val="false"/>
          <w:i w:val="false"/>
          <w:color w:val="000000"/>
          <w:sz w:val="22"/>
        </w:rPr>
        <w:t>The following sources are excluded from the computation of monthly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 capita payments from or funds held in trust in satisfaction of a judgment of the Indian Claims Commission or the court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Payments made pursuant to the Alaska Claims Settlement Act, to the extent the payments are exempt from taxation under Section 21(a)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 received from the sale of property, unless the person was engaged in the business of selling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Withdrawals of bank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Money borrowed.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Tax refunds.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Lump-sum inheritances or insurance payments or settlements.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Capital gains.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value of the Supplemental Nutrition Assistance Program (SNAP) allotment under the Food and Nutrition Act of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value of USDA donated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value of supplemental food assistance under the Child Nutrition Act of 1966 and the special food program for children under the National School Lunch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Earnings of a child 14 years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Loans and grants obtained and used under conditions that preclude their use for current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grant or loan to any undergraduate student for educational purposes made or insured under the Higher Education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Home produce used for household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Earnings received by any youth under the Workforce Investment Act (WIA).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Stipends received for participating in the foster grandparent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first $65 plus 50 percent of the remainder of income earned in a sheltered workshop or work activity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Payments from the Low-Income Home Energy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Agent Orange settlement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parents with whom a teen parent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For children with special needs, income spent on any regular ongoing cost that is specific to that child’s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Moneys received under the federal Social Security Persons Achieving Self-Sufficiency (PASS) program or the Income-Related Work Expense (IRWE)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Income received by a Supplemental Security Income recipient if the recipient’s earned income was considered in determining the needs of a family investment program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The income of a child who would be in the family investment program eligible group except for the receipt of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Any adoption subsidy payments received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Federal or state 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Payments from the Iowa individual assistance grant program (IIAGP).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Payments from the transition to independence program (TIP).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to volunteers participating in the Volunteers in Service to America (VISTA) program. </w:t>
      </w:r>
      <w:r>
        <w:rPr>
          <w:rFonts w:ascii="Times New Roman" w:hAnsi="Times New Roman"/>
          <w:b w:val="false"/>
          <w:i w:val="false"/>
          <w:color w:val="000000"/>
          <w:sz w:val="22"/>
        </w:rPr>
        <w:t>EXCEPTION</w:t>
      </w:r>
      <w:r>
        <w:rPr>
          <w:rFonts w:ascii="Times New Roman" w:hAnsi="Times New Roman"/>
          <w:b w:val="false"/>
          <w:i w:val="false"/>
          <w:color w:val="000000"/>
          <w:sz w:val="22"/>
        </w:rPr>
        <w:t>: This exemption will not be applied when the director of ACTION determines that the value of all VISTA payments, adjusted to reflect the number of hours the volunteer is serving, is equivalent to or greater than the minimum wage then in effect under the Fair Labor Standards Act of 1938 or the minimum wage under the laws of the state where the volunteer is serving,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(32)</w:t>
      </w:r>
      <w:r>
        <w:rPr>
          <w:rFonts w:ascii="Times New Roman" w:hAnsi="Times New Roman"/>
          <w:b w:val="false"/>
          <w:i w:val="false"/>
          <w:color w:val="000000"/>
          <w:sz w:val="22"/>
        </w:rPr>
        <w:t>  </w:t>
      </w:r>
      <w:r>
        <w:rPr>
          <w:rFonts w:ascii="Times New Roman" w:hAnsi="Times New Roman"/>
          <w:b w:val="false"/>
          <w:i w:val="false"/>
          <w:color w:val="000000"/>
          <w:sz w:val="22"/>
        </w:rPr>
        <w:t>Reimbursement from the employer for job-related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(33)</w:t>
      </w:r>
      <w:r>
        <w:rPr>
          <w:rFonts w:ascii="Times New Roman" w:hAnsi="Times New Roman"/>
          <w:b w:val="false"/>
          <w:i w:val="false"/>
          <w:color w:val="000000"/>
          <w:sz w:val="22"/>
        </w:rPr>
        <w:t>  </w:t>
      </w:r>
      <w:r>
        <w:rPr>
          <w:rFonts w:ascii="Times New Roman" w:hAnsi="Times New Roman"/>
          <w:b w:val="false"/>
          <w:i w:val="false"/>
          <w:color w:val="000000"/>
          <w:sz w:val="22"/>
        </w:rPr>
        <w:t>Stipends from the preparation for adult living (PAL)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(34)</w:t>
      </w:r>
      <w:r>
        <w:rPr>
          <w:rFonts w:ascii="Times New Roman" w:hAnsi="Times New Roman"/>
          <w:b w:val="false"/>
          <w:i w:val="false"/>
          <w:color w:val="000000"/>
          <w:sz w:val="22"/>
        </w:rPr>
        <w:t>  </w:t>
      </w:r>
      <w:r>
        <w:rPr>
          <w:rFonts w:ascii="Times New Roman" w:hAnsi="Times New Roman"/>
          <w:b w:val="false"/>
          <w:i w:val="false"/>
          <w:color w:val="000000"/>
          <w:sz w:val="22"/>
        </w:rPr>
        <w:t>Payments from the subsidized guardianship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(35)</w:t>
      </w:r>
      <w:r>
        <w:rPr>
          <w:rFonts w:ascii="Times New Roman" w:hAnsi="Times New Roman"/>
          <w:b w:val="false"/>
          <w:i w:val="false"/>
          <w:color w:val="000000"/>
          <w:sz w:val="22"/>
        </w:rPr>
        <w:t>  </w:t>
      </w:r>
      <w:r>
        <w:rPr>
          <w:rFonts w:ascii="Times New Roman" w:hAnsi="Times New Roman"/>
          <w:b w:val="false"/>
          <w:i w:val="false"/>
          <w:color w:val="000000"/>
          <w:sz w:val="22"/>
        </w:rPr>
        <w:t>The earnings of a child aged 18 or under who is a full-time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(36)</w:t>
      </w:r>
      <w:r>
        <w:rPr>
          <w:rFonts w:ascii="Times New Roman" w:hAnsi="Times New Roman"/>
          <w:b w:val="false"/>
          <w:i w:val="false"/>
          <w:color w:val="000000"/>
          <w:sz w:val="22"/>
        </w:rPr>
        <w:t>  </w:t>
      </w:r>
      <w:r>
        <w:rPr>
          <w:rFonts w:ascii="Times New Roman" w:hAnsi="Times New Roman"/>
          <w:b w:val="false"/>
          <w:i w:val="false"/>
          <w:color w:val="000000"/>
          <w:sz w:val="22"/>
        </w:rPr>
        <w:t>Census earnings received by temporary workers from the Bureau of the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(37)</w:t>
      </w:r>
      <w:r>
        <w:rPr>
          <w:rFonts w:ascii="Times New Roman" w:hAnsi="Times New Roman"/>
          <w:b w:val="false"/>
          <w:i w:val="false"/>
          <w:color w:val="000000"/>
          <w:sz w:val="22"/>
        </w:rPr>
        <w:t>  </w:t>
      </w:r>
      <w:r>
        <w:rPr>
          <w:rFonts w:ascii="Times New Roman" w:hAnsi="Times New Roman"/>
          <w:b w:val="false"/>
          <w:i w:val="false"/>
          <w:color w:val="000000"/>
          <w:sz w:val="22"/>
        </w:rPr>
        <w:t>Payments for major disaster and emergency assistance provided under the Disaster Relief Act of 1974 as amended by Public Law 100-707, the Disaster Relief and Emergency Assistance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The following people shall be included in the family size for the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spouses (including common law) who reside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Natural mother or father, adoptive mother or father, or stepmother or stepfather, and children who reside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child or children who live with a person or persons not legally responsible for the child’s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Effect of temporary absence. </w:t>
      </w:r>
      <w:r>
        <w:rPr>
          <w:rFonts w:ascii="Times New Roman" w:hAnsi="Times New Roman"/>
          <w:b w:val="false"/>
          <w:i w:val="false"/>
          <w:color w:val="000000"/>
          <w:sz w:val="22"/>
        </w:rPr>
        <w:t>The composition of the family does not change when a family member is temporarily absent from the household. “Temporary absence”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absence for the purpose of education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absence due to medical reasons that is anticipated to last less than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absence when the person intends to return home within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Resource limits. </w:t>
      </w:r>
      <w:r>
        <w:rPr>
          <w:rFonts w:ascii="Times New Roman" w:hAnsi="Times New Roman"/>
          <w:b w:val="false"/>
          <w:i w:val="false"/>
          <w:color w:val="000000"/>
          <w:sz w:val="22"/>
        </w:rPr>
        <w:t>For initial and ongoing eligibility, family resources may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170.2(2)</w:t>
      </w:r>
      <w:r>
        <w:rPr>
          <w:rFonts w:ascii="Times New Roman" w:hAnsi="Times New Roman"/>
          <w:b w:val="false"/>
          <w:i w:val="false"/>
          <w:color w:val="000000"/>
          <w:sz w:val="22"/>
        </w:rPr>
        <w:t> </w:t>
      </w:r>
      <w:r>
        <w:rPr>
          <w:rFonts w:ascii="Times New Roman" w:hAnsi="Times New Roman"/>
          <w:b w:val="false"/>
          <w:i/>
          <w:color w:val="000000"/>
          <w:sz w:val="22"/>
        </w:rPr>
        <w:t xml:space="preserve">General eligibility requirements. </w:t>
      </w:r>
      <w:r>
        <w:rPr>
          <w:rFonts w:ascii="Times New Roman" w:hAnsi="Times New Roman"/>
          <w:b w:val="false"/>
          <w:i w:val="false"/>
          <w:color w:val="000000"/>
          <w:sz w:val="22"/>
        </w:rPr>
        <w:t>In addition to meeting financial requirements, the child needing services must meet age, citizenship, and residency requirements. Each parent in the household must have at least one need for service and shall cooperate with the department’s quality control review and with investigations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Child care shall be provided only to children up to age 13, unless they are children with special needs, in which case child care shall be provided up to age 19. When a child reaches the age of 13, or, as applicable, the age of 19, during the certification period, eligibility shall continue until the end of the approved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 xml:space="preserve">Except for assistance provided under subparagraph </w:t>
      </w:r>
      <w:hyperlink r:id="rId18">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assistance shall be provided to a two-parent family only during the parents’ coinciding hours of participation in training, employment, or job search unless one parent is permanently disabled as described in </w:t>
      </w:r>
      <w:hyperlink r:id="rId19">
        <w:r>
          <w:rPr>
            <w:rStyle w:val="Hyperlink"/>
            <w:rFonts w:ascii="Times New Roman" w:hAnsi="Times New Roman"/>
            <w:b w:val="false"/>
            <w:i w:val="false"/>
            <w:color w:val="000000"/>
            <w:sz w:val="22"/>
          </w:rPr>
          <w:t>subparagraph 170.2(2)</w:t>
        </w:r>
      </w:hyperlink>
      <w:r>
        <w:rPr>
          <w:rFonts w:ascii="Times New Roman" w:hAnsi="Times New Roman"/>
          <w:b w:val="false"/>
          <w:i/>
          <w:color w:val="000000"/>
          <w:sz w:val="22"/>
        </w:rPr>
        <w:t>“b”</w:t>
      </w:r>
      <w:r>
        <w:rPr>
          <w:rFonts w:ascii="Times New Roman" w:hAnsi="Times New Roman"/>
          <w:b w:val="false"/>
          <w:i w:val="false"/>
          <w:color w:val="000000"/>
          <w:sz w:val="22"/>
        </w:rPr>
        <w:t>(4). Each parent in the household shall meet one or more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is in academic or vocational training. Training shall be on a full-time basis. The training facility shall define what is considered as full-time. Part-time training may be approved only if the number of credit hours to complete training is less than that required for full-time status, the required prerequisite credits or remedial course work is less than that required for full-time status, or training is not offered on a full-time basis. Child care services may be provided for the parent’s hours of participation in the academic or vocational training and for actual travel time between the child care location and the training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Child care provided while the parent participates in postsecondary education leading up to and including a baccalaureate degree program or vocational training shall be limited to a 24-month lifetime limit. A month is defined as a fiscal month or part thereof and shall generally have starting and ending dates that fall within two adjacent calendar months but shall only count as one month. Time spent in high school completion, adult basic education, high school equivalency, or English as a second language does not count toward the 24-month limit. PROMISE JOBS child care allowances provided while the parent is a recipient of the family investment program and participating in PROMISE JOBS components in postsecondary education or training shall count toward the 24-month lifetime limit.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Payment shall not be approved for child-care during training in the following circumstances: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Labor market statistics for a local area indicate low employment potential for workers with that training. Exceptions may be made when the parent has a job offer before entering the training or if a parent is willing to relocate after training to an area where there is employment potential. Parents willing to relocate must provide documentation from the department of workforce development, private employment agencies, or employers that jobs paying at least minimum wage for which training is being requested are available in the locale specified by the parent.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training is for jobs paying less than minimum wage.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parent who possesses a baccalaureate degree wants to take additional college coursework unless the coursework is to obtain a teaching certificate or complete continuing education units.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course or training is one that the parent has previously completed.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parent was previously unable to maintain the cumulative grade point average required by the training or academic facility in the same training for which application is now being made. This does not apply to parents under the age of 18 who are enrolled in high school completion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education is in a field in which the parent will not be able to be employed due to known criminal convictions or founded child or dependent adult abuse.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parent wants to participate in on-line or distance learning from the parent’s own home, and the training facility does not require specified hours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is employed 32 or more hours per week (28 hours per week if the family includes a special needs child) or an average of 32 or more hours per week (28 hours per week if the family includes a special needs child) during the month. Child care services may be provided for the hours of employment and for actual travel time between the child care location and the place of employment. If the parent works a shift consisting of at least six hours of employment between the hours of 8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needs to sleep during daytime hours, child care services may also be provided to allow the parent to sleep during daytime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parent has a child with protective needs for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parent is absent from the home due to inpatient hospitalization or outpatient treatment because of physical or mental illness, or is present but due to medical incapacity is unable to care for the child or participate in work or training, as verified by a physician.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Eligibility under this paragraph is limited to parents who become temporarily medically incapacitated, or to instances of one parent in a two-parent household being permanently disabled, while eligible for child care assistance based on the need criteria in subparagraph </w:t>
      </w:r>
      <w:hyperlink r:id="rId20">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Child care assistance shall continue to be available for up to 90 consecutive days after the parent becomes medically incapacitated. Assistance beyond 90 days may be approved by the service area manager or designee if extenuating circumstances are verified by a physician.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units of service authorized shall be determined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single-parent family, the number of units authorized for the period of incapacity shall not exceed the number of units authorized for the family before the onset of incapacity.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two-parent family where one parent is temporarily incapacitated, the units of service authorized shall be based on the need of the parent who is not incapacitated.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two-parent family, if one of the parents has a permanent disability and is unable to care for the child or participate in work or training, the disabled parent does not need to meet another need for service requirement. The units of service authorized shall be based only on the need of the parent who is not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parent is looking for employment. Child care for job search hours shall be limited to only those hours the parent is actually looking for employment, including travel time. Job search shall be limited to a maximum of 90 consecutive calendar days.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applicants, job search shall be approved for a maximum of 90 consecutive calendar days. If the parent has not started employment within 90 days, assistance shall be canceled.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ongoing participants, job search shall be limited to a maximum of 90 consecutive calendar days and will be treated the same as a temporary lapse in need as described at subparagraphs </w:t>
      </w:r>
      <w:hyperlink r:id="rId22">
        <w:r>
          <w:rPr>
            <w:rStyle w:val="Hyperlink"/>
            <w:rFonts w:ascii="Times New Roman" w:hAnsi="Times New Roman"/>
            <w:b w:val="false"/>
            <w:i w:val="false"/>
            <w:color w:val="000000"/>
            <w:sz w:val="22"/>
          </w:rPr>
          <w:t>170.2(2)</w:t>
        </w:r>
      </w:hyperlink>
      <w:r>
        <w:rPr>
          <w:rFonts w:ascii="Times New Roman" w:hAnsi="Times New Roman"/>
          <w:b w:val="false"/>
          <w:i/>
          <w:color w:val="000000"/>
          <w:sz w:val="22"/>
        </w:rPr>
        <w:t>“b”</w:t>
      </w:r>
      <w:r>
        <w:rPr>
          <w:rFonts w:ascii="Times New Roman" w:hAnsi="Times New Roman"/>
          <w:b w:val="false"/>
          <w:i w:val="false"/>
          <w:color w:val="000000"/>
          <w:sz w:val="22"/>
        </w:rPr>
        <w:t>(10) and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needs child care services due to participation in activities approved under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family is part of the family investment program and there is a need for child care services due to employment or participation in vocational training or education. A family who meets this requirement due to employment is not required to work a minimum number of hours. If a parent in a family investment program household remains in the home, child care assistance can be paid if that parent receives 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is employed and participating in academic or vocational training for 32 or more hours per week (28 hours per week if the family includes a special needs child) or an average of 32 or more hours per week (28 hours per week if the family includes a special needs child) in the aggregate, during the month. Child care services may be provided for the hours of employment, the hours of participation in academic or vocational training and for actual travel time between the child care location and the place of employment or training. All of the requirements relating to academic or vocational training found at subparagraph </w:t>
      </w:r>
      <w:hyperlink r:id="rId23">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except for the requirement to be enrolled full-time, apply to the part-time training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parent is a licensed foster parent who needs child care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Family eligibility shall continue during an approved certification period when a temporary lapse in need for service for a parent established under this subparagraph occurs. A temporary lapse is defined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time-limited absence from work or a training or education program for a parent due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Need to care for a family member.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illness.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Maternity leave.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Family Medical Leave Act (FMLA) situations for household members.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Participation in a treatment/rehabilitation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reduction in employment or education/training hours that fall below the minimum number required at 170.2(2)</w:t>
      </w:r>
      <w:r>
        <w:rPr>
          <w:rFonts w:ascii="Times New Roman" w:hAnsi="Times New Roman"/>
          <w:b w:val="false"/>
          <w:i/>
          <w:color w:val="000000"/>
          <w:sz w:val="22"/>
        </w:rPr>
        <w:t>“b”</w:t>
      </w:r>
      <w:r>
        <w:rPr>
          <w:rFonts w:ascii="Times New Roman" w:hAnsi="Times New Roman"/>
          <w:b w:val="false"/>
          <w:i w:val="false"/>
          <w:color w:val="000000"/>
          <w:sz w:val="22"/>
        </w:rPr>
        <w:t xml:space="preserve">(1), (2) or (8) as long as the parent continues to work or attend training or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student holiday or break for a parent participating in training 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interruption in work for a seasonal worker who is not working between regular industry work seasons.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cessation of work or attendance at a training or education program that does not exceed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Family eligibility shall be canceled if the lapse in need is not temporary because the lapse will continue for more than 3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To be eligible for child care services, the person must be living in the state of Iowa. “Living in the state” shall include those persons living in Iowa for a temporary period, other than for the purpose of vacation.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Citizenship. </w:t>
      </w:r>
      <w:r>
        <w:rPr>
          <w:rFonts w:ascii="Times New Roman" w:hAnsi="Times New Roman"/>
          <w:b w:val="false"/>
          <w:i w:val="false"/>
          <w:color w:val="000000"/>
          <w:sz w:val="22"/>
        </w:rPr>
        <w:t>As a condition of eligibility, the applicant shall attest to the child’s citizenship or alien status by signing Form 470-3624 or 470-3624(S) or Form 470-0462 or 470-0462(S). Child care assistance payments may be made only for a child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citizen or national of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a qualified alien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 The applicant shall furnish documentation of the alien status of any child declared to be a qualified alien. A child who is a qualified alien is not eligible for child care assistance for a period of five years beginning on the date of the child’s entry into the United States with qualified alien status.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five-year prohibition from receiving assistance does not apply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Qualified aliens described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1613;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Qualified aliens as defined at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 who entered the United States before August 22,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 xml:space="preserve">Parents shall cooperate with the department when the department selects the family’s case for quality control review to verify eligibility. Parents shall also cooperate with investigations conducted by the department of inspections and appeals to determine whether information supplied by the parent regarding eligibility for child care assistance is complete and correct. (See </w:t>
      </w:r>
      <w:hyperlink r:id="rId24">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cooperate shall serve as a basis for cancellation or denial of the family’s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denied or canceled for failure to cooperate, the family may reapply but shall not be considered for approval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170.2(3)</w:t>
      </w:r>
      <w:r>
        <w:rPr>
          <w:rFonts w:ascii="Times New Roman" w:hAnsi="Times New Roman"/>
          <w:b w:val="false"/>
          <w:i w:val="false"/>
          <w:color w:val="000000"/>
          <w:sz w:val="22"/>
        </w:rPr>
        <w:t> </w:t>
      </w:r>
      <w:r>
        <w:rPr>
          <w:rFonts w:ascii="Times New Roman" w:hAnsi="Times New Roman"/>
          <w:b w:val="false"/>
          <w:i/>
          <w:color w:val="000000"/>
          <w:sz w:val="22"/>
        </w:rPr>
        <w:t xml:space="preserve">Priority for assistance. </w:t>
      </w:r>
      <w:r>
        <w:rPr>
          <w:rFonts w:ascii="Times New Roman" w:hAnsi="Times New Roman"/>
          <w:b w:val="false"/>
          <w:i w:val="false"/>
          <w:color w:val="000000"/>
          <w:sz w:val="22"/>
        </w:rPr>
        <w:t>Child care services shall be provided only when funds are available. Funds available for child care assistance shall first be used to continue assistance to families currently receiving child care assistance and to families with protective child care needs or licensed foster parents who need child care for foster children. When funds are insufficient, families applying for services must meet the specific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Priority groups. </w:t>
      </w:r>
      <w:r>
        <w:rPr>
          <w:rFonts w:ascii="Times New Roman" w:hAnsi="Times New Roman"/>
          <w:b w:val="false"/>
          <w:i w:val="false"/>
          <w:color w:val="000000"/>
          <w:sz w:val="22"/>
        </w:rPr>
        <w:t xml:space="preserve">As funds are determined available, families shall be served on a statewide basis from a service-area-wide waiting list as specified in subrule </w:t>
      </w:r>
      <w:hyperlink r:id="rId25">
        <w:r>
          <w:rPr>
            <w:rStyle w:val="Hyperlink"/>
            <w:rFonts w:ascii="Times New Roman" w:hAnsi="Times New Roman"/>
            <w:b w:val="false"/>
            <w:i w:val="false"/>
            <w:color w:val="000000"/>
            <w:sz w:val="22"/>
          </w:rPr>
          <w:t>170.3(4)</w:t>
        </w:r>
      </w:hyperlink>
      <w:r>
        <w:rPr>
          <w:rFonts w:ascii="Times New Roman" w:hAnsi="Times New Roman"/>
          <w:b w:val="false"/>
          <w:i w:val="false"/>
          <w:color w:val="000000"/>
          <w:sz w:val="22"/>
        </w:rPr>
        <w:t xml:space="preserve"> based on the following schedule in descending order of prioritization.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with an income at or below 100 percent of the federal poverty level whose members, for at least 32 hours per week in the aggregate, are employed or are participating at a satisfactory level in an approved training program or educational program, and parents with a family income at or below 100 percent of the federal poverty level who are under the age of 21 and are participating in an educational program leading to a high school diploma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Parents under the age of 21 with a family income at or below 100 percent of the federal poverty guidelines who are participating, at a satisfactory level, in an approved training program or in an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with an income of more than 100 percent but not more than 160 percent of the federal poverty guidelines whose members, for at least 32 hours per week in the aggregate, are employed or are participating at a satisfactory level in an approved training program or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with an income at or below 200 percent of the federal poverty guidelines whose members are employed at least 28 hours per week with a special-needs child as a member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priority groups. </w:t>
      </w:r>
      <w:r>
        <w:rPr>
          <w:rFonts w:ascii="Times New Roman" w:hAnsi="Times New Roman"/>
          <w:b w:val="false"/>
          <w:i w:val="false"/>
          <w:color w:val="000000"/>
          <w:sz w:val="22"/>
        </w:rPr>
        <w:t>The following are eligible for child care assistance notwithstanding waiting lists for child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with protective child care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Recipients of the family investment program or those whose earned income was taken into account in determining the needs of family investment program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that receive a state adoption subsidy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that are experiencing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Licensed foster parents who need child care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Effect on need for service. </w:t>
      </w:r>
      <w:r>
        <w:rPr>
          <w:rFonts w:ascii="Times New Roman" w:hAnsi="Times New Roman"/>
          <w:b w:val="false"/>
          <w:i w:val="false"/>
          <w:color w:val="000000"/>
          <w:sz w:val="22"/>
        </w:rPr>
        <w:t xml:space="preserve">Families approved under a priority group are not required to meet the requirements in paragraph </w:t>
      </w:r>
      <w:hyperlink r:id="rId26">
        <w:r>
          <w:rPr>
            <w:rStyle w:val="Hyperlink"/>
            <w:rFonts w:ascii="Times New Roman" w:hAnsi="Times New Roman"/>
            <w:b w:val="false"/>
            <w:i w:val="false"/>
            <w:color w:val="000000"/>
            <w:sz w:val="22"/>
          </w:rPr>
          <w:t>170.2(2)</w:t>
        </w:r>
        <w:r>
          <w:rPr>
            <w:rFonts w:ascii="Times New Roman" w:hAnsi="Times New Roman"/>
            <w:b w:val="false"/>
            <w:i/>
            <w:color w:val="000000"/>
            <w:sz w:val="22"/>
          </w:rPr>
          <w:t>“b”</w:t>
        </w:r>
      </w:hyperlink>
      <w:r>
        <w:rPr>
          <w:rFonts w:ascii="Times New Roman" w:hAnsi="Times New Roman"/>
          <w:b w:val="false"/>
          <w:i w:val="false"/>
          <w:color w:val="000000"/>
          <w:sz w:val="22"/>
        </w:rPr>
        <w:t xml:space="preserve"> except at review or redetermination.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170.2(4)</w:t>
      </w:r>
      <w:r>
        <w:rPr>
          <w:rFonts w:ascii="Times New Roman" w:hAnsi="Times New Roman"/>
          <w:b w:val="false"/>
          <w:i w:val="false"/>
          <w:color w:val="000000"/>
          <w:sz w:val="22"/>
        </w:rPr>
        <w:t> </w:t>
      </w:r>
      <w:r>
        <w:rPr>
          <w:rFonts w:ascii="Times New Roman" w:hAnsi="Times New Roman"/>
          <w:b w:val="false"/>
          <w:i/>
          <w:color w:val="000000"/>
          <w:sz w:val="22"/>
        </w:rPr>
        <w:t xml:space="preserve">Reporting changes. </w:t>
      </w:r>
      <w:r>
        <w:rPr>
          <w:rFonts w:ascii="Times New Roman" w:hAnsi="Times New Roman"/>
          <w:b w:val="false"/>
          <w:i w:val="false"/>
          <w:color w:val="000000"/>
          <w:sz w:val="22"/>
        </w:rPr>
        <w:t>The parent may report any changes in circumstances affecting these eligibility requirements and changes in the choice of provider to the department worker or the PROMISE JOBS worker within ten calendar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change is timely reported within ten calendar days, the effective date of the change shall be the date when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change is not timely reported within ten calendar days, the effective date of the change shall be the date when the change is reported to the department office or the PROMISE JOBS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Exceptions. The following changes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in income when the family’s gross monthly income exceeds 85 percent of Iowa’s median family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lapse in a parent’s need for service found in paragraph 170.2(2)</w:t>
      </w:r>
      <w:r>
        <w:rPr>
          <w:rFonts w:ascii="Times New Roman" w:hAnsi="Times New Roman"/>
          <w:b w:val="false"/>
          <w:i/>
          <w:color w:val="000000"/>
          <w:sz w:val="22"/>
        </w:rPr>
        <w:t>“b”</w:t>
      </w:r>
      <w:r>
        <w:rPr>
          <w:rFonts w:ascii="Times New Roman" w:hAnsi="Times New Roman"/>
          <w:b w:val="false"/>
          <w:i w:val="false"/>
          <w:color w:val="000000"/>
          <w:sz w:val="22"/>
        </w:rPr>
        <w:t xml:space="preserve"> that is not temporary.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residency outside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eligible child remains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worker shall disregard any reported changes that are not required to be reported unless the change would cause the authorized units to be increased or the family copay amount to be decreased.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1525C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1606C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3791C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4470C</w:t>
      </w:r>
      <w:r>
        <w:rPr>
          <w:rFonts w:ascii="Times New Roman" w:hAnsi="Times New Roman"/>
          <w:b w:val="false"/>
          <w:i w:val="false"/>
          <w:color w:val="000000"/>
          <w:sz w:val="16"/>
        </w:rPr>
        <w:t>, IAB 6/5/19, effective 7/1/19</w:t>
      </w:r>
      <w:r>
        <w:rPr>
          <w:rFonts w:ascii="Times New Roman" w:hAnsi="Times New Roman"/>
          <w:b w:val="false"/>
          <w:i w:val="false"/>
          <w:color w:val="000000"/>
          <w:sz w:val="16"/>
        </w:rPr>
        <w:t xml:space="preserve">; </w:t>
      </w:r>
      <w:r>
        <w:rPr>
          <w:rFonts w:ascii="Times New Roman" w:hAnsi="Times New Roman"/>
          <w:b/>
          <w:i w:val="false"/>
          <w:color w:val="000000"/>
          <w:sz w:val="16"/>
        </w:rPr>
        <w:t>ARC 5035C</w:t>
      </w:r>
      <w:r>
        <w:rPr>
          <w:rFonts w:ascii="Times New Roman" w:hAnsi="Times New Roman"/>
          <w:b w:val="false"/>
          <w:i w:val="false"/>
          <w:color w:val="000000"/>
          <w:sz w:val="16"/>
        </w:rPr>
        <w:t>, IAB 5/6/20,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6309C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6565C</w:t>
      </w:r>
      <w:r>
        <w:rPr>
          <w:rFonts w:ascii="Times New Roman" w:hAnsi="Times New Roman"/>
          <w:b w:val="false"/>
          <w:i w:val="false"/>
          <w:color w:val="000000"/>
          <w:sz w:val="16"/>
        </w:rPr>
        <w:t>, IAB 10/5/22, effective 10/1/22</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8741C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441—170.3</w:t>
      </w:r>
      <w:r>
        <w:rPr>
          <w:rFonts w:ascii="Times New Roman" w:hAnsi="Times New Roman"/>
          <w:b/>
          <w:i w:val="false"/>
          <w:color w:val="000000"/>
          <w:sz w:val="22"/>
        </w:rPr>
        <w:t xml:space="preserve">(237A,239B) </w:t>
      </w:r>
      <w:r>
        <w:rPr>
          <w:rFonts w:ascii="Times New Roman" w:hAnsi="Times New Roman"/>
          <w:b/>
          <w:i w:val="false"/>
          <w:color w:val="000000"/>
          <w:sz w:val="22"/>
        </w:rPr>
        <w:t xml:space="preserve">Application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child care assistance may be made at any local office of the department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470-3624 or 470-3624(S),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470-4377 or 470-4377(S), when returned after the end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may be filed by the applicant, by the applicant’s authorized representative or, when the applicant is incompetent or incapacitated, by a responsible person acting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application is the date a signed application form containing a legible name and address is received in the department office. An electronic or paper application delivered to a closed office is considered to be received on the first day following the day the office was last open that is not a weekend or state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who are determined eligible for child care assistance shall be approved for a certification period of at least 12 months. Families who fail to complete the review and redetermination process as described at subrule </w:t>
      </w:r>
      <w:hyperlink r:id="rId27">
        <w:r>
          <w:rPr>
            <w:rStyle w:val="Hyperlink"/>
            <w:rFonts w:ascii="Times New Roman" w:hAnsi="Times New Roman"/>
            <w:b w:val="false"/>
            <w:i w:val="false"/>
            <w:color w:val="000000"/>
            <w:sz w:val="22"/>
          </w:rPr>
          <w:t>170.3(5)</w:t>
        </w:r>
      </w:hyperlink>
      <w:r>
        <w:rPr>
          <w:rFonts w:ascii="Times New Roman" w:hAnsi="Times New Roman"/>
          <w:b w:val="false"/>
          <w:i w:val="false"/>
          <w:color w:val="000000"/>
          <w:sz w:val="22"/>
        </w:rPr>
        <w:t xml:space="preserve"> will lose eligibility at the end of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170.3(2)</w:t>
      </w:r>
      <w:r>
        <w:rPr>
          <w:rFonts w:ascii="Times New Roman" w:hAnsi="Times New Roman"/>
          <w:b w:val="false"/>
          <w:i w:val="false"/>
          <w:color w:val="000000"/>
          <w:sz w:val="22"/>
        </w:rPr>
        <w:t> </w:t>
      </w:r>
      <w:r>
        <w:rPr>
          <w:rFonts w:ascii="Times New Roman" w:hAnsi="Times New Roman"/>
          <w:b w:val="false"/>
          <w:i/>
          <w:color w:val="000000"/>
          <w:sz w:val="22"/>
        </w:rPr>
        <w:t xml:space="preserve">Exceptions to application requirement. </w:t>
      </w:r>
      <w:r>
        <w:rPr>
          <w:rFonts w:ascii="Times New Roman" w:hAnsi="Times New Roman"/>
          <w:b w:val="false"/>
          <w:i w:val="false"/>
          <w:color w:val="000000"/>
          <w:sz w:val="22"/>
        </w:rPr>
        <w:t>An application is not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is participating in activities approved under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of the family investment program or those whose earned income was taken into account in determining the needs of family investment program recipients. The date of application is the date the family requests child care assistance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with protective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care services provided under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Families whose application has been denied for failure to provide requested information who have provided all necessary information to determine eligibility within 14 days of the denial of the application, or by the next working day if the fourteenth day falls on a weekend or state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Licensed foster parents who need child care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processing. </w:t>
      </w:r>
      <w:r>
        <w:rPr>
          <w:rFonts w:ascii="Times New Roman" w:hAnsi="Times New Roman"/>
          <w:b w:val="false"/>
          <w:i w:val="false"/>
          <w:color w:val="000000"/>
          <w:sz w:val="22"/>
        </w:rPr>
        <w:t>The department shall approve or deny an application as soon as possible, but no later than 30 days following the date the application was received. This time limit shall apply except in unusual circumstances, such as when the department and the applicant have made every reasonable effort to secure necessary information that has not been supplied by the date the time limit expires, or because of emergency situations, such as fire, flood or other conditions beyond the administrative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worker or PROMISE JOBS worker shall determine the number of units of service authorized for each eligible family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 the family through the notice of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family’s provider through the notice of decision or through Form 470-4444.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written notice of decision to the applicant by the next working day following a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assistance shall be the date of application or the date the need for service began, whichever is later. When an application is not required as described under subrule </w:t>
      </w:r>
      <w:hyperlink r:id="rId28">
        <w:r>
          <w:rPr>
            <w:rStyle w:val="Hyperlink"/>
            <w:rFonts w:ascii="Times New Roman" w:hAnsi="Times New Roman"/>
            <w:b w:val="false"/>
            <w:i w:val="false"/>
            <w:color w:val="000000"/>
            <w:sz w:val="22"/>
          </w:rPr>
          <w:t>170.3(2)</w:t>
        </w:r>
      </w:hyperlink>
      <w:r>
        <w:rPr>
          <w:rFonts w:ascii="Times New Roman" w:hAnsi="Times New Roman"/>
          <w:b w:val="false"/>
          <w:i w:val="false"/>
          <w:color w:val="000000"/>
          <w:sz w:val="22"/>
        </w:rPr>
        <w:t>, the effective date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person participating in activities under the PROMISE JOBS program, the effective date of child care assistance shall be the date the person becomes a PROMISE JOBS participant as defined in rule </w:t>
      </w:r>
      <w:hyperlink r:id="rId29">
        <w:r>
          <w:rPr>
            <w:rStyle w:val="Hyperlink"/>
            <w:rFonts w:ascii="Times New Roman" w:hAnsi="Times New Roman"/>
            <w:b w:val="false"/>
            <w:i w:val="false"/>
            <w:color w:val="000000"/>
            <w:sz w:val="22"/>
          </w:rPr>
          <w:t>441—93.1</w:t>
        </w:r>
      </w:hyperlink>
      <w:r>
        <w:rPr>
          <w:rFonts w:ascii="Times New Roman" w:hAnsi="Times New Roman"/>
          <w:b w:val="false"/>
          <w:i w:val="false"/>
          <w:color w:val="000000"/>
          <w:sz w:val="22"/>
        </w:rPr>
        <w:t xml:space="preserve">(239B) or the date the person has a need for child care assistance to participate in an approved PROMISE JOBS activity as described in </w:t>
      </w:r>
      <w:hyperlink r:id="rId30">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family receiving family investment program benefits, the effective date of child care assistance shall be no earlier than the effective date of family investment program benefits, or 30 days before the date of application for child care assistance, or the date the need for service began, whichever is the latest.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family with protective service needs, the effective date of assistance shall be the date the family signs Form 470-0615 or 470-0615(S).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child care services are provided under a court order, the effective date of assistance shall be the date specified in the court order or the date of the court order if no date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family whose application was denied for failure to provide requested information but who provides all information necessary to determine eligibility, including verification of all changes in circumstances, within 14 days of the denial, the effective date of assistance shall be the date that all information required to establish eligibility is provided. If the fourteenth calendar day falls on a weekend or state holiday, the family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170.3(4)</w:t>
      </w:r>
      <w:r>
        <w:rPr>
          <w:rFonts w:ascii="Times New Roman" w:hAnsi="Times New Roman"/>
          <w:b w:val="false"/>
          <w:i w:val="false"/>
          <w:color w:val="000000"/>
          <w:sz w:val="22"/>
        </w:rPr>
        <w:t> </w:t>
      </w:r>
      <w:r>
        <w:rPr>
          <w:rFonts w:ascii="Times New Roman" w:hAnsi="Times New Roman"/>
          <w:b w:val="false"/>
          <w:i/>
          <w:color w:val="000000"/>
          <w:sz w:val="22"/>
        </w:rPr>
        <w:t xml:space="preserve">Waiting lists for child care services. </w:t>
      </w:r>
      <w:r>
        <w:rPr>
          <w:rFonts w:ascii="Times New Roman" w:hAnsi="Times New Roman"/>
          <w:b w:val="false"/>
          <w:i w:val="false"/>
          <w:color w:val="000000"/>
          <w:sz w:val="22"/>
        </w:rPr>
        <w:t xml:space="preserve">When the department has determined that there may be insufficient funding, applications for child care assistance shall be taken only for the priority groups for which funds have been determined available according to subrule </w:t>
      </w:r>
      <w:hyperlink r:id="rId31">
        <w:r>
          <w:rPr>
            <w:rStyle w:val="Hyperlink"/>
            <w:rFonts w:ascii="Times New Roman" w:hAnsi="Times New Roman"/>
            <w:b w:val="false"/>
            <w:i w:val="false"/>
            <w:color w:val="000000"/>
            <w:sz w:val="22"/>
          </w:rPr>
          <w:t>170.2(3)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log of families applying for child care services that meet the requirements within the priority groups for which funds may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family shall be entered on the logs according to their eligibility priority group and in sequence of their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more than one application is received on the same day for the same priority group, families shall be entered on the log based on the day of the month of the birthday of the oldest eligible child. The lowest numbered day shall be first on the log. Any subsequent tie shall be decided by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there is adequate funding, the department shall notify the public regarding the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170.3(5)</w:t>
      </w:r>
      <w:r>
        <w:rPr>
          <w:rFonts w:ascii="Times New Roman" w:hAnsi="Times New Roman"/>
          <w:b w:val="false"/>
          <w:i w:val="false"/>
          <w:color w:val="000000"/>
          <w:sz w:val="22"/>
        </w:rPr>
        <w:t> </w:t>
      </w:r>
      <w:r>
        <w:rPr>
          <w:rFonts w:ascii="Times New Roman" w:hAnsi="Times New Roman"/>
          <w:b w:val="false"/>
          <w:i/>
          <w:color w:val="000000"/>
          <w:sz w:val="22"/>
        </w:rPr>
        <w:t xml:space="preserve">Review and redetermination. </w:t>
      </w:r>
      <w:r>
        <w:rPr>
          <w:rFonts w:ascii="Times New Roman" w:hAnsi="Times New Roman"/>
          <w:b w:val="false"/>
          <w:i w:val="false"/>
          <w:color w:val="000000"/>
          <w:sz w:val="22"/>
        </w:rPr>
        <w:t xml:space="preserve">The department shall redetermine a family’s financial and general eligibility for child care assistance at least every 12 months. </w:t>
      </w:r>
      <w:r>
        <w:rPr>
          <w:rFonts w:ascii="Times New Roman" w:hAnsi="Times New Roman"/>
          <w:b w:val="false"/>
          <w:i w:val="false"/>
          <w:color w:val="000000"/>
          <w:sz w:val="22"/>
        </w:rPr>
        <w:t xml:space="preserve">EXCEPTION: </w:t>
      </w:r>
      <w:r>
        <w:rPr>
          <w:rFonts w:ascii="Times New Roman" w:hAnsi="Times New Roman"/>
          <w:b w:val="false"/>
          <w:i w:val="false"/>
          <w:color w:val="000000"/>
          <w:sz w:val="22"/>
        </w:rPr>
        <w:t>The department shall redetermine only general eligibility for recipients of the family investment program (FIP), persons whose earned income was taken into account in determining the needs of FIP recipients, and parents who have children with protective needs, because these families are deemed financially eligible so long as the FIP eligibility or need for protective services continues.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FIP or protective services eligibility ends, the department shall redetermine financial and general eligibility for child care assistance according to the requirements in rule </w:t>
      </w:r>
      <w:hyperlink r:id="rId32">
        <w:r>
          <w:rPr>
            <w:rStyle w:val="Hyperlink"/>
            <w:rFonts w:ascii="Times New Roman" w:hAnsi="Times New Roman"/>
            <w:b w:val="false"/>
            <w:i w:val="false"/>
            <w:color w:val="000000"/>
            <w:sz w:val="22"/>
          </w:rPr>
          <w:t>441—170.2</w:t>
        </w:r>
      </w:hyperlink>
      <w:r>
        <w:rPr>
          <w:rFonts w:ascii="Times New Roman" w:hAnsi="Times New Roman"/>
          <w:b w:val="false"/>
          <w:i w:val="false"/>
          <w:color w:val="000000"/>
          <w:sz w:val="22"/>
        </w:rPr>
        <w:t>(237A,239B). The redetermination of eligibility shall be completed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use information gathered on Form 470-4377 or 470-4377(S) to redetermine eligibility, except when the family is not required to complete a review form as provided in paragraph </w:t>
      </w:r>
      <w:hyperlink r:id="rId33">
        <w:r>
          <w:rPr>
            <w:rStyle w:val="Hyperlink"/>
            <w:rFonts w:ascii="Times New Roman" w:hAnsi="Times New Roman"/>
            <w:b w:val="false"/>
            <w:i w:val="false"/>
            <w:color w:val="000000"/>
            <w:sz w:val="22"/>
          </w:rPr>
          <w:t>170.3(5)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notice of expiration for the child care assistance certification period on Form 470-4377 or 470-4377(S).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family does not return a complete review form to the department by the end of the certification period, the family must reapply for benefits, except as provided in paragraph </w:t>
      </w:r>
      <w:hyperlink r:id="rId34">
        <w:r>
          <w:rPr>
            <w:rStyle w:val="Hyperlink"/>
            <w:rFonts w:ascii="Times New Roman" w:hAnsi="Times New Roman"/>
            <w:b w:val="false"/>
            <w:i w:val="false"/>
            <w:color w:val="000000"/>
            <w:sz w:val="22"/>
          </w:rPr>
          <w:t>170.3(6)</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complete review form is Form 470-4377 or 470-4377(S) with all items answered that is signed and dated by the applicant and is accompanied by all verification needed to determine continued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Families who have children with protective needs, licensed foster parents who need child care for foster children, and families who are receiving child care assistance because the parent is participating in activities under the PROMISE JOBS program are not required to complete Form 470-4377 or 470-4377(S).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notice of expiration for the child care assistance certification period on the notice of decision when the department approves the family’s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gather information needed to redetermine general eligibility. If the department needs information from the family, the department will send a written request to the family. If the family does not return the requested information by the due date, the family must reapply for child care assistance, except as provided in paragraph </w:t>
      </w:r>
      <w:hyperlink r:id="rId35">
        <w:r>
          <w:rPr>
            <w:rStyle w:val="Hyperlink"/>
            <w:rFonts w:ascii="Times New Roman" w:hAnsi="Times New Roman"/>
            <w:b w:val="false"/>
            <w:i w:val="false"/>
            <w:color w:val="000000"/>
            <w:sz w:val="22"/>
          </w:rPr>
          <w:t>170.3(6)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Families who apply for child care assistance because the parent is seeking employment are not subject to review requirements because eligibility is limited to 90 consecutive calendar days. This waiver of the review requirement applies only when the parent who is seeking employment does not have another need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170.3(6)</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shall be reinstated without a new application when all necessary information is provided before the effective date of cancellation and eligibility can be reestablished. If there is a change in circumstances, the change must be verified before the case will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shall be reinstated without a new application when the case was canceled for failure to provide requested information but all information necessary to determine eligibility, including verification of all changes in circumstances, is provided within 14 calendar days of the effective date of cancellation and eligibility can be reestablished. If the fourteenth calendar day falls on a weekend or state holiday, the family shall have until the next business day to provide the information. The effective date of child care assistance shall be the date that all information required to establish eligibility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441—170.4</w:t>
      </w:r>
      <w:r>
        <w:rPr>
          <w:rFonts w:ascii="Times New Roman" w:hAnsi="Times New Roman"/>
          <w:b/>
          <w:i w:val="false"/>
          <w:color w:val="000000"/>
          <w:sz w:val="22"/>
        </w:rPr>
        <w:t xml:space="preserve">(237A) </w:t>
      </w:r>
      <w:r>
        <w:rPr>
          <w:rFonts w:ascii="Times New Roman" w:hAnsi="Times New Roman"/>
          <w:b/>
          <w:i w:val="false"/>
          <w:color w:val="000000"/>
          <w:sz w:val="22"/>
        </w:rPr>
        <w:t xml:space="preserve">Elements of service provision.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170.4(1)</w:t>
      </w:r>
      <w:r>
        <w:rPr>
          <w:rFonts w:ascii="Times New Roman" w:hAnsi="Times New Roman"/>
          <w:b w:val="false"/>
          <w:i w:val="false"/>
          <w:color w:val="000000"/>
          <w:sz w:val="22"/>
        </w:rPr>
        <w:t> </w:t>
      </w:r>
      <w:r>
        <w:rPr>
          <w:rFonts w:ascii="Times New Roman" w:hAnsi="Times New Roman"/>
          <w:b w:val="false"/>
          <w:i/>
          <w:color w:val="000000"/>
          <w:sz w:val="22"/>
        </w:rPr>
        <w:t xml:space="preserve">Case file. </w:t>
      </w:r>
      <w:r>
        <w:rPr>
          <w:rFonts w:ascii="Times New Roman" w:hAnsi="Times New Roman"/>
          <w:b w:val="false"/>
          <w:i w:val="false"/>
          <w:color w:val="000000"/>
          <w:sz w:val="22"/>
        </w:rPr>
        <w:t xml:space="preserve">The child welfare case file shall document the eligibility for service under </w:t>
      </w:r>
      <w:hyperlink r:id="rId36">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for services received shall be charged to clients according to the schedules in this subrule, except that fees shall not be charged to clients receiving services without regard to income. For families whose eligibility is established in subparagraphs </w:t>
      </w:r>
      <w:hyperlink r:id="rId37">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38">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 fee is a per-unit charge that is applied to the child in the family who receives the largest number of units of service. The fee shall be charged for only one child in the family, regardless of how many children receive assistance. For families whose eligibility is established in </w:t>
      </w:r>
      <w:hyperlink r:id="rId39">
        <w:r>
          <w:rPr>
            <w:rStyle w:val="Hyperlink"/>
            <w:rFonts w:ascii="Times New Roman" w:hAnsi="Times New Roman"/>
            <w:b w:val="false"/>
            <w:i w:val="false"/>
            <w:color w:val="000000"/>
            <w:sz w:val="22"/>
          </w:rPr>
          <w:t>subparagraph 170.2(1)</w:t>
        </w:r>
      </w:hyperlink>
      <w:r>
        <w:rPr>
          <w:rFonts w:ascii="Times New Roman" w:hAnsi="Times New Roman"/>
          <w:b w:val="false"/>
          <w:i/>
          <w:color w:val="000000"/>
          <w:sz w:val="22"/>
        </w:rPr>
        <w:t>“a”</w:t>
      </w:r>
      <w:r>
        <w:rPr>
          <w:rFonts w:ascii="Times New Roman" w:hAnsi="Times New Roman"/>
          <w:b w:val="false"/>
          <w:i w:val="false"/>
          <w:color w:val="000000"/>
          <w:sz w:val="22"/>
        </w:rPr>
        <w:t>(3), the fee is a percentage of the cost of child care for each child in the family who receives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Sliding 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families whose eligibility is established in subparagraphs </w:t>
      </w:r>
      <w:hyperlink r:id="rId40">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hyperlink r:id="rId41">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(2), the child care assistance (CCA) and CCA plus programs fee schedule, dated July 2024, found on the department’s website is effective for eligibility determinations made on or after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families whose eligibility is established in subparagraph </w:t>
      </w:r>
      <w:hyperlink r:id="rId42">
        <w:r>
          <w:rPr>
            <w:rStyle w:val="Hyperlink"/>
            <w:rFonts w:ascii="Times New Roman" w:hAnsi="Times New Roman"/>
            <w:b w:val="false"/>
            <w:i w:val="false"/>
            <w:color w:val="000000"/>
            <w:sz w:val="22"/>
          </w:rPr>
          <w:t>170.2(1)</w:t>
        </w:r>
      </w:hyperlink>
      <w:r>
        <w:rPr>
          <w:rFonts w:ascii="Times New Roman" w:hAnsi="Times New Roman"/>
          <w:b w:val="false"/>
          <w:i/>
          <w:color w:val="000000"/>
          <w:sz w:val="22"/>
        </w:rPr>
        <w:t>“a”</w:t>
      </w:r>
      <w:r>
        <w:rPr>
          <w:rFonts w:ascii="Times New Roman" w:hAnsi="Times New Roman"/>
          <w:b w:val="false"/>
          <w:i w:val="false"/>
          <w:color w:val="000000"/>
          <w:sz w:val="22"/>
        </w:rPr>
        <w:t>(3), the CCA exit program fee schedule, dated July 2024, found on the department’s website is effective for eligibility determinations made on or after July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Collection. </w:t>
      </w:r>
      <w:r>
        <w:rPr>
          <w:rFonts w:ascii="Times New Roman" w:hAnsi="Times New Roman"/>
          <w:b w:val="false"/>
          <w:i w:val="false"/>
          <w:color w:val="000000"/>
          <w:sz w:val="22"/>
        </w:rPr>
        <w:t>The provider shall collect fees from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records of fees collected. These records shall be available for audit by the department or its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client does not pay the fee, the provider shall demonstrate that a reasonable effort has been made to collect the fee. “Reasonable effort to collect” means an original billing and two follow-up notices of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Inability of client to pay fees. </w:t>
      </w:r>
      <w:r>
        <w:rPr>
          <w:rFonts w:ascii="Times New Roman" w:hAnsi="Times New Roman"/>
          <w:b w:val="false"/>
          <w:i w:val="false"/>
          <w:color w:val="000000"/>
          <w:sz w:val="22"/>
        </w:rPr>
        <w:t>Child care assistance may be continued without a fee, or with a reduced fee, when a client reports in writing the inability to pay the assessed fee due to the existence of one or more of the conditions set forth below. Before reducing the fee, the worker shall assess the case to verify that the condition exists and to determine whether a reduced fee can be charged. The reduced fee shall then be charged until the condition justifying the reduced fee no longer exists. Reduced fees may be justified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Extensive medical bills for which there is no payment through insurance coverage or other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Shelter costs that exceed 30 percent of the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costs not including the cost of a telephone that exceed 15 percent of the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expenses for food resulting from diets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170.4(3)</w:t>
      </w:r>
      <w:r>
        <w:rPr>
          <w:rFonts w:ascii="Times New Roman" w:hAnsi="Times New Roman"/>
          <w:b w:val="false"/>
          <w:i w:val="false"/>
          <w:color w:val="000000"/>
          <w:sz w:val="22"/>
        </w:rPr>
        <w:t> </w:t>
      </w:r>
      <w:r>
        <w:rPr>
          <w:rFonts w:ascii="Times New Roman" w:hAnsi="Times New Roman"/>
          <w:b w:val="false"/>
          <w:i/>
          <w:color w:val="000000"/>
          <w:sz w:val="22"/>
        </w:rPr>
        <w:t xml:space="preserve">Method of provision. </w:t>
      </w:r>
      <w:r>
        <w:rPr>
          <w:rFonts w:ascii="Times New Roman" w:hAnsi="Times New Roman"/>
          <w:b w:val="false"/>
          <w:i w:val="false"/>
          <w:color w:val="000000"/>
          <w:sz w:val="22"/>
        </w:rPr>
        <w:t xml:space="preserve">Parents shall be allowed to exercise their choice for in-home care, except when the parent meets the need for service under subparagraph </w:t>
      </w:r>
      <w:hyperlink r:id="rId43">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long as the conditions in paragraph </w:t>
      </w:r>
      <w:hyperlink r:id="rId44">
        <w:r>
          <w:rPr>
            <w:rStyle w:val="Hyperlink"/>
            <w:rFonts w:ascii="Times New Roman" w:hAnsi="Times New Roman"/>
            <w:b w:val="false"/>
            <w:i w:val="false"/>
            <w:color w:val="000000"/>
            <w:sz w:val="22"/>
          </w:rPr>
          <w:t>170.4(7)</w:t>
        </w:r>
        <w:r>
          <w:rPr>
            <w:rFonts w:ascii="Times New Roman" w:hAnsi="Times New Roman"/>
            <w:b w:val="false"/>
            <w:i/>
            <w:color w:val="000000"/>
            <w:sz w:val="22"/>
          </w:rPr>
          <w:t>“d”</w:t>
        </w:r>
      </w:hyperlink>
      <w:r>
        <w:rPr>
          <w:rFonts w:ascii="Times New Roman" w:hAnsi="Times New Roman"/>
          <w:b w:val="false"/>
          <w:i w:val="false"/>
          <w:color w:val="000000"/>
          <w:sz w:val="22"/>
        </w:rPr>
        <w:t xml:space="preserve"> are met. When the child meets the need for service under </w:t>
      </w:r>
      <w:hyperlink r:id="rId45">
        <w:r>
          <w:rPr>
            <w:rStyle w:val="Hyperlink"/>
            <w:rFonts w:ascii="Times New Roman" w:hAnsi="Times New Roman"/>
            <w:b w:val="false"/>
            <w:i w:val="false"/>
            <w:color w:val="000000"/>
            <w:sz w:val="22"/>
          </w:rPr>
          <w:t>170.2(2)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parents shall be allowed to exercise their choice of licensed, registered, or nonregistered child care provider except when the department service worker determines it is not in the best interest of the child. The provider must meet one of the applicable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Licensed child care center. </w:t>
      </w:r>
      <w:r>
        <w:rPr>
          <w:rFonts w:ascii="Times New Roman" w:hAnsi="Times New Roman"/>
          <w:b w:val="false"/>
          <w:i w:val="false"/>
          <w:color w:val="000000"/>
          <w:sz w:val="22"/>
        </w:rPr>
        <w:t xml:space="preserve">A child care center shall be licensed by the department to meet the requirements set forth in </w:t>
      </w:r>
      <w:hyperlink r:id="rId46">
        <w:r>
          <w:rPr>
            <w:rStyle w:val="Hyperlink"/>
            <w:rFonts w:ascii="Times New Roman" w:hAnsi="Times New Roman"/>
            <w:b w:val="false"/>
            <w:i w:val="false"/>
            <w:color w:val="000000"/>
            <w:sz w:val="22"/>
          </w:rPr>
          <w:t>441—Chapter 109</w:t>
        </w:r>
      </w:hyperlink>
      <w:r>
        <w:rPr>
          <w:rFonts w:ascii="Times New Roman" w:hAnsi="Times New Roman"/>
          <w:b w:val="false"/>
          <w:i w:val="false"/>
          <w:color w:val="000000"/>
          <w:sz w:val="22"/>
        </w:rPr>
        <w:t xml:space="preserve"> and shall have a current Form 470-0618.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Registered child development home. </w:t>
      </w:r>
      <w:r>
        <w:rPr>
          <w:rFonts w:ascii="Times New Roman" w:hAnsi="Times New Roman"/>
          <w:b w:val="false"/>
          <w:i w:val="false"/>
          <w:color w:val="000000"/>
          <w:sz w:val="22"/>
        </w:rPr>
        <w:t xml:space="preserve">A child development home shall meet the requirements for registration set forth in </w:t>
      </w:r>
      <w:hyperlink r:id="rId47">
        <w:r>
          <w:rPr>
            <w:rStyle w:val="Hyperlink"/>
            <w:rFonts w:ascii="Times New Roman" w:hAnsi="Times New Roman"/>
            <w:b w:val="false"/>
            <w:i w:val="false"/>
            <w:color w:val="000000"/>
            <w:sz w:val="22"/>
          </w:rPr>
          <w:t>441—Chapter 110</w:t>
        </w:r>
      </w:hyperlink>
      <w:r>
        <w:rPr>
          <w:rFonts w:ascii="Times New Roman" w:hAnsi="Times New Roman"/>
          <w:b w:val="false"/>
          <w:i w:val="false"/>
          <w:color w:val="000000"/>
          <w:sz w:val="22"/>
        </w:rPr>
        <w:t xml:space="preserve"> and shall have a current Form 470-3498.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Out-of-state provider. </w:t>
      </w:r>
      <w:r>
        <w:rPr>
          <w:rFonts w:ascii="Times New Roman" w:hAnsi="Times New Roman"/>
          <w:b w:val="false"/>
          <w:i w:val="false"/>
          <w:color w:val="000000"/>
          <w:sz w:val="22"/>
        </w:rPr>
        <w:t>A child care provider who is not located in Iowa may be selected by the parent so long as the out-of-state child care provider verifies that the provider meets all of the requirements to be a provider in the state in which the provider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Relative care.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4/1/02.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In-home care. </w:t>
      </w:r>
      <w:r>
        <w:rPr>
          <w:rFonts w:ascii="Times New Roman" w:hAnsi="Times New Roman"/>
          <w:b w:val="false"/>
          <w:i w:val="false"/>
          <w:color w:val="000000"/>
          <w:sz w:val="22"/>
        </w:rPr>
        <w:t>The adult provider selected by the parent to provide care in the child’s own home shall be sent Form 470-2890 or 470-2890(S). The provider shall complete and sign Form 470-2890 or 470-2890(S) and return the form to the department before payment may be made. An identifiable application is an application that contains a legible name and address and that has been signed. Signature on the form certifies the provider’s understanding of and compliance with the conditions and requirements for nonregistered in-home care providers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The provider shall complete: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to provider agreement and every five years thereafter, minimum health and safety trainings, approved by the department, in the following content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Handling and storage of hazardous materials and appropriate disposal of biocontaminants.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Minimum health and safety training may be required prior to the five-year period if content has significant changes which warrant that the training be renewed.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Prior to provider agreement, two hours of Iowa’s training for mandatory reporting of child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to provider agreement, first-aid and cardiopulmonary resuscitation (CPR) training meeting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shall be provided by a nationally recognized training organization, such as the American Red Cross, American Heart Association, National Safety Council, American Safety and Health Institute or MEDIC First Aid or by an equivalent trainer using curriculum approved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First-aid training shall include certification in infant and child first aid.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provider shall maintain a valid certificate indicating the date of first-aid training and the expiration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provider shall maintain a valid certificate indicating the date of CPR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Limits on the number of children for whom care may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Unlimited parental access to the child or children during hours when care is provided, unless prohibited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Conditions that warrant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Nonregistered family child care home. </w:t>
      </w:r>
      <w:r>
        <w:rPr>
          <w:rFonts w:ascii="Times New Roman" w:hAnsi="Times New Roman"/>
          <w:b w:val="false"/>
          <w:i w:val="false"/>
          <w:color w:val="000000"/>
          <w:sz w:val="22"/>
        </w:rPr>
        <w:t xml:space="preserve">A nonregistered child care home shall meet the requirements set forth in </w:t>
      </w:r>
      <w:hyperlink r:id="rId48">
        <w:r>
          <w:rPr>
            <w:rStyle w:val="Hyperlink"/>
            <w:rFonts w:ascii="Times New Roman" w:hAnsi="Times New Roman"/>
            <w:b w:val="false"/>
            <w:i w:val="false"/>
            <w:color w:val="000000"/>
            <w:sz w:val="22"/>
          </w:rPr>
          <w:t>441—Chapter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for in-home care. </w:t>
      </w:r>
      <w:r>
        <w:rPr>
          <w:rFonts w:ascii="Times New Roman" w:hAnsi="Times New Roman"/>
          <w:b w:val="false"/>
          <w:i w:val="false"/>
          <w:color w:val="000000"/>
          <w:sz w:val="22"/>
        </w:rPr>
        <w:t>If a person who provides in-home care applies to receive public funds as reimbursement for providing child care for eligible clients, the provider shall complete and submit the required authorization form(s) to the department. The department shall use the form(s) to conduct Iowa criminal history record and child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these checks is to determine whether the person has committed a transgression that prohibits or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conduct criminal and child abuse record checks in other states and may conduct dependent adult abuse, sex offender registry, and other public or civil offense record checks in Iowa or in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checks shall be repeated every two years and when the department or provider becomes aware of any new transgressions.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record checks for in-home care. </w:t>
      </w:r>
      <w:r>
        <w:rPr>
          <w:rFonts w:ascii="Times New Roman" w:hAnsi="Times New Roman"/>
          <w:b w:val="false"/>
          <w:i w:val="false"/>
          <w:color w:val="000000"/>
          <w:sz w:val="22"/>
        </w:rPr>
        <w:t>If a person who provides in-home care applies to receive public funds as reimbursement for providing child care for eligible clients, the provider shall complete Form DCI-45 and Form FD-258.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subject to this check shall submit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subject to this check is responsible for any costs associated with obtaining the fingerprints and for submitting the prints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Fingerprints may be taken (rolled) by law enforcement agencies or by agencies or companies that specialize in taking fingerprints.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national criminal history record check shall be repeated for each person subject to the check every four years and when the department or provider becomes aware of any new transgressions committed by that person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rely on the results of previously conducted national criminal history record checks when a person subject to a record check in one child development home or child care home submits a request for involvement with child care in another child care home, so long as the person’s national criminal history record check is within the allowable four-year time frame. All initial or new applications shall require a new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Transgressions. </w:t>
      </w:r>
      <w:r>
        <w:rPr>
          <w:rFonts w:ascii="Times New Roman" w:hAnsi="Times New Roman"/>
          <w:b w:val="false"/>
          <w:i w:val="false"/>
          <w:color w:val="000000"/>
          <w:sz w:val="22"/>
        </w:rPr>
        <w:t xml:space="preserve">If any person subject to the record checks in paragraph </w:t>
      </w:r>
      <w:hyperlink r:id="rId49">
        <w:r>
          <w:rPr>
            <w:rStyle w:val="Hyperlink"/>
            <w:rFonts w:ascii="Times New Roman" w:hAnsi="Times New Roman"/>
            <w:b w:val="false"/>
            <w:i w:val="false"/>
            <w:color w:val="000000"/>
            <w:sz w:val="22"/>
          </w:rPr>
          <w:t>170.4(3)</w:t>
        </w:r>
        <w:r>
          <w:rPr>
            <w:rFonts w:ascii="Times New Roman" w:hAnsi="Times New Roman"/>
            <w:b w:val="false"/>
            <w:i/>
            <w:color w:val="000000"/>
            <w:sz w:val="22"/>
          </w:rPr>
          <w:t>“g”</w:t>
        </w:r>
      </w:hyperlink>
      <w:r>
        <w:rPr>
          <w:rFonts w:ascii="Times New Roman" w:hAnsi="Times New Roman"/>
          <w:b w:val="false"/>
          <w:i w:val="false"/>
          <w:color w:val="000000"/>
          <w:sz w:val="22"/>
        </w:rPr>
        <w:t xml:space="preserve"> or </w:t>
      </w:r>
      <w:hyperlink r:id="rId50">
        <w:r>
          <w:rPr>
            <w:rStyle w:val="Hyperlink"/>
            <w:rFonts w:ascii="Times New Roman" w:hAnsi="Times New Roman"/>
            <w:b w:val="false"/>
            <w:i w:val="false"/>
            <w:color w:val="000000"/>
            <w:sz w:val="22"/>
          </w:rPr>
          <w:t>170.4(3)</w:t>
        </w:r>
        <w:r>
          <w:rPr>
            <w:rFonts w:ascii="Times New Roman" w:hAnsi="Times New Roman"/>
            <w:b w:val="false"/>
            <w:i/>
            <w:color w:val="000000"/>
            <w:sz w:val="22"/>
          </w:rPr>
          <w:t>“h”</w:t>
        </w:r>
      </w:hyperlink>
      <w:r>
        <w:rPr>
          <w:rFonts w:ascii="Times New Roman" w:hAnsi="Times New Roman"/>
          <w:b w:val="false"/>
          <w:i w:val="false"/>
          <w:color w:val="000000"/>
          <w:sz w:val="22"/>
        </w:rPr>
        <w:t xml:space="preserve"> has a record of founded child abuse, dependent adult abuse, a criminal conviction, or placement on the sex offender registry, the department shall follow the process for prohibition or evaluation defined at 441—subrule 120.11(3).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any person would be prohibited from registration, employment, or residence, the person shall not provide child care and is not eligible to receive public funds to do so. The department’s designee shall notify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continues to provide child care in violation of this rule is subject to penalty and injunction under Iowa Code chapter </w:t>
      </w:r>
      <w:hyperlink r:id="rId51">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170.4(4)</w:t>
      </w:r>
      <w:r>
        <w:rPr>
          <w:rFonts w:ascii="Times New Roman" w:hAnsi="Times New Roman"/>
          <w:b w:val="false"/>
          <w:i w:val="false"/>
          <w:color w:val="000000"/>
          <w:sz w:val="22"/>
        </w:rPr>
        <w:t> </w:t>
      </w:r>
      <w:r>
        <w:rPr>
          <w:rFonts w:ascii="Times New Roman" w:hAnsi="Times New Roman"/>
          <w:b w:val="false"/>
          <w:i/>
          <w:color w:val="000000"/>
          <w:sz w:val="22"/>
        </w:rPr>
        <w:t xml:space="preserve">Components of service program. </w:t>
      </w:r>
      <w:r>
        <w:rPr>
          <w:rFonts w:ascii="Times New Roman" w:hAnsi="Times New Roman"/>
          <w:b w:val="false"/>
          <w:i w:val="false"/>
          <w:color w:val="000000"/>
          <w:sz w:val="22"/>
        </w:rPr>
        <w:t>Every child eligible for child care services shall receive supervision, food services, and program and activities, and may receive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170.4(5)</w:t>
      </w:r>
      <w:r>
        <w:rPr>
          <w:rFonts w:ascii="Times New Roman" w:hAnsi="Times New Roman"/>
          <w:b w:val="false"/>
          <w:i w:val="false"/>
          <w:color w:val="000000"/>
          <w:sz w:val="22"/>
        </w:rPr>
        <w:t> </w:t>
      </w:r>
      <w:r>
        <w:rPr>
          <w:rFonts w:ascii="Times New Roman" w:hAnsi="Times New Roman"/>
          <w:b w:val="false"/>
          <w:i/>
          <w:color w:val="000000"/>
          <w:sz w:val="22"/>
        </w:rPr>
        <w:t xml:space="preserve">Levels of service according to age.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9/30/92</w:t>
      </w:r>
      <w:r>
        <w:rPr>
          <w:rFonts w:ascii="Times New Roman" w:hAnsi="Times New Roman"/>
          <w:b w:val="false"/>
          <w:i w:val="false"/>
          <w:color w:val="000000"/>
          <w:sz w:val="22"/>
        </w:rPr>
        <w:t>, effective 10/1/92.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170.4(6)</w:t>
      </w:r>
      <w:r>
        <w:rPr>
          <w:rFonts w:ascii="Times New Roman" w:hAnsi="Times New Roman"/>
          <w:b w:val="false"/>
          <w:i w:val="false"/>
          <w:color w:val="000000"/>
          <w:sz w:val="22"/>
        </w:rPr>
        <w:t> </w:t>
      </w:r>
      <w:r>
        <w:rPr>
          <w:rFonts w:ascii="Times New Roman" w:hAnsi="Times New Roman"/>
          <w:b w:val="false"/>
          <w:i/>
          <w:color w:val="000000"/>
          <w:sz w:val="22"/>
        </w:rPr>
        <w:t xml:space="preserve">Provider’s individual program plan.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2/10/10</w:t>
      </w:r>
      <w:r>
        <w:rPr>
          <w:rFonts w:ascii="Times New Roman" w:hAnsi="Times New Roman"/>
          <w:b w:val="false"/>
          <w:i w:val="false"/>
          <w:color w:val="000000"/>
          <w:sz w:val="22"/>
        </w:rPr>
        <w:t>, effective 3/1/10.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170.4(7)</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department shall make payment for child care provided to an eligible family when the family reports their choice of provider to the department and the provider has a completed Form 470-3871 or 470-3871(S) on file with the department. Both the child care provider and the department worker shall sign this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Rate of payment. </w:t>
      </w:r>
      <w:r>
        <w:rPr>
          <w:rFonts w:ascii="Times New Roman" w:hAnsi="Times New Roman"/>
          <w:b w:val="false"/>
          <w:i w:val="false"/>
          <w:color w:val="000000"/>
          <w:sz w:val="22"/>
        </w:rPr>
        <w:t xml:space="preserve">The rate of payment for child care services, except for in-home care, which shall be paid in accordance with paragraph </w:t>
      </w:r>
      <w:hyperlink r:id="rId52">
        <w:r>
          <w:rPr>
            <w:rStyle w:val="Hyperlink"/>
            <w:rFonts w:ascii="Times New Roman" w:hAnsi="Times New Roman"/>
            <w:b w:val="false"/>
            <w:i w:val="false"/>
            <w:color w:val="000000"/>
            <w:sz w:val="22"/>
          </w:rPr>
          <w:t>170.4(7)</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the actual rate charged by the provider for a private individual, not to exceed the maximum rates shown below. When a provider does not have a half-day rate in effect, a rate is established by dividing the provider’s declared full-day rate by 2. When a provider has neither a half-day nor a full-day rate, a rate is established by multiplying the provider’s declared hourly rate by </w:t>
      </w:r>
      <w:hyperlink r:id="rId53">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Payment shall not exceed the rate applicable to the provider type and age group as shown in the tables below. To be eligible for the special-needs rate, the provider must submit documentation to the child’s service worker that the child needing services has been assessed by a qualified professional and meets the definition for “child with special needs,” and a description of the child’s special needs, including but not limited to adaptive equipment, more careful supervision, or special staff training.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3"/>
        <w:gridCol w:w="1293"/>
        <w:gridCol w:w="1177"/>
        <w:gridCol w:w="1293"/>
        <w:gridCol w:w="1293"/>
        <w:gridCol w:w="1293"/>
        <w:gridCol w:w="1293"/>
        <w:gridCol w:w="1293"/>
        <w:gridCol w:w="1292"/>
      </w:tblGrid>
      <w:tr>
        <w:trPr>
          <w:trHeight w:val="42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Table 1</w:t>
            </w:r>
            <w:r>
              <w:br/>
            </w:r>
            <w:r>
              <w:rPr>
                <w:rFonts w:ascii="Times New Roman" w:hAnsi="Times New Roman"/>
                <w:b/>
                <w:i w:val="false"/>
                <w:color w:val="000000"/>
                <w:sz w:val="16"/>
              </w:rPr>
              <w:t>Half-Day Rate Ceilings for (Licensed Center)</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5</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$25.66</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$25.66</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$25.66</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$51.94</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$19.50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$20.25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$21.50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$22.97</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$30.43</w:t>
            </w:r>
          </w:p>
        </w:tc>
      </w:tr>
      <w:tr>
        <w:trPr>
          <w:trHeight w:val="285" w:hRule="atLeast"/>
        </w:trPr>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$16.50</w:t>
            </w:r>
          </w:p>
        </w:tc>
        <w:tc>
          <w:tcPr>
            <w:tcW w:w="11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$17.10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$18.50</w:t>
            </w:r>
          </w:p>
        </w:tc>
        <w:tc>
          <w:tcPr>
            <w:tcW w:w="12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3"/>
        <w:gridCol w:w="1293"/>
        <w:gridCol w:w="1177"/>
        <w:gridCol w:w="1293"/>
        <w:gridCol w:w="1293"/>
        <w:gridCol w:w="1293"/>
        <w:gridCol w:w="1293"/>
        <w:gridCol w:w="1293"/>
        <w:gridCol w:w="1292"/>
      </w:tblGrid>
      <w:tr>
        <w:trPr>
          <w:trHeight w:val="42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Table 2</w:t>
            </w:r>
            <w:r>
              <w:br/>
            </w:r>
            <w:r>
              <w:rPr>
                <w:rFonts w:ascii="Times New Roman" w:hAnsi="Times New Roman"/>
                <w:b/>
                <w:i w:val="false"/>
                <w:color w:val="000000"/>
                <w:sz w:val="16"/>
              </w:rPr>
              <w:t>Half-Day Rate Ceilings for (Child Development Home A/B)</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5</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$26.25</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$23.25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$25.50</w:t>
            </w:r>
          </w:p>
        </w:tc>
      </w:tr>
      <w:tr>
        <w:trPr>
          <w:trHeight w:val="225" w:hRule="atLeast"/>
        </w:trPr>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1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$15.25</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$22.88</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$23.25</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$15.75</w:t>
            </w:r>
          </w:p>
        </w:tc>
        <w:tc>
          <w:tcPr>
            <w:tcW w:w="12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$23.63</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93"/>
        <w:gridCol w:w="1293"/>
        <w:gridCol w:w="1177"/>
        <w:gridCol w:w="1293"/>
        <w:gridCol w:w="1293"/>
        <w:gridCol w:w="1293"/>
        <w:gridCol w:w="1293"/>
        <w:gridCol w:w="1293"/>
        <w:gridCol w:w="1292"/>
      </w:tblGrid>
      <w:tr>
        <w:trPr>
          <w:trHeight w:val="420" w:hRule="atLeast"/>
        </w:trPr>
        <w:tc>
          <w:tcPr>
            <w:tcW w:w="0" w:type="auto"/>
            <w:gridSpan w:val="9"/>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Table 3</w:t>
            </w:r>
            <w:r>
              <w:br/>
            </w:r>
            <w:r>
              <w:rPr>
                <w:rFonts w:ascii="Times New Roman" w:hAnsi="Times New Roman"/>
                <w:b/>
                <w:i w:val="false"/>
                <w:color w:val="000000"/>
                <w:sz w:val="16"/>
              </w:rPr>
              <w:t>Half-Day Rate Ceilings for (Child Development Home C)</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 Quality Rating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1 or 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3 or 4</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Quality Rating 5</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40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$18.00</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$18.50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$27.75</w:t>
            </w:r>
          </w:p>
        </w:tc>
      </w:tr>
      <w:tr>
        <w:trPr>
          <w:trHeight w:val="225" w:hRule="atLeast"/>
        </w:trPr>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$16.28</w:t>
            </w:r>
          </w:p>
        </w:tc>
        <w:tc>
          <w:tcPr>
            <w:tcW w:w="11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$24.42</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$25.50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$26.25</w:t>
            </w:r>
          </w:p>
        </w:tc>
        <w:tc>
          <w:tcPr>
            <w:tcW w:w="12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$18.50</w:t>
            </w:r>
          </w:p>
        </w:tc>
        <w:tc>
          <w:tcPr>
            <w:tcW w:w="129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$27.75</w:t>
            </w:r>
          </w:p>
        </w:tc>
      </w:tr>
      <w:tr>
        <w:trPr>
          <w:trHeight w:val="225" w:hRule="atLeast"/>
        </w:trPr>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11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$15.75</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$23.63</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$16.44</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$24.66</w:t>
            </w:r>
          </w:p>
        </w:tc>
        <w:tc>
          <w:tcPr>
            <w:tcW w:w="12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$17.50</w:t>
            </w:r>
          </w:p>
        </w:tc>
        <w:tc>
          <w:tcPr>
            <w:tcW w:w="12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$26.25</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42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Table 4</w:t>
            </w:r>
            <w:r>
              <w:br/>
            </w:r>
            <w:r>
              <w:rPr>
                <w:rFonts w:ascii="Times New Roman" w:hAnsi="Times New Roman"/>
                <w:b/>
                <w:i w:val="false"/>
                <w:color w:val="000000"/>
                <w:sz w:val="16"/>
              </w:rPr>
              <w:t>Half-Day Rate Ceilings for Child Care Home (Not Registered)</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Age Group</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Special Needs</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Infant and Toddler</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$16.63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$24.95</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Preschool</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r>
      <w:tr>
        <w:trPr>
          <w:trHeight w:val="22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School Age</w:t>
            </w:r>
          </w:p>
        </w:tc>
        <w:tc>
          <w:tcPr>
            <w:tcW w:w="373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$15.00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$22.50</w:t>
            </w:r>
          </w:p>
        </w:tc>
      </w:tr>
    </w:tbl>
    <w:p>
      <w:pPr>
        <w:spacing w:before="0" w:after="0"/>
        <w:ind w:left="120"/>
        <w:jc w:val="both"/>
      </w:pPr>
      <w:r>
        <w:rPr>
          <w:rFonts w:ascii="Times New Roman" w:hAnsi="Times New Roman"/>
          <w:b w:val="false"/>
          <w:i w:val="false"/>
          <w:color w:val="000000"/>
          <w:sz w:val="22"/>
        </w:rPr>
        <w:t>The following definitions apply in the use of the rate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center” shall mean those providers as defined in </w:t>
      </w:r>
      <w:hyperlink r:id="rId54">
        <w:r>
          <w:rPr>
            <w:rStyle w:val="Hyperlink"/>
            <w:rFonts w:ascii="Times New Roman" w:hAnsi="Times New Roman"/>
            <w:b w:val="false"/>
            <w:i w:val="false"/>
            <w:color w:val="000000"/>
            <w:sz w:val="22"/>
          </w:rPr>
          <w:t>170.4(3)</w:t>
        </w:r>
        <w:r>
          <w:rPr>
            <w:rFonts w:ascii="Times New Roman" w:hAnsi="Times New Roman"/>
            <w:b w:val="false"/>
            <w:i/>
            <w:color w:val="000000"/>
            <w:sz w:val="22"/>
          </w:rPr>
          <w:t>“a.”</w:t>
        </w:r>
      </w:hyperlink>
      <w:r>
        <w:rPr>
          <w:rFonts w:ascii="Times New Roman" w:hAnsi="Times New Roman"/>
          <w:b w:val="false"/>
          <w:i w:val="false"/>
          <w:color w:val="000000"/>
          <w:sz w:val="22"/>
        </w:rPr>
        <w:t xml:space="preserve"> “Child development home A/B” or “child development home C” shall mean those providers as defined in </w:t>
      </w:r>
      <w:hyperlink r:id="rId55">
        <w:r>
          <w:rPr>
            <w:rStyle w:val="Hyperlink"/>
            <w:rFonts w:ascii="Times New Roman" w:hAnsi="Times New Roman"/>
            <w:b w:val="false"/>
            <w:i w:val="false"/>
            <w:color w:val="000000"/>
            <w:sz w:val="22"/>
          </w:rPr>
          <w:t>170.4(3)</w:t>
        </w:r>
        <w:r>
          <w:rPr>
            <w:rFonts w:ascii="Times New Roman" w:hAnsi="Times New Roman"/>
            <w:b w:val="false"/>
            <w:i/>
            <w:color w:val="000000"/>
            <w:sz w:val="22"/>
          </w:rPr>
          <w:t>“b.”</w:t>
        </w:r>
      </w:hyperlink>
      <w:r>
        <w:rPr>
          <w:rFonts w:ascii="Times New Roman" w:hAnsi="Times New Roman"/>
          <w:b w:val="false"/>
          <w:i w:val="false"/>
          <w:color w:val="000000"/>
          <w:sz w:val="22"/>
        </w:rPr>
        <w:t xml:space="preserve"> “Child care home (not registered)” shall mean those providers as defined in </w:t>
      </w:r>
      <w:hyperlink r:id="rId56">
        <w:r>
          <w:rPr>
            <w:rStyle w:val="Hyperlink"/>
            <w:rFonts w:ascii="Times New Roman" w:hAnsi="Times New Roman"/>
            <w:b w:val="false"/>
            <w:i w:val="false"/>
            <w:color w:val="000000"/>
            <w:sz w:val="22"/>
          </w:rPr>
          <w:t>441—Chapter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age group, “infant and toddler” shall mean age two weeks to three years; “preschool” shall mean three years to school age; “school age” shall mean a child in attendance in full-day or half-day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Quality Rating” shall mean a provider who does not have a current quality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who is rated under the quality rating system shall be paid according to the corresponding quality rating payment level in the tables above only during the period the rating is valid as defined in </w:t>
      </w:r>
      <w:hyperlink r:id="rId57">
        <w:r>
          <w:rPr>
            <w:rStyle w:val="Hyperlink"/>
            <w:rFonts w:ascii="Times New Roman" w:hAnsi="Times New Roman"/>
            <w:b w:val="false"/>
            <w:i w:val="false"/>
            <w:color w:val="000000"/>
            <w:sz w:val="22"/>
          </w:rPr>
          <w:t>441—Chapter 118</w:t>
        </w:r>
      </w:hyperlink>
      <w:r>
        <w:rPr>
          <w:rFonts w:ascii="Times New Roman" w:hAnsi="Times New Roman"/>
          <w:b w:val="false"/>
          <w:i w:val="false"/>
          <w:color w:val="000000"/>
          <w:sz w:val="22"/>
        </w:rPr>
        <w:t>. If the provider’s quality rating expires, the provider shall be paid according to the “No Quality Rating” payment level. Programs whose quality rating has expired shall not receive backdated payments once a new rating is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provider rated “Quality Rating 1” through “Quality Rating 4,” if the rating period expires before a new quality level is approved, the provider will be paid according to the “No Quality Rating” payment level until the new quality level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provider rated “Quality Rating 5,” if a renewal application is received before the current rating period expires, the provider will continue to be paid according to the “Quality Rating 5” payment level until a decision is made on the provider’s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Rating 1 or 2” shall mean a provider who has achieved a rating of Level 1 or Level 2 under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“Quality Rating 3 or 4” shall mean a provider who has achieved a rating of Level 3 or Level 4 under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“Quality Rating 5” shall mean a provider who has achieved a rating of Level 5 under the quality rating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for days of absence. </w:t>
      </w:r>
      <w:r>
        <w:rPr>
          <w:rFonts w:ascii="Times New Roman" w:hAnsi="Times New Roman"/>
          <w:b w:val="false"/>
          <w:i w:val="false"/>
          <w:color w:val="000000"/>
          <w:sz w:val="22"/>
        </w:rPr>
        <w:t xml:space="preserve">Payment may be made to a child care provider defined in subrule </w:t>
      </w:r>
      <w:hyperlink r:id="rId58">
        <w:r>
          <w:rPr>
            <w:rStyle w:val="Hyperlink"/>
            <w:rFonts w:ascii="Times New Roman" w:hAnsi="Times New Roman"/>
            <w:b w:val="false"/>
            <w:i w:val="false"/>
            <w:color w:val="000000"/>
            <w:sz w:val="22"/>
          </w:rPr>
          <w:t>170.4(3)</w:t>
        </w:r>
      </w:hyperlink>
      <w:r>
        <w:rPr>
          <w:rFonts w:ascii="Times New Roman" w:hAnsi="Times New Roman"/>
          <w:b w:val="false"/>
          <w:i w:val="false"/>
          <w:color w:val="000000"/>
          <w:sz w:val="22"/>
        </w:rPr>
        <w:t xml:space="preserve"> for an individual child not in attendance at a child care facility not to exceed four days per calendar month providing that the child is regularly scheduled on those days and the provider also charges a private individual for days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multiple children in a family. </w:t>
      </w:r>
      <w:r>
        <w:rPr>
          <w:rFonts w:ascii="Times New Roman" w:hAnsi="Times New Roman"/>
          <w:b w:val="false"/>
          <w:i w:val="false"/>
          <w:color w:val="000000"/>
          <w:sz w:val="22"/>
        </w:rPr>
        <w:t>When a provider reduces the charges for the second and any subsequent children in a family with multiple children whose care is unsubsidized, the rate of payment made by the department for a family with multiple children shall be similarly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for in-home care. </w:t>
      </w:r>
      <w:r>
        <w:rPr>
          <w:rFonts w:ascii="Times New Roman" w:hAnsi="Times New Roman"/>
          <w:b w:val="false"/>
          <w:i w:val="false"/>
          <w:color w:val="000000"/>
          <w:sz w:val="22"/>
        </w:rPr>
        <w:t>Payment may be made for in-home care when there are three or more children in a family who require child care services. The rate of payment for in-home care shall be the minimum wage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payment. </w:t>
      </w:r>
      <w:r>
        <w:rPr>
          <w:rFonts w:ascii="Times New Roman" w:hAnsi="Times New Roman"/>
          <w:b w:val="false"/>
          <w:i w:val="false"/>
          <w:color w:val="000000"/>
          <w:sz w:val="22"/>
        </w:rPr>
        <w:t>Payment shall not be made for therapeutic services that are provided in the care setting and include, but are not limited to, services such as speech, hearing, physical and other therapies, individual or group counseling, therapeutic recreation, and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Review of the calculation of the rate of payment. </w:t>
      </w:r>
      <w:r>
        <w:rPr>
          <w:rFonts w:ascii="Times New Roman" w:hAnsi="Times New Roman"/>
          <w:b w:val="false"/>
          <w:i w:val="false"/>
          <w:color w:val="000000"/>
          <w:sz w:val="22"/>
        </w:rPr>
        <w:t xml:space="preserve">Maximum rate ceilings are not appealable. A provider who is in disagreement with the calculation of the half-day rate as set forth in </w:t>
      </w:r>
      <w:hyperlink r:id="rId59">
        <w:r>
          <w:rPr>
            <w:rStyle w:val="Hyperlink"/>
            <w:rFonts w:ascii="Times New Roman" w:hAnsi="Times New Roman"/>
            <w:b w:val="false"/>
            <w:i w:val="false"/>
            <w:color w:val="000000"/>
            <w:sz w:val="22"/>
          </w:rPr>
          <w:t>170.4(7)</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request a review. The procedure for review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15 calendar days of notification of the rate in question, the provider shall send a written request for review to the service area manager. The request shall identify the specific rate in question and the methodology used to calculate the rate. The service manager shall provide a written response within 15 calendar days of receipt of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dissatisfied with the response, the provider may, within 15 calendar days of the response, request a review by the bureau of child care services chief. The provider shall submit to the bureau chief the original request, the response received, and any additional information desired. The bureau chief shall render a decision in writing within 15 calendar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may appeal the decision to the director of the department or the director’s designee within 15 calendar days of the decision. The director or director’s designee shall issue the final department decision within 15 calendar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w:t>
      </w:r>
      <w:r>
        <w:rPr>
          <w:rFonts w:ascii="Times New Roman" w:hAnsi="Times New Roman"/>
          <w:b w:val="false"/>
          <w:i w:val="false"/>
          <w:color w:val="000000"/>
          <w:sz w:val="22"/>
        </w:rPr>
        <w:t xml:space="preserve">The department shall issue payment when the provider submits correctly completed documentation of attendance and charges. The department shall pay for no more than the number of units of service authorized in the notice of decision issued pursuant to subrule </w:t>
      </w:r>
      <w:hyperlink r:id="rId60">
        <w:r>
          <w:rPr>
            <w:rStyle w:val="Hyperlink"/>
            <w:rFonts w:ascii="Times New Roman" w:hAnsi="Times New Roman"/>
            <w:b w:val="false"/>
            <w:i w:val="false"/>
            <w:color w:val="000000"/>
            <w:sz w:val="22"/>
          </w:rPr>
          <w:t>170.3(3)</w:t>
        </w:r>
      </w:hyperlink>
      <w:r>
        <w:rPr>
          <w:rFonts w:ascii="Times New Roman" w:hAnsi="Times New Roman"/>
          <w:b w:val="false"/>
          <w:i w:val="false"/>
          <w:color w:val="000000"/>
          <w:sz w:val="22"/>
        </w:rPr>
        <w:t>. Providers shall submit a claim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Form 470-4534;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an electronic request for payment submitted through the KinderTrack system. Providers using this method shall print Form 470-4535 to be signed by the provider and the parent. The provider shall keep the signed Form 470-4535 for a period of five years after the billing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7837B</w:t>
      </w:r>
      <w:r>
        <w:rPr>
          <w:rFonts w:ascii="Times New Roman" w:hAnsi="Times New Roman"/>
          <w:b w:val="false"/>
          <w:i w:val="false"/>
          <w:color w:val="000000"/>
          <w:sz w:val="16"/>
        </w:rPr>
        <w:t>, IAB 6/3/09,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9490B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0152C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i w:val="false"/>
          <w:color w:val="000000"/>
          <w:sz w:val="16"/>
        </w:rPr>
        <w:t>ARC 0546C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0715C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0825C</w:t>
      </w:r>
      <w:r>
        <w:rPr>
          <w:rFonts w:ascii="Times New Roman" w:hAnsi="Times New Roman"/>
          <w:b w:val="false"/>
          <w:i w:val="false"/>
          <w:color w:val="000000"/>
          <w:sz w:val="16"/>
        </w:rPr>
        <w:t>, IAB 7/10/13,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0854C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1063C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1446C</w:t>
      </w:r>
      <w:r>
        <w:rPr>
          <w:rFonts w:ascii="Times New Roman" w:hAnsi="Times New Roman"/>
          <w:b w:val="false"/>
          <w:i w:val="false"/>
          <w:color w:val="000000"/>
          <w:sz w:val="16"/>
        </w:rPr>
        <w:t>, IAB 4/30/14,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1978C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2169C</w:t>
      </w:r>
      <w:r>
        <w:rPr>
          <w:rFonts w:ascii="Times New Roman" w:hAnsi="Times New Roman"/>
          <w:b w:val="false"/>
          <w:i w:val="false"/>
          <w:color w:val="000000"/>
          <w:sz w:val="16"/>
        </w:rPr>
        <w:t>, IAB 9/30/15,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2555C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2556C</w:t>
      </w:r>
      <w:r>
        <w:rPr>
          <w:rFonts w:ascii="Times New Roman" w:hAnsi="Times New Roman"/>
          <w:b w:val="false"/>
          <w:i w:val="false"/>
          <w:color w:val="000000"/>
          <w:sz w:val="16"/>
        </w:rPr>
        <w:t>, IAB 6/8/16, effective 7/1/16</w:t>
      </w:r>
      <w:r>
        <w:rPr>
          <w:rFonts w:ascii="Times New Roman" w:hAnsi="Times New Roman"/>
          <w:b w:val="false"/>
          <w:i w:val="false"/>
          <w:color w:val="000000"/>
          <w:sz w:val="16"/>
        </w:rPr>
        <w:t xml:space="preserve">; </w:t>
      </w:r>
      <w:r>
        <w:rPr>
          <w:rFonts w:ascii="Times New Roman" w:hAnsi="Times New Roman"/>
          <w:b/>
          <w:i w:val="false"/>
          <w:color w:val="000000"/>
          <w:sz w:val="16"/>
        </w:rPr>
        <w:t>ARC 2649C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3791C</w:t>
      </w:r>
      <w:r>
        <w:rPr>
          <w:rFonts w:ascii="Times New Roman" w:hAnsi="Times New Roman"/>
          <w:b w:val="false"/>
          <w:i w:val="false"/>
          <w:color w:val="000000"/>
          <w:sz w:val="16"/>
        </w:rPr>
        <w:t>, IAB 5/9/18, effective 7/1/18</w:t>
      </w:r>
      <w:r>
        <w:rPr>
          <w:rFonts w:ascii="Times New Roman" w:hAnsi="Times New Roman"/>
          <w:b w:val="false"/>
          <w:i w:val="false"/>
          <w:color w:val="000000"/>
          <w:sz w:val="16"/>
        </w:rPr>
        <w:t xml:space="preserve">; </w:t>
      </w:r>
      <w:r>
        <w:rPr>
          <w:rFonts w:ascii="Times New Roman" w:hAnsi="Times New Roman"/>
          <w:b/>
          <w:i w:val="false"/>
          <w:color w:val="000000"/>
          <w:sz w:val="16"/>
        </w:rPr>
        <w:t>ARC 4115C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4470C</w:t>
      </w:r>
      <w:r>
        <w:rPr>
          <w:rFonts w:ascii="Times New Roman" w:hAnsi="Times New Roman"/>
          <w:b w:val="false"/>
          <w:i w:val="false"/>
          <w:color w:val="000000"/>
          <w:sz w:val="16"/>
        </w:rPr>
        <w:t>, IAB 6/5/19, effective 7/1/19</w:t>
      </w:r>
      <w:r>
        <w:rPr>
          <w:rFonts w:ascii="Times New Roman" w:hAnsi="Times New Roman"/>
          <w:b w:val="false"/>
          <w:i w:val="false"/>
          <w:color w:val="000000"/>
          <w:sz w:val="16"/>
        </w:rPr>
        <w:t xml:space="preserve">; </w:t>
      </w:r>
      <w:r>
        <w:rPr>
          <w:rFonts w:ascii="Times New Roman" w:hAnsi="Times New Roman"/>
          <w:b/>
          <w:i w:val="false"/>
          <w:color w:val="000000"/>
          <w:sz w:val="16"/>
        </w:rPr>
        <w:t>ARC 5035C</w:t>
      </w:r>
      <w:r>
        <w:rPr>
          <w:rFonts w:ascii="Times New Roman" w:hAnsi="Times New Roman"/>
          <w:b w:val="false"/>
          <w:i w:val="false"/>
          <w:color w:val="000000"/>
          <w:sz w:val="16"/>
        </w:rPr>
        <w:t>, IAB 5/6/20,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5675C</w:t>
      </w:r>
      <w:r>
        <w:rPr>
          <w:rFonts w:ascii="Times New Roman" w:hAnsi="Times New Roman"/>
          <w:b w:val="false"/>
          <w:i w:val="false"/>
          <w:color w:val="000000"/>
          <w:sz w:val="16"/>
        </w:rPr>
        <w:t>, IAB 6/16/21,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5731C</w:t>
      </w:r>
      <w:r>
        <w:rPr>
          <w:rFonts w:ascii="Times New Roman" w:hAnsi="Times New Roman"/>
          <w:b w:val="false"/>
          <w:i w:val="false"/>
          <w:color w:val="000000"/>
          <w:sz w:val="16"/>
        </w:rPr>
        <w:t>, IAB 6/30/21,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5891C</w:t>
      </w:r>
      <w:r>
        <w:rPr>
          <w:rFonts w:ascii="Times New Roman" w:hAnsi="Times New Roman"/>
          <w:b w:val="false"/>
          <w:i w:val="false"/>
          <w:color w:val="000000"/>
          <w:sz w:val="16"/>
        </w:rPr>
        <w:t>, IAB 9/8/21, effective 11/1/21</w:t>
      </w:r>
      <w:r>
        <w:rPr>
          <w:rFonts w:ascii="Times New Roman" w:hAnsi="Times New Roman"/>
          <w:b w:val="false"/>
          <w:i w:val="false"/>
          <w:color w:val="000000"/>
          <w:sz w:val="16"/>
        </w:rPr>
        <w:t xml:space="preserve">; </w:t>
      </w:r>
      <w:r>
        <w:rPr>
          <w:rFonts w:ascii="Times New Roman" w:hAnsi="Times New Roman"/>
          <w:b/>
          <w:i w:val="false"/>
          <w:color w:val="000000"/>
          <w:sz w:val="16"/>
        </w:rPr>
        <w:t>ARC 6309C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8741C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441—170.5</w:t>
      </w:r>
      <w:r>
        <w:rPr>
          <w:rFonts w:ascii="Times New Roman" w:hAnsi="Times New Roman"/>
          <w:b/>
          <w:i w:val="false"/>
          <w:color w:val="000000"/>
          <w:sz w:val="22"/>
        </w:rPr>
        <w:t xml:space="preserve">(237A) </w:t>
      </w:r>
      <w:r>
        <w:rPr>
          <w:rFonts w:ascii="Times New Roman" w:hAnsi="Times New Roman"/>
          <w:b/>
          <w:i w:val="false"/>
          <w:color w:val="000000"/>
          <w:sz w:val="22"/>
        </w:rPr>
        <w:t xml:space="preserve">Adverse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170.5(1)</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The department may refuse to enter into or may revoke Form 470-3871 or 470-3871(S)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finds a hazard to the safety and well-being of a child, and the provider cannot or refuses to correct the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submitted claims for payment for which the provider is not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fails to cooperate with an investigation conducted by the department of inspections and appeals to determine whether information the provider supplied to the department regarding payment for child care services is complete and correct. Once the agreement is revoked for failure to cooperate, the department shall not enter into a new agreement with the provider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does not meet one of the applicable requirements set forth in subrule </w:t>
      </w:r>
      <w:hyperlink r:id="rId61">
        <w:r>
          <w:rPr>
            <w:rStyle w:val="Hyperlink"/>
            <w:rFonts w:ascii="Times New Roman" w:hAnsi="Times New Roman"/>
            <w:b w:val="false"/>
            <w:i w:val="false"/>
            <w:color w:val="000000"/>
            <w:sz w:val="22"/>
          </w:rPr>
          <w:t>170.4(3)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fails to comply with any of the terms and conditions of Form 470-3871 or 470-3871(S).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provider submits attendance documentation for payment and the provider knows or should have known that the documentation is false or inaccurate.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overpayment of CCA funds with a balance of $3,000 or more exists for a provider and that provider fails to enter into a repayment agreement with the department of inspections and appeals (DIA) or does not make payments according to the repayment agreement on file with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is found to have more children in care at one time than allowed for the provider type as found at rule </w:t>
      </w:r>
      <w:hyperlink r:id="rId62">
        <w:r>
          <w:rPr>
            <w:rStyle w:val="Hyperlink"/>
            <w:rFonts w:ascii="Times New Roman" w:hAnsi="Times New Roman"/>
            <w:b w:val="false"/>
            <w:i w:val="false"/>
            <w:color w:val="000000"/>
            <w:sz w:val="22"/>
          </w:rPr>
          <w:t>441—110.6</w:t>
        </w:r>
      </w:hyperlink>
      <w:r>
        <w:rPr>
          <w:rFonts w:ascii="Times New Roman" w:hAnsi="Times New Roman"/>
          <w:b w:val="false"/>
          <w:i w:val="false"/>
          <w:color w:val="000000"/>
          <w:sz w:val="22"/>
        </w:rPr>
        <w:t xml:space="preserve">(237A) and 441—subrules </w:t>
      </w:r>
      <w:hyperlink r:id="rId63">
        <w:r>
          <w:rPr>
            <w:rStyle w:val="Hyperlink"/>
            <w:rFonts w:ascii="Times New Roman" w:hAnsi="Times New Roman"/>
            <w:b w:val="false"/>
            <w:i w:val="false"/>
            <w:color w:val="000000"/>
            <w:sz w:val="22"/>
          </w:rPr>
          <w:t>110.13(1)</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110.14(1)</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110.15(1)</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120.6(1)</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170.4(3)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Child care assistance shall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is not in need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 is not financially eligible;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another resource available to provide the service or a similar service free of charge that allows parents to select from the full range of eligible providers;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is required and the client or representative refuses or fails to sign the application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client refuses or fails to supply information or verification requested or to request assistance and authorize the department to secure the required information or verification from other sources (signing a general authorization for release of information to the department does not meet this responsibility);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fails to cooperate with a quality control review or with an investigation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Child care assistance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no longer meets the eligibility criteria in subrule </w:t>
      </w:r>
      <w:hyperlink r:id="rId68">
        <w:r>
          <w:rPr>
            <w:rStyle w:val="Hyperlink"/>
            <w:rFonts w:ascii="Times New Roman" w:hAnsi="Times New Roman"/>
            <w:b w:val="false"/>
            <w:i w:val="false"/>
            <w:color w:val="000000"/>
            <w:sz w:val="22"/>
          </w:rPr>
          <w:t>170.2(2)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client’s income exceeds the financial guidelines;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client refuses or fails to supply information or verification requested or to request assistance and authorize the department to secure the required information or verification from other sources (signing a general authorization for release of information to the department does not meet this responsibility);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payment or only partial payment of client fees has been received within 30 days following the issuance of the last billing;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Another resource is available to provide the service or a similar service free of charge that allows parents to select from the full range of eligible providers;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client fails to cooperate with a quality control review or with an investigation conducted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170.5(4)</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Authorized units of service may be reduced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Continued provision of service at the current level is not necessary to meet the client’s service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resource is available to provide the same or similar service free of charge that will meet the client’s needs and allow parents to select from the full range of eligible providers;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Funding is not available to continue the service at the current level. When funding is not available, the department may limit on a statewide basis the number of units of child care services for which payment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170.5(5)</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sanction. </w:t>
      </w:r>
      <w:r>
        <w:rPr>
          <w:rFonts w:ascii="Times New Roman" w:hAnsi="Times New Roman"/>
          <w:b w:val="false"/>
          <w:i w:val="false"/>
          <w:color w:val="000000"/>
          <w:sz w:val="22"/>
        </w:rPr>
        <w:t xml:space="preserve">If Form 470-3871 or 470-3871(S) is terminated for any of the reasons in subrule </w:t>
      </w:r>
      <w:hyperlink r:id="rId69">
        <w:r>
          <w:rPr>
            <w:rStyle w:val="Hyperlink"/>
            <w:rFonts w:ascii="Times New Roman" w:hAnsi="Times New Roman"/>
            <w:b w:val="false"/>
            <w:i w:val="false"/>
            <w:color w:val="000000"/>
            <w:sz w:val="22"/>
          </w:rPr>
          <w:t>170.5(1)</w:t>
        </w:r>
      </w:hyperlink>
      <w:r>
        <w:rPr>
          <w:rFonts w:ascii="Times New Roman" w:hAnsi="Times New Roman"/>
          <w:b w:val="false"/>
          <w:i w:val="false"/>
          <w:color w:val="000000"/>
          <w:sz w:val="22"/>
        </w:rPr>
        <w:t>, the agreement shall remain terminated for the time periods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first time the agreement is terminated, the provider may reapply for another agreement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second time the agreement is terminated, the provider may not reapply for another agreement for 12 months from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third or subsequent time the agreement is terminated, the provider may not reapply for another agreement for 36 months from the effective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act on an application for a child care assistance provider agreement submitted by a provider during the sanction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8506B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1893C</w:t>
      </w:r>
      <w:r>
        <w:rPr>
          <w:rFonts w:ascii="Times New Roman" w:hAnsi="Times New Roman"/>
          <w:b w:val="false"/>
          <w:i w:val="false"/>
          <w:color w:val="000000"/>
          <w:sz w:val="16"/>
        </w:rPr>
        <w:t>, IAB 3/4/15,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3092C</w:t>
      </w:r>
      <w:r>
        <w:rPr>
          <w:rFonts w:ascii="Times New Roman" w:hAnsi="Times New Roman"/>
          <w:b w:val="false"/>
          <w:i w:val="false"/>
          <w:color w:val="000000"/>
          <w:sz w:val="16"/>
        </w:rPr>
        <w:t>, IAB 6/7/17,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441—170.6</w:t>
      </w:r>
      <w:r>
        <w:rPr>
          <w:rFonts w:ascii="Times New Roman" w:hAnsi="Times New Roman"/>
          <w:b/>
          <w:i w:val="false"/>
          <w:color w:val="000000"/>
          <w:sz w:val="22"/>
        </w:rPr>
        <w:t xml:space="preserve">(237A)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Notice of adverse action shall be given in accordance with </w:t>
      </w:r>
      <w:hyperlink r:id="rId7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right to appeal shall be given in accordance with </w:t>
      </w:r>
      <w:hyperlink r:id="rId7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441—170.7</w:t>
      </w:r>
      <w:r>
        <w:rPr>
          <w:rFonts w:ascii="Times New Roman" w:hAnsi="Times New Roman"/>
          <w:b/>
          <w:i w:val="false"/>
          <w:color w:val="000000"/>
          <w:sz w:val="22"/>
        </w:rPr>
        <w:t xml:space="preserve">(237A) </w:t>
      </w:r>
      <w:r>
        <w:rPr>
          <w:rFonts w:ascii="Times New Roman" w:hAnsi="Times New Roman"/>
          <w:b/>
          <w:i w:val="false"/>
          <w:color w:val="000000"/>
          <w:sz w:val="22"/>
        </w:rPr>
        <w:t xml:space="preserve">Provider fraud.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170.7(1)</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The department shall consider a child care provider to have committed fraud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in an administrative or judicial proceeding, has found the provider to have obtained by fraudulent means child care assistance payment in an amount in excess of $1,000;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has agreed to entry of a civil judgment or judgment by confession that includes a conclusion of law that the provider has obtained by fraudulent means child care assistance payment in an amount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170.7(2)</w:t>
      </w:r>
      <w:r>
        <w:rPr>
          <w:rFonts w:ascii="Times New Roman" w:hAnsi="Times New Roman"/>
          <w:b w:val="false"/>
          <w:i w:val="false"/>
          <w:color w:val="000000"/>
          <w:sz w:val="22"/>
        </w:rPr>
        <w:t> </w:t>
      </w:r>
      <w:r>
        <w:rPr>
          <w:rFonts w:ascii="Times New Roman" w:hAnsi="Times New Roman"/>
          <w:b w:val="false"/>
          <w:i/>
          <w:color w:val="000000"/>
          <w:sz w:val="22"/>
        </w:rPr>
        <w:t xml:space="preserve">Potential sanctions. </w:t>
      </w:r>
      <w:r>
        <w:rPr>
          <w:rFonts w:ascii="Times New Roman" w:hAnsi="Times New Roman"/>
          <w:b w:val="false"/>
          <w:i w:val="false"/>
          <w:color w:val="000000"/>
          <w:sz w:val="22"/>
        </w:rPr>
        <w:t>Providers found to have committed fraud shall be subject to one or more of the following sanctions,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review of the provider’s claims for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from receipt of child care assistance payment for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170.7(3)</w:t>
      </w:r>
      <w:r>
        <w:rPr>
          <w:rFonts w:ascii="Times New Roman" w:hAnsi="Times New Roman"/>
          <w:b w:val="false"/>
          <w:i w:val="false"/>
          <w:color w:val="000000"/>
          <w:sz w:val="22"/>
        </w:rPr>
        <w:t> </w:t>
      </w:r>
      <w:r>
        <w:rPr>
          <w:rFonts w:ascii="Times New Roman" w:hAnsi="Times New Roman"/>
          <w:b w:val="false"/>
          <w:i/>
          <w:color w:val="000000"/>
          <w:sz w:val="22"/>
        </w:rPr>
        <w:t xml:space="preserve">Factors considered in determining level of sanction. </w:t>
      </w:r>
      <w:r>
        <w:rPr>
          <w:rFonts w:ascii="Times New Roman" w:hAnsi="Times New Roman"/>
          <w:b w:val="false"/>
          <w:i w:val="false"/>
          <w:color w:val="000000"/>
          <w:sz w:val="22"/>
        </w:rPr>
        <w:t>The department shall evaluate the following factors in determining the sanction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History of prior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provider has no prior violations, the sanction imposed shall be 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provider has one prior violation, the sanction imposed shall be a suspension from receipt of child care assistance payment for six months as well as 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provider has more than one prior violation,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Prior imposition of 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provider has not been sanctioned before, the sanction imposed shall be a special review of the provider’s claims for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provider has been sanctioned once before, the sanction imposed shall be a suspension from receipt of child care assistance payment for six months as well as 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provider has been sanctioned more than once before,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Seriousness of the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fraudulently received is less than $5,000, the sanction level shall be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fraudulently received is $5,000 or more,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review of provider claims, the sanction imposed shall be suspension from receipt of child care assistance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amount fraudulently received is $5,000 or more,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suspension from receipt of child care assistance payment,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Extent of the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fraudulent claims involve five invoices or less or five months or less, the sanction level shall be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fraudulent claims involve at least six invoices or six months,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review of provider claims, the sanction imposed shall be suspension from receipt of child care assistance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fraudulent claims involve at least six invoices or six months, and the sanction determined according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is suspension from receipt of child care assistance payment, the sanction imposed shall be ineligibility to receive payment under child care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170.7(4)</w:t>
      </w:r>
      <w:r>
        <w:rPr>
          <w:rFonts w:ascii="Times New Roman" w:hAnsi="Times New Roman"/>
          <w:b w:val="false"/>
          <w:i w:val="false"/>
          <w:color w:val="000000"/>
          <w:sz w:val="22"/>
        </w:rPr>
        <w:t> </w:t>
      </w:r>
      <w:r>
        <w:rPr>
          <w:rFonts w:ascii="Times New Roman" w:hAnsi="Times New Roman"/>
          <w:b w:val="false"/>
          <w:i/>
          <w:color w:val="000000"/>
          <w:sz w:val="22"/>
        </w:rPr>
        <w:t xml:space="preserve">Mitigating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determined according to subrule </w:t>
      </w:r>
      <w:hyperlink r:id="rId72">
        <w:r>
          <w:rPr>
            <w:rStyle w:val="Hyperlink"/>
            <w:rFonts w:ascii="Times New Roman" w:hAnsi="Times New Roman"/>
            <w:b w:val="false"/>
            <w:i w:val="false"/>
            <w:color w:val="000000"/>
            <w:sz w:val="22"/>
          </w:rPr>
          <w:t>170.7(3)</w:t>
        </w:r>
      </w:hyperlink>
      <w:r>
        <w:rPr>
          <w:rFonts w:ascii="Times New Roman" w:hAnsi="Times New Roman"/>
          <w:b w:val="false"/>
          <w:i w:val="false"/>
          <w:color w:val="000000"/>
          <w:sz w:val="22"/>
        </w:rPr>
        <w:t xml:space="preserve"> is suspension from or ineligibility for receipt of child care assistance payment, the department shall determine whether it is appropriate to reduce the level of a sanction for the particular case, considering: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provision of provider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 willingness to obey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determined according to subrule </w:t>
      </w:r>
      <w:hyperlink r:id="rId73">
        <w:r>
          <w:rPr>
            <w:rStyle w:val="Hyperlink"/>
            <w:rFonts w:ascii="Times New Roman" w:hAnsi="Times New Roman"/>
            <w:b w:val="false"/>
            <w:i w:val="false"/>
            <w:color w:val="000000"/>
            <w:sz w:val="22"/>
          </w:rPr>
          <w:t>170.7(3)</w:t>
        </w:r>
      </w:hyperlink>
      <w:r>
        <w:rPr>
          <w:rFonts w:ascii="Times New Roman" w:hAnsi="Times New Roman"/>
          <w:b w:val="false"/>
          <w:i w:val="false"/>
          <w:color w:val="000000"/>
          <w:sz w:val="22"/>
        </w:rPr>
        <w:t xml:space="preserve"> is ineligibility for receipt of child care assistance payment, but consideration of the two factors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indicates that a lesser sanction will resolve the violation, the sanction imposed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from receipt of child care assistance payment for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special review of provider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determined according to subrule </w:t>
      </w:r>
      <w:hyperlink r:id="rId74">
        <w:r>
          <w:rPr>
            <w:rStyle w:val="Hyperlink"/>
            <w:rFonts w:ascii="Times New Roman" w:hAnsi="Times New Roman"/>
            <w:b w:val="false"/>
            <w:i w:val="false"/>
            <w:color w:val="000000"/>
            <w:sz w:val="22"/>
          </w:rPr>
          <w:t>170.7(3)</w:t>
        </w:r>
      </w:hyperlink>
      <w:r>
        <w:rPr>
          <w:rFonts w:ascii="Times New Roman" w:hAnsi="Times New Roman"/>
          <w:b w:val="false"/>
          <w:i w:val="false"/>
          <w:color w:val="000000"/>
          <w:sz w:val="22"/>
        </w:rPr>
        <w:t xml:space="preserve"> is suspension from receipt of child care assistance payment, but consideration of the two factors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indicates that a lesser sanction will resolve the violation, the sanction imposed shall be a special review of provider claims.</w:t>
      </w:r>
    </w:p>
    <w:p>
      <w:pPr>
        <w:spacing w:before="210" w:after="0"/>
        <w:ind w:left="120"/>
        <w:jc w:val="both"/>
      </w:pPr>
      <w:r>
        <w:rPr>
          <w:rFonts w:ascii="Times New Roman" w:hAnsi="Times New Roman"/>
          <w:b/>
          <w:i w:val="false"/>
          <w:color w:val="000000"/>
          <w:sz w:val="22"/>
        </w:rPr>
        <w:t>441—170.8</w:t>
      </w:r>
      <w:r>
        <w:rPr>
          <w:rFonts w:ascii="Times New Roman" w:hAnsi="Times New Roman"/>
          <w:b/>
          <w:i w:val="false"/>
          <w:color w:val="000000"/>
          <w:sz w:val="22"/>
        </w:rPr>
        <w:t xml:space="preserve">(234)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2/6/02</w:t>
      </w:r>
      <w:r>
        <w:rPr>
          <w:rFonts w:ascii="Times New Roman" w:hAnsi="Times New Roman"/>
          <w:b w:val="false"/>
          <w:i w:val="false"/>
          <w:color w:val="000000"/>
          <w:sz w:val="22"/>
        </w:rPr>
        <w:t>, effective 4/1/02.</w:t>
      </w:r>
    </w:p>
    <w:p>
      <w:pPr>
        <w:spacing w:before="0" w:after="0"/>
        <w:ind w:left="120"/>
        <w:jc w:val="both"/>
      </w:pPr>
      <w:r>
        <w:rPr>
          <w:rFonts w:ascii="Times New Roman" w:hAnsi="Times New Roman"/>
          <w:b/>
          <w:i w:val="false"/>
          <w:color w:val="000000"/>
          <w:sz w:val="22"/>
        </w:rPr>
        <w:t>441—170.9</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 care assistance overpayments. </w:t>
      </w:r>
      <w:r>
        <w:rPr>
          <w:rFonts w:ascii="Times New Roman" w:hAnsi="Times New Roman"/>
          <w:b w:val="false"/>
          <w:i w:val="false"/>
          <w:color w:val="000000"/>
          <w:sz w:val="22"/>
        </w:rPr>
        <w:t>All child care assistance overpayments shall be subject to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170.9(1)</w:t>
      </w:r>
      <w:r>
        <w:rPr>
          <w:rFonts w:ascii="Times New Roman" w:hAnsi="Times New Roman"/>
          <w:b w:val="false"/>
          <w:i w:val="false"/>
          <w:color w:val="000000"/>
          <w:sz w:val="22"/>
        </w:rPr>
        <w:t> </w:t>
      </w:r>
      <w:r>
        <w:rPr>
          <w:rFonts w:ascii="Times New Roman" w:hAnsi="Times New Roman"/>
          <w:b w:val="false"/>
          <w:i/>
          <w:color w:val="000000"/>
          <w:sz w:val="22"/>
        </w:rPr>
        <w:t xml:space="preserve">Notification and appeals. </w:t>
      </w:r>
      <w:r>
        <w:rPr>
          <w:rFonts w:ascii="Times New Roman" w:hAnsi="Times New Roman"/>
          <w:b w:val="false"/>
          <w:i w:val="false"/>
          <w:color w:val="000000"/>
          <w:sz w:val="22"/>
        </w:rPr>
        <w:t xml:space="preserve">All clients or providers shall be notified as described at subrule </w:t>
      </w:r>
      <w:hyperlink r:id="rId75">
        <w:r>
          <w:rPr>
            <w:rStyle w:val="Hyperlink"/>
            <w:rFonts w:ascii="Times New Roman" w:hAnsi="Times New Roman"/>
            <w:b w:val="false"/>
            <w:i w:val="false"/>
            <w:color w:val="000000"/>
            <w:sz w:val="22"/>
          </w:rPr>
          <w:t>170.9(6)</w:t>
        </w:r>
      </w:hyperlink>
      <w:r>
        <w:rPr>
          <w:rFonts w:ascii="Times New Roman" w:hAnsi="Times New Roman"/>
          <w:b w:val="false"/>
          <w:i w:val="false"/>
          <w:color w:val="000000"/>
          <w:sz w:val="22"/>
        </w:rPr>
        <w:t xml:space="preserve">, when it is determined that an overpayment exists. Notification shall include the amount, date and reason for the overpayment. The department shall provide additional information regarding the computation of the overpayment upon the client’s or provider’s request. The client or provider may appeal the computation of the overpayment and any action to recover the overpayment in accordance with </w:t>
      </w:r>
      <w:hyperlink r:id="rId76">
        <w:r>
          <w:rPr>
            <w:rStyle w:val="Hyperlink"/>
            <w:rFonts w:ascii="Times New Roman" w:hAnsi="Times New Roman"/>
            <w:b w:val="false"/>
            <w:i w:val="false"/>
            <w:color w:val="000000"/>
            <w:sz w:val="22"/>
          </w:rPr>
          <w:t>441—paragraph 7.4(3)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overpayments. </w:t>
      </w:r>
      <w:r>
        <w:rPr>
          <w:rFonts w:ascii="Times New Roman" w:hAnsi="Times New Roman"/>
          <w:b w:val="false"/>
          <w:i w:val="false"/>
          <w:color w:val="000000"/>
          <w:sz w:val="22"/>
        </w:rPr>
        <w:t>All overpayments due to client, provider, or agency error or due to benefits or payments issued pending an appeal decision shall be recouped. Overpayments shall be computed as if the information had been acted upon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170.9(3)</w:t>
      </w:r>
      <w:r>
        <w:rPr>
          <w:rFonts w:ascii="Times New Roman" w:hAnsi="Times New Roman"/>
          <w:b w:val="false"/>
          <w:i w:val="false"/>
          <w:color w:val="000000"/>
          <w:sz w:val="22"/>
        </w:rPr>
        <w:t> </w:t>
      </w:r>
      <w:r>
        <w:rPr>
          <w:rFonts w:ascii="Times New Roman" w:hAnsi="Times New Roman"/>
          <w:b w:val="false"/>
          <w:i/>
          <w:color w:val="000000"/>
          <w:sz w:val="22"/>
        </w:rPr>
        <w:t xml:space="preserve">Benefits or payments issued pending appeal decision. </w:t>
      </w:r>
      <w:r>
        <w:rPr>
          <w:rFonts w:ascii="Times New Roman" w:hAnsi="Times New Roman"/>
          <w:b w:val="false"/>
          <w:i w:val="false"/>
          <w:color w:val="000000"/>
          <w:sz w:val="22"/>
        </w:rPr>
        <w:t>Recoupment of overpayments resulting from benefits or payments issued pending a decision on an appeal hearing shall not occur until after a final appeal decision is issued affirming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170.9(4)</w:t>
      </w:r>
      <w:r>
        <w:rPr>
          <w:rFonts w:ascii="Times New Roman" w:hAnsi="Times New Roman"/>
          <w:b w:val="false"/>
          <w:i w:val="false"/>
          <w:color w:val="000000"/>
          <w:sz w:val="22"/>
        </w:rPr>
        <w:t> </w:t>
      </w:r>
      <w:r>
        <w:rPr>
          <w:rFonts w:ascii="Times New Roman" w:hAnsi="Times New Roman"/>
          <w:b w:val="false"/>
          <w:i/>
          <w:color w:val="000000"/>
          <w:sz w:val="22"/>
        </w:rPr>
        <w:t xml:space="preserve">Failure to cooperate. </w:t>
      </w:r>
      <w:r>
        <w:rPr>
          <w:rFonts w:ascii="Times New Roman" w:hAnsi="Times New Roman"/>
          <w:b w:val="false"/>
          <w:i w:val="false"/>
          <w:color w:val="000000"/>
          <w:sz w:val="22"/>
        </w:rPr>
        <w:t>Failure by the client to cooperate in the investigation of alleged overpayments shall result in ineligibility for the months in question and the overpayment shall be the total amount of assistance received during those months. Failure by the provider to cooperate in the investigation of alleged overpayments shall result in payments being recouped for the months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170.9(5)</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 </w:t>
      </w:r>
      <w:r>
        <w:rPr>
          <w:rFonts w:ascii="Times New Roman" w:hAnsi="Times New Roman"/>
          <w:b w:val="false"/>
          <w:i w:val="false"/>
          <w:color w:val="000000"/>
          <w:sz w:val="22"/>
        </w:rPr>
        <w:t xml:space="preserve">The client or provider may choose to make a lump-sum payment or make periodic installment payments as agreed to on the notification form issued pursuant to subrule </w:t>
      </w:r>
      <w:hyperlink r:id="rId77">
        <w:r>
          <w:rPr>
            <w:rStyle w:val="Hyperlink"/>
            <w:rFonts w:ascii="Times New Roman" w:hAnsi="Times New Roman"/>
            <w:b w:val="false"/>
            <w:i w:val="false"/>
            <w:color w:val="000000"/>
            <w:sz w:val="22"/>
          </w:rPr>
          <w:t>170.9(6)</w:t>
        </w:r>
      </w:hyperlink>
      <w:r>
        <w:rPr>
          <w:rFonts w:ascii="Times New Roman" w:hAnsi="Times New Roman"/>
          <w:b w:val="false"/>
          <w:i w:val="false"/>
          <w:color w:val="000000"/>
          <w:sz w:val="22"/>
        </w:rPr>
        <w:t xml:space="preserve">. Failure to negotiate an approved payment agreement may result in further collection action as outlined in </w:t>
      </w:r>
      <w:hyperlink r:id="rId78">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recoupment.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an overpayment exists, the department shall refer the case to the department of inspections and appeals for investigation, recoupment, or referral for possible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shall initiate recoupment by notifying the debtor of the overpayment on Form 470-4530.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financial circumstances change, the department of inspections and appeals has the authority to revise the recoupment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due to client error or due to an agency error that affected eligibility shall be made from the parent who received child care assistance at the time the overpayment occurred. When two parents were in the home at the time the overpayment occurred, both parents are equally responsible for repayment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due to provider error or due to an agency error that affected benefits shall be made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Recoupment for overpayments caused by both the provider and client shall be collected from both the provider and client equally, 50 percent from the client and 50 percent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170.9(7)</w:t>
      </w:r>
      <w:r>
        <w:rPr>
          <w:rFonts w:ascii="Times New Roman" w:hAnsi="Times New Roman"/>
          <w:b w:val="false"/>
          <w:i w:val="false"/>
          <w:color w:val="000000"/>
          <w:sz w:val="22"/>
        </w:rPr>
        <w:t> </w:t>
      </w:r>
      <w:r>
        <w:rPr>
          <w:rFonts w:ascii="Times New Roman" w:hAnsi="Times New Roman"/>
          <w:b w:val="false"/>
          <w:i/>
          <w:color w:val="000000"/>
          <w:sz w:val="22"/>
        </w:rPr>
        <w:t xml:space="preserve">Suspension and waiver. </w:t>
      </w:r>
      <w:r>
        <w:rPr>
          <w:rFonts w:ascii="Times New Roman" w:hAnsi="Times New Roman"/>
          <w:b w:val="false"/>
          <w:i w:val="false"/>
          <w:color w:val="000000"/>
          <w:sz w:val="22"/>
        </w:rPr>
        <w:t>Recoupment will be suspended on nonfraud overpayments when the amount of the overpayment is less than $35. Recoupment will be waived on nonfraud overpayments of less than $35 which have been held in suspense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9651B</w:t>
      </w:r>
      <w:r>
        <w:rPr>
          <w:rFonts w:ascii="Times New Roman" w:hAnsi="Times New Roman"/>
          <w:b w:val="false"/>
          <w:i w:val="false"/>
          <w:color w:val="000000"/>
          <w:sz w:val="16"/>
        </w:rPr>
        <w:t>, IAB 8/10/11, effective 10/1/11</w:t>
      </w:r>
      <w:r>
        <w:rPr>
          <w:rFonts w:ascii="Times New Roman" w:hAnsi="Times New Roman"/>
          <w:b w:val="false"/>
          <w:i w:val="false"/>
          <w:color w:val="000000"/>
          <w:sz w:val="16"/>
        </w:rPr>
        <w:t xml:space="preserve">; </w:t>
      </w:r>
      <w:r>
        <w:rPr>
          <w:rFonts w:ascii="Times New Roman" w:hAnsi="Times New Roman"/>
          <w:b/>
          <w:i w:val="false"/>
          <w:color w:val="000000"/>
          <w:sz w:val="16"/>
        </w:rPr>
        <w:t>ARC 1893C</w:t>
      </w:r>
      <w:r>
        <w:rPr>
          <w:rFonts w:ascii="Times New Roman" w:hAnsi="Times New Roman"/>
          <w:b w:val="false"/>
          <w:i w:val="false"/>
          <w:color w:val="000000"/>
          <w:sz w:val="16"/>
        </w:rPr>
        <w:t>, IAB 3/4/15,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6965C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9">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237A.29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7/3/79, Notice 12/27/78—published 7/25/79, effective 9/1/79]</w:t>
      </w:r>
    </w:p>
    <w:p>
      <w:pPr>
        <w:spacing w:before="0" w:after="0"/>
        <w:ind w:left="120"/>
        <w:jc w:val="center"/>
      </w:pPr>
      <w:r>
        <w:rPr>
          <w:rFonts w:ascii="Times New Roman" w:hAnsi="Times New Roman"/>
          <w:b w:val="false"/>
          <w:i w:val="false"/>
          <w:color w:val="000000"/>
          <w:sz w:val="21"/>
        </w:rPr>
        <w:t>[Filed 7/18/80, Notice 3/5/80—published 8/6/80, effective 9/10/80]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1/16/81, Notice 12/10/80—published 2/4/81, effective 4/1/81]</w:t>
      </w:r>
    </w:p>
    <w:p>
      <w:pPr>
        <w:spacing w:before="0" w:after="0"/>
        <w:ind w:left="120"/>
        <w:jc w:val="center"/>
      </w:pPr>
      <w:r>
        <w:rPr>
          <w:rFonts w:ascii="Times New Roman" w:hAnsi="Times New Roman"/>
          <w:b w:val="false"/>
          <w:i w:val="false"/>
          <w:color w:val="000000"/>
          <w:sz w:val="21"/>
        </w:rPr>
        <w:t>[Filed 4/29/82, Notice 3/3/82—published 5/26/82, effective 7/1/82]</w:t>
      </w:r>
    </w:p>
    <w:p>
      <w:pPr>
        <w:spacing w:before="0" w:after="0"/>
        <w:ind w:left="120"/>
        <w:jc w:val="center"/>
      </w:pPr>
      <w:r>
        <w:rPr>
          <w:rFonts w:ascii="Times New Roman" w:hAnsi="Times New Roman"/>
          <w:b w:val="false"/>
          <w:i w:val="false"/>
          <w:color w:val="000000"/>
          <w:sz w:val="21"/>
        </w:rPr>
        <w:t>[Filed 5/21/82, Notice 3/31/82—published 6/9/82, effective 8/1/82]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9/21/88, Notice 8/10/88—published 10/19/88, effective 12/1/88]</w:t>
      </w:r>
    </w:p>
    <w:p>
      <w:pPr>
        <w:spacing w:before="0" w:after="0"/>
        <w:ind w:left="120"/>
        <w:jc w:val="center"/>
      </w:pPr>
      <w:r>
        <w:rPr>
          <w:rFonts w:ascii="Times New Roman" w:hAnsi="Times New Roman"/>
          <w:b w:val="false"/>
          <w:i w:val="false"/>
          <w:color w:val="000000"/>
          <w:sz w:val="21"/>
        </w:rPr>
        <w:t>[Filed emergency 6/8/89 after Notice of 5/3/89—published 6/28/89, effective 7/1/89]</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10/14/93—published 11/10/93, effective 12/1/93]</w:t>
      </w:r>
    </w:p>
    <w:p>
      <w:pPr>
        <w:spacing w:before="0" w:after="0"/>
        <w:ind w:left="120"/>
        <w:jc w:val="center"/>
      </w:pPr>
      <w:r>
        <w:rPr>
          <w:rFonts w:ascii="Times New Roman" w:hAnsi="Times New Roman"/>
          <w:b w:val="false"/>
          <w:i w:val="false"/>
          <w:color w:val="000000"/>
          <w:sz w:val="21"/>
        </w:rPr>
        <w:t>[Filed 12/16/93, Notice 11/10/93—published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emergency 7/10/96—published 7/31/96, effective 8/1/96]</w:t>
      </w:r>
    </w:p>
    <w:p>
      <w:pPr>
        <w:spacing w:before="0" w:after="0"/>
        <w:ind w:left="120"/>
        <w:jc w:val="center"/>
      </w:pPr>
      <w:r>
        <w:rPr>
          <w:rFonts w:ascii="Times New Roman" w:hAnsi="Times New Roman"/>
          <w:b w:val="false"/>
          <w:i w:val="false"/>
          <w:color w:val="000000"/>
          <w:sz w:val="21"/>
        </w:rPr>
        <w:t>[Filed 9/17/96, Notices 7/3/96, 7/31/96—published 10/9/96, effective 12/1/96]</w:t>
      </w:r>
    </w:p>
    <w:p>
      <w:pPr>
        <w:spacing w:before="0" w:after="0"/>
        <w:ind w:left="120"/>
        <w:jc w:val="center"/>
      </w:pPr>
      <w:r>
        <w:rPr>
          <w:rFonts w:ascii="Times New Roman" w:hAnsi="Times New Roman"/>
          <w:b w:val="false"/>
          <w:i w:val="false"/>
          <w:color w:val="000000"/>
          <w:sz w:val="21"/>
        </w:rPr>
        <w:t>[Filed 4/11/97, Notice 2/26/97—published 5/7/97,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8/13/97, Notice 7/2/97—published 9/10/97, effective 11/1/97]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12/16/03, Notice 10/29/03—published 1/7/04, effective 3/1/04]</w:t>
      </w:r>
    </w:p>
    <w:p>
      <w:pPr>
        <w:spacing w:before="0" w:after="0"/>
        <w:ind w:left="120"/>
        <w:jc w:val="center"/>
      </w:pPr>
      <w:r>
        <w:rPr>
          <w:rFonts w:ascii="Times New Roman" w:hAnsi="Times New Roman"/>
          <w:b w:val="false"/>
          <w:i w:val="false"/>
          <w:color w:val="000000"/>
          <w:sz w:val="21"/>
        </w:rPr>
        <w:t>[Filed emergency 5/14/04—published 6/9/04, effective 7/1/04]</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emergency 7/15/05—published 8/3/05, effective 9/1/05]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5/12/06—published 6/7/06, effective 7/1/06]</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[Filed 4/11/07, Notice 2/14/07—published 5/9/07, effective 7/1/07]</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6/13/07, Notice 4/11/07—published 7/4/07, effective 9/1/07]</w:t>
      </w:r>
    </w:p>
    <w:p>
      <w:pPr>
        <w:spacing w:before="0" w:after="0"/>
        <w:ind w:left="120"/>
        <w:jc w:val="center"/>
      </w:pPr>
      <w:r>
        <w:rPr>
          <w:rFonts w:ascii="Times New Roman" w:hAnsi="Times New Roman"/>
          <w:b w:val="false"/>
          <w:i w:val="false"/>
          <w:color w:val="000000"/>
          <w:sz w:val="21"/>
        </w:rPr>
        <w:t>[Filed emergency 9/12/07—published 10/10/07, effective 9/12/07]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3/12/08—published 4/9/08, effective 3/12/08]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Emergency ARC 7837B, IAB 6/3/09, effective 7/1/09]</w:t>
      </w:r>
    </w:p>
    <w:p>
      <w:pPr>
        <w:spacing w:before="0" w:after="0"/>
        <w:ind w:left="120"/>
        <w:jc w:val="center"/>
      </w:pPr>
      <w:r>
        <w:rPr>
          <w:rFonts w:ascii="Times New Roman" w:hAnsi="Times New Roman"/>
          <w:b w:val="false"/>
          <w:i w:val="false"/>
          <w:color w:val="000000"/>
          <w:sz w:val="21"/>
        </w:rPr>
        <w:t>[Filed Emergency After Notice ARC 8506B</w:t>
      </w:r>
      <w:r>
        <w:rPr>
          <w:rFonts w:ascii="Times New Roman" w:hAnsi="Times New Roman"/>
          <w:b w:val="false"/>
          <w:i w:val="false"/>
          <w:color w:val="000000"/>
          <w:sz w:val="21"/>
        </w:rPr>
        <w:t xml:space="preserve"> (Notice ARC 8274B,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Without Notice ARC 9490B, IAB 5/4/11, effective 7/1/11]</w:t>
      </w:r>
    </w:p>
    <w:p>
      <w:pPr>
        <w:spacing w:before="0" w:after="0"/>
        <w:ind w:left="120"/>
        <w:jc w:val="center"/>
      </w:pPr>
      <w:r>
        <w:rPr>
          <w:rFonts w:ascii="Times New Roman" w:hAnsi="Times New Roman"/>
          <w:b w:val="false"/>
          <w:i w:val="false"/>
          <w:color w:val="000000"/>
          <w:sz w:val="21"/>
        </w:rPr>
        <w:t>[Filed ARC 9651B</w:t>
      </w:r>
      <w:r>
        <w:rPr>
          <w:rFonts w:ascii="Times New Roman" w:hAnsi="Times New Roman"/>
          <w:b w:val="false"/>
          <w:i w:val="false"/>
          <w:color w:val="000000"/>
          <w:sz w:val="21"/>
        </w:rPr>
        <w:t xml:space="preserve"> (Notice ARC 9518B, IAB 5/18/11)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Without Notice ARC 0152C, IAB 6/13/12, effective 7/18/12]</w:t>
      </w:r>
    </w:p>
    <w:p>
      <w:pPr>
        <w:spacing w:before="0" w:after="0"/>
        <w:ind w:left="120"/>
        <w:jc w:val="center"/>
      </w:pPr>
      <w:r>
        <w:rPr>
          <w:rFonts w:ascii="Times New Roman" w:hAnsi="Times New Roman"/>
          <w:b w:val="false"/>
          <w:i w:val="false"/>
          <w:color w:val="000000"/>
          <w:sz w:val="21"/>
        </w:rPr>
        <w:t>[Filed Emergency After Notice ARC 0546C</w:t>
      </w:r>
      <w:r>
        <w:rPr>
          <w:rFonts w:ascii="Times New Roman" w:hAnsi="Times New Roman"/>
          <w:b w:val="false"/>
          <w:i w:val="false"/>
          <w:color w:val="000000"/>
          <w:sz w:val="21"/>
        </w:rPr>
        <w:t xml:space="preserve"> (Notice ARC 0368C, IAB 10/3/12)</w:t>
      </w:r>
      <w:r>
        <w:rPr>
          <w:rFonts w:ascii="Times New Roman" w:hAnsi="Times New Roman"/>
          <w:b w:val="false"/>
          <w:i w:val="false"/>
          <w:color w:val="000000"/>
          <w:sz w:val="21"/>
        </w:rPr>
        <w:t>, IAB 1/9/13, effective 1/1/13]</w:t>
      </w:r>
    </w:p>
    <w:p>
      <w:pPr>
        <w:spacing w:before="0" w:after="0"/>
        <w:ind w:left="120"/>
        <w:jc w:val="center"/>
      </w:pPr>
      <w:r>
        <w:rPr>
          <w:rFonts w:ascii="Times New Roman" w:hAnsi="Times New Roman"/>
          <w:b w:val="false"/>
          <w:i w:val="false"/>
          <w:color w:val="000000"/>
          <w:sz w:val="21"/>
        </w:rPr>
        <w:t>[Filed ARC 0715C</w:t>
      </w:r>
      <w:r>
        <w:rPr>
          <w:rFonts w:ascii="Times New Roman" w:hAnsi="Times New Roman"/>
          <w:b w:val="false"/>
          <w:i w:val="false"/>
          <w:color w:val="000000"/>
          <w:sz w:val="21"/>
        </w:rPr>
        <w:t xml:space="preserve"> (Notice ARC 0566C, IAB 1/23/13)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Emergency After Notice ARC 0825C</w:t>
      </w:r>
      <w:r>
        <w:rPr>
          <w:rFonts w:ascii="Times New Roman" w:hAnsi="Times New Roman"/>
          <w:b w:val="false"/>
          <w:i w:val="false"/>
          <w:color w:val="000000"/>
          <w:sz w:val="21"/>
        </w:rPr>
        <w:t xml:space="preserve"> (Notice ARC 0670C, IAB 4/3/13)</w:t>
      </w:r>
      <w:r>
        <w:rPr>
          <w:rFonts w:ascii="Times New Roman" w:hAnsi="Times New Roman"/>
          <w:b w:val="false"/>
          <w:i w:val="false"/>
          <w:color w:val="000000"/>
          <w:sz w:val="21"/>
        </w:rPr>
        <w:t>, IAB 7/10/13, effective 7/1/13]</w:t>
      </w:r>
    </w:p>
    <w:p>
      <w:pPr>
        <w:spacing w:before="0" w:after="0"/>
        <w:ind w:left="120"/>
        <w:jc w:val="center"/>
      </w:pPr>
      <w:r>
        <w:rPr>
          <w:rFonts w:ascii="Times New Roman" w:hAnsi="Times New Roman"/>
          <w:b w:val="false"/>
          <w:i w:val="false"/>
          <w:color w:val="000000"/>
          <w:sz w:val="21"/>
        </w:rPr>
        <w:t>[Filed Emergency ARC 0854C, IAB 7/24/13, effective 7/1/13]</w:t>
      </w:r>
    </w:p>
    <w:p>
      <w:pPr>
        <w:spacing w:before="0" w:after="0"/>
        <w:ind w:left="120"/>
        <w:jc w:val="center"/>
      </w:pPr>
      <w:r>
        <w:rPr>
          <w:rFonts w:ascii="Times New Roman" w:hAnsi="Times New Roman"/>
          <w:b w:val="false"/>
          <w:i w:val="false"/>
          <w:color w:val="000000"/>
          <w:sz w:val="21"/>
        </w:rPr>
        <w:t>[Filed ARC 1063C</w:t>
      </w:r>
      <w:r>
        <w:rPr>
          <w:rFonts w:ascii="Times New Roman" w:hAnsi="Times New Roman"/>
          <w:b w:val="false"/>
          <w:i w:val="false"/>
          <w:color w:val="000000"/>
          <w:sz w:val="21"/>
        </w:rPr>
        <w:t xml:space="preserve"> (Notice ARC 0852C,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1446C</w:t>
      </w:r>
      <w:r>
        <w:rPr>
          <w:rFonts w:ascii="Times New Roman" w:hAnsi="Times New Roman"/>
          <w:b w:val="false"/>
          <w:i w:val="false"/>
          <w:color w:val="000000"/>
          <w:sz w:val="21"/>
        </w:rPr>
        <w:t xml:space="preserve"> (Notice ARC 1365C, IAB 3/5/14)</w:t>
      </w:r>
      <w:r>
        <w:rPr>
          <w:rFonts w:ascii="Times New Roman" w:hAnsi="Times New Roman"/>
          <w:b w:val="false"/>
          <w:i w:val="false"/>
          <w:color w:val="000000"/>
          <w:sz w:val="21"/>
        </w:rPr>
        <w:t>, IAB 4/30/14, effective 7/1/14]</w:t>
      </w:r>
    </w:p>
    <w:p>
      <w:pPr>
        <w:spacing w:before="0" w:after="0"/>
        <w:ind w:left="120"/>
        <w:jc w:val="center"/>
      </w:pPr>
      <w:r>
        <w:rPr>
          <w:rFonts w:ascii="Times New Roman" w:hAnsi="Times New Roman"/>
          <w:b w:val="false"/>
          <w:i w:val="false"/>
          <w:color w:val="000000"/>
          <w:sz w:val="21"/>
        </w:rPr>
        <w:t>[Filed Emergency ARC 1525C, IAB 7/9/14, effective 7/1/14]</w:t>
      </w:r>
    </w:p>
    <w:p>
      <w:pPr>
        <w:spacing w:before="0" w:after="0"/>
        <w:ind w:left="120"/>
        <w:jc w:val="center"/>
      </w:pPr>
      <w:r>
        <w:rPr>
          <w:rFonts w:ascii="Times New Roman" w:hAnsi="Times New Roman"/>
          <w:b w:val="false"/>
          <w:i w:val="false"/>
          <w:color w:val="000000"/>
          <w:sz w:val="21"/>
        </w:rPr>
        <w:t>[Filed ARC 1606C</w:t>
      </w:r>
      <w:r>
        <w:rPr>
          <w:rFonts w:ascii="Times New Roman" w:hAnsi="Times New Roman"/>
          <w:b w:val="false"/>
          <w:i w:val="false"/>
          <w:color w:val="000000"/>
          <w:sz w:val="21"/>
        </w:rPr>
        <w:t xml:space="preserve"> (Notice ARC 1524C,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1893C</w:t>
      </w:r>
      <w:r>
        <w:rPr>
          <w:rFonts w:ascii="Times New Roman" w:hAnsi="Times New Roman"/>
          <w:b w:val="false"/>
          <w:i w:val="false"/>
          <w:color w:val="000000"/>
          <w:sz w:val="21"/>
        </w:rPr>
        <w:t xml:space="preserve"> (Notice ARC 1819C, IAB 1/7/15)</w:t>
      </w:r>
      <w:r>
        <w:rPr>
          <w:rFonts w:ascii="Times New Roman" w:hAnsi="Times New Roman"/>
          <w:b w:val="false"/>
          <w:i w:val="false"/>
          <w:color w:val="000000"/>
          <w:sz w:val="21"/>
        </w:rPr>
        <w:t>, IAB 3/4/15, effective 7/1/15]</w:t>
      </w:r>
    </w:p>
    <w:p>
      <w:pPr>
        <w:spacing w:before="0" w:after="0"/>
        <w:ind w:left="120"/>
        <w:jc w:val="center"/>
      </w:pPr>
      <w:r>
        <w:rPr>
          <w:rFonts w:ascii="Times New Roman" w:hAnsi="Times New Roman"/>
          <w:b w:val="false"/>
          <w:i w:val="false"/>
          <w:color w:val="000000"/>
          <w:sz w:val="21"/>
        </w:rPr>
        <w:t>[Filed ARC 1978C</w:t>
      </w:r>
      <w:r>
        <w:rPr>
          <w:rFonts w:ascii="Times New Roman" w:hAnsi="Times New Roman"/>
          <w:b w:val="false"/>
          <w:i w:val="false"/>
          <w:color w:val="000000"/>
          <w:sz w:val="21"/>
        </w:rPr>
        <w:t xml:space="preserve"> (Notice ARC 1900C,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ARC 2169C</w:t>
      </w:r>
      <w:r>
        <w:rPr>
          <w:rFonts w:ascii="Times New Roman" w:hAnsi="Times New Roman"/>
          <w:b w:val="false"/>
          <w:i w:val="false"/>
          <w:color w:val="000000"/>
          <w:sz w:val="21"/>
        </w:rPr>
        <w:t xml:space="preserve"> (Notice ARC 2073C, IAB 8/5/15)</w:t>
      </w:r>
      <w:r>
        <w:rPr>
          <w:rFonts w:ascii="Times New Roman" w:hAnsi="Times New Roman"/>
          <w:b w:val="false"/>
          <w:i w:val="false"/>
          <w:color w:val="000000"/>
          <w:sz w:val="21"/>
        </w:rPr>
        <w:t>, IAB 9/30/15, effective 1/1/16]</w:t>
      </w:r>
    </w:p>
    <w:p>
      <w:pPr>
        <w:spacing w:before="0" w:after="0"/>
        <w:ind w:left="120"/>
        <w:jc w:val="center"/>
      </w:pPr>
      <w:r>
        <w:rPr>
          <w:rFonts w:ascii="Times New Roman" w:hAnsi="Times New Roman"/>
          <w:b w:val="false"/>
          <w:i w:val="false"/>
          <w:color w:val="000000"/>
          <w:sz w:val="21"/>
        </w:rPr>
        <w:t>[Filed Emergency After Notice ARC 2555C</w:t>
      </w:r>
      <w:r>
        <w:rPr>
          <w:rFonts w:ascii="Times New Roman" w:hAnsi="Times New Roman"/>
          <w:b w:val="false"/>
          <w:i w:val="false"/>
          <w:color w:val="000000"/>
          <w:sz w:val="21"/>
        </w:rPr>
        <w:t xml:space="preserve"> (Notice ARC 2462C, IAB 3/16/16)</w:t>
      </w:r>
      <w:r>
        <w:rPr>
          <w:rFonts w:ascii="Times New Roman" w:hAnsi="Times New Roman"/>
          <w:b w:val="false"/>
          <w:i w:val="false"/>
          <w:color w:val="000000"/>
          <w:sz w:val="21"/>
        </w:rPr>
        <w:t>, IAB 6/8/16, effective 7/1/16]</w:t>
      </w:r>
      <w:r>
        <w:br/>
      </w:r>
      <w:r>
        <w:rPr>
          <w:rFonts w:ascii="Times New Roman" w:hAnsi="Times New Roman"/>
          <w:b w:val="false"/>
          <w:i w:val="false"/>
          <w:color w:val="000000"/>
          <w:sz w:val="21"/>
        </w:rPr>
        <w:t>[Filed Emergency After Notice ARC 2556C</w:t>
      </w:r>
      <w:r>
        <w:rPr>
          <w:rFonts w:ascii="Times New Roman" w:hAnsi="Times New Roman"/>
          <w:b w:val="false"/>
          <w:i w:val="false"/>
          <w:color w:val="000000"/>
          <w:sz w:val="21"/>
        </w:rPr>
        <w:t xml:space="preserve"> (Notice ARC 2449C, IAB 3/16/16)</w:t>
      </w:r>
      <w:r>
        <w:rPr>
          <w:rFonts w:ascii="Times New Roman" w:hAnsi="Times New Roman"/>
          <w:b w:val="false"/>
          <w:i w:val="false"/>
          <w:color w:val="000000"/>
          <w:sz w:val="21"/>
        </w:rPr>
        <w:t>, IAB 6/8/16, effective 7/1/16]</w:t>
      </w:r>
    </w:p>
    <w:p>
      <w:pPr>
        <w:spacing w:before="0" w:after="0"/>
        <w:ind w:left="120"/>
        <w:jc w:val="center"/>
      </w:pPr>
      <w:r>
        <w:rPr>
          <w:rFonts w:ascii="Times New Roman" w:hAnsi="Times New Roman"/>
          <w:b w:val="false"/>
          <w:i w:val="false"/>
          <w:color w:val="000000"/>
          <w:sz w:val="21"/>
        </w:rPr>
        <w:t>[Filed ARC 2649C</w:t>
      </w:r>
      <w:r>
        <w:rPr>
          <w:rFonts w:ascii="Times New Roman" w:hAnsi="Times New Roman"/>
          <w:b w:val="false"/>
          <w:i w:val="false"/>
          <w:color w:val="000000"/>
          <w:sz w:val="21"/>
        </w:rPr>
        <w:t xml:space="preserve"> (Notice ARC 2551C,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Emergency After Notice ARC 3092C</w:t>
      </w:r>
      <w:r>
        <w:rPr>
          <w:rFonts w:ascii="Times New Roman" w:hAnsi="Times New Roman"/>
          <w:b w:val="false"/>
          <w:i w:val="false"/>
          <w:color w:val="000000"/>
          <w:sz w:val="21"/>
        </w:rPr>
        <w:t xml:space="preserve"> (Notice ARC 2973C, IAB 3/15/17)</w:t>
      </w:r>
      <w:r>
        <w:rPr>
          <w:rFonts w:ascii="Times New Roman" w:hAnsi="Times New Roman"/>
          <w:b w:val="false"/>
          <w:i w:val="false"/>
          <w:color w:val="000000"/>
          <w:sz w:val="21"/>
        </w:rPr>
        <w:t>, IAB 6/7/17, effective 7/1/17]</w:t>
      </w:r>
    </w:p>
    <w:p>
      <w:pPr>
        <w:spacing w:before="0" w:after="0"/>
        <w:ind w:left="120"/>
        <w:jc w:val="center"/>
      </w:pPr>
      <w:r>
        <w:rPr>
          <w:rFonts w:ascii="Times New Roman" w:hAnsi="Times New Roman"/>
          <w:b w:val="false"/>
          <w:i w:val="false"/>
          <w:color w:val="000000"/>
          <w:sz w:val="21"/>
        </w:rPr>
        <w:t>[Filed ARC 3791C</w:t>
      </w:r>
      <w:r>
        <w:rPr>
          <w:rFonts w:ascii="Times New Roman" w:hAnsi="Times New Roman"/>
          <w:b w:val="false"/>
          <w:i w:val="false"/>
          <w:color w:val="000000"/>
          <w:sz w:val="21"/>
        </w:rPr>
        <w:t xml:space="preserve"> (Notice ARC 3651C, IAB 2/28/18)</w:t>
      </w:r>
      <w:r>
        <w:rPr>
          <w:rFonts w:ascii="Times New Roman" w:hAnsi="Times New Roman"/>
          <w:b w:val="false"/>
          <w:i w:val="false"/>
          <w:color w:val="000000"/>
          <w:sz w:val="21"/>
        </w:rPr>
        <w:t>, IAB 5/9/18, effective 7/1/18]</w:t>
      </w:r>
    </w:p>
    <w:p>
      <w:pPr>
        <w:spacing w:before="0" w:after="0"/>
        <w:ind w:left="120"/>
        <w:jc w:val="center"/>
      </w:pPr>
      <w:r>
        <w:rPr>
          <w:rFonts w:ascii="Times New Roman" w:hAnsi="Times New Roman"/>
          <w:b w:val="false"/>
          <w:i w:val="false"/>
          <w:color w:val="000000"/>
          <w:sz w:val="21"/>
        </w:rPr>
        <w:t>[Filed ARC 4115C</w:t>
      </w:r>
      <w:r>
        <w:rPr>
          <w:rFonts w:ascii="Times New Roman" w:hAnsi="Times New Roman"/>
          <w:b w:val="false"/>
          <w:i w:val="false"/>
          <w:color w:val="000000"/>
          <w:sz w:val="21"/>
        </w:rPr>
        <w:t xml:space="preserve"> (Notice ARC 3969C,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Emergency After Notice ARC 4470C</w:t>
      </w:r>
      <w:r>
        <w:rPr>
          <w:rFonts w:ascii="Times New Roman" w:hAnsi="Times New Roman"/>
          <w:b w:val="false"/>
          <w:i w:val="false"/>
          <w:color w:val="000000"/>
          <w:sz w:val="21"/>
        </w:rPr>
        <w:t xml:space="preserve"> (Notice ARC 4367C, IAB 3/27/19)</w:t>
      </w:r>
      <w:r>
        <w:rPr>
          <w:rFonts w:ascii="Times New Roman" w:hAnsi="Times New Roman"/>
          <w:b w:val="false"/>
          <w:i w:val="false"/>
          <w:color w:val="000000"/>
          <w:sz w:val="21"/>
        </w:rPr>
        <w:t>, IAB 6/5/19, effective 7/1/19]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5035C</w:t>
      </w:r>
      <w:r>
        <w:rPr>
          <w:rFonts w:ascii="Times New Roman" w:hAnsi="Times New Roman"/>
          <w:b w:val="false"/>
          <w:i w:val="false"/>
          <w:color w:val="000000"/>
          <w:sz w:val="21"/>
        </w:rPr>
        <w:t xml:space="preserve"> (Notice ARC 4937C, IAB 2/26/20)</w:t>
      </w:r>
      <w:r>
        <w:rPr>
          <w:rFonts w:ascii="Times New Roman" w:hAnsi="Times New Roman"/>
          <w:b w:val="false"/>
          <w:i w:val="false"/>
          <w:color w:val="000000"/>
          <w:sz w:val="21"/>
        </w:rPr>
        <w:t>, IAB 5/6/20, effective 7/1/20]</w:t>
      </w:r>
    </w:p>
    <w:p>
      <w:pPr>
        <w:spacing w:before="0" w:after="0"/>
        <w:ind w:left="120"/>
        <w:jc w:val="center"/>
      </w:pPr>
      <w:r>
        <w:rPr>
          <w:rFonts w:ascii="Times New Roman" w:hAnsi="Times New Roman"/>
          <w:b w:val="false"/>
          <w:i w:val="false"/>
          <w:color w:val="000000"/>
          <w:sz w:val="21"/>
        </w:rPr>
        <w:t>[Filed Emergency After Notice ARC 5675C</w:t>
      </w:r>
      <w:r>
        <w:rPr>
          <w:rFonts w:ascii="Times New Roman" w:hAnsi="Times New Roman"/>
          <w:b w:val="false"/>
          <w:i w:val="false"/>
          <w:color w:val="000000"/>
          <w:sz w:val="21"/>
        </w:rPr>
        <w:t xml:space="preserve"> (Notice ARC 5533C, IAB 3/24/21)</w:t>
      </w:r>
      <w:r>
        <w:rPr>
          <w:rFonts w:ascii="Times New Roman" w:hAnsi="Times New Roman"/>
          <w:b w:val="false"/>
          <w:i w:val="false"/>
          <w:color w:val="000000"/>
          <w:sz w:val="21"/>
        </w:rPr>
        <w:t>, IAB 6/16/21, effective 7/1/21]</w:t>
      </w:r>
    </w:p>
    <w:p>
      <w:pPr>
        <w:spacing w:before="0" w:after="0"/>
        <w:ind w:left="120"/>
        <w:jc w:val="center"/>
      </w:pPr>
      <w:r>
        <w:rPr>
          <w:rFonts w:ascii="Times New Roman" w:hAnsi="Times New Roman"/>
          <w:b w:val="false"/>
          <w:i w:val="false"/>
          <w:color w:val="000000"/>
          <w:sz w:val="21"/>
        </w:rPr>
        <w:t>[Filed Emergency ARC 5731C, IAB 6/30/21, effective 7/1/21]</w:t>
      </w:r>
    </w:p>
    <w:p>
      <w:pPr>
        <w:spacing w:before="0" w:after="0"/>
        <w:ind w:left="120"/>
        <w:jc w:val="center"/>
      </w:pPr>
      <w:r>
        <w:rPr>
          <w:rFonts w:ascii="Times New Roman" w:hAnsi="Times New Roman"/>
          <w:b w:val="false"/>
          <w:i w:val="false"/>
          <w:color w:val="000000"/>
          <w:sz w:val="21"/>
        </w:rPr>
        <w:t>[Filed ARC 5891C</w:t>
      </w:r>
      <w:r>
        <w:rPr>
          <w:rFonts w:ascii="Times New Roman" w:hAnsi="Times New Roman"/>
          <w:b w:val="false"/>
          <w:i w:val="false"/>
          <w:color w:val="000000"/>
          <w:sz w:val="21"/>
        </w:rPr>
        <w:t xml:space="preserve"> (Notice ARC 5732C, IAB 6/30/21)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6309C</w:t>
      </w:r>
      <w:r>
        <w:rPr>
          <w:rFonts w:ascii="Times New Roman" w:hAnsi="Times New Roman"/>
          <w:b w:val="false"/>
          <w:i w:val="false"/>
          <w:color w:val="000000"/>
          <w:sz w:val="21"/>
        </w:rPr>
        <w:t xml:space="preserve"> (Notice ARC 6209C,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Emergency After Notice ARC 6565C</w:t>
      </w:r>
      <w:r>
        <w:rPr>
          <w:rFonts w:ascii="Times New Roman" w:hAnsi="Times New Roman"/>
          <w:b w:val="false"/>
          <w:i w:val="false"/>
          <w:color w:val="000000"/>
          <w:sz w:val="21"/>
        </w:rPr>
        <w:t xml:space="preserve"> (Notice ARC 6430C, IAB 7/27/22)</w:t>
      </w:r>
      <w:r>
        <w:rPr>
          <w:rFonts w:ascii="Times New Roman" w:hAnsi="Times New Roman"/>
          <w:b w:val="false"/>
          <w:i w:val="false"/>
          <w:color w:val="000000"/>
          <w:sz w:val="21"/>
        </w:rPr>
        <w:t>, IAB 10/5/22, effective 10/1/22]</w:t>
      </w:r>
    </w:p>
    <w:p>
      <w:pPr>
        <w:spacing w:before="0" w:after="0"/>
        <w:ind w:left="120"/>
        <w:jc w:val="center"/>
      </w:pPr>
      <w:r>
        <w:rPr>
          <w:rFonts w:ascii="Times New Roman" w:hAnsi="Times New Roman"/>
          <w:b w:val="false"/>
          <w:i w:val="false"/>
          <w:color w:val="000000"/>
          <w:sz w:val="21"/>
        </w:rPr>
        <w:t>[Filed ARC 6965C</w:t>
      </w:r>
      <w:r>
        <w:rPr>
          <w:rFonts w:ascii="Times New Roman" w:hAnsi="Times New Roman"/>
          <w:b w:val="false"/>
          <w:i w:val="false"/>
          <w:color w:val="000000"/>
          <w:sz w:val="21"/>
        </w:rPr>
        <w:t xml:space="preserve"> (Notice ARC 6811C, IAB 1/11/23)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8741C</w:t>
      </w:r>
      <w:r>
        <w:rPr>
          <w:rFonts w:ascii="Times New Roman" w:hAnsi="Times New Roman"/>
          <w:b w:val="false"/>
          <w:i w:val="false"/>
          <w:color w:val="000000"/>
          <w:sz w:val="21"/>
        </w:rPr>
        <w:t xml:space="preserve"> (Amended Notice ARC 8192C, IAB 8/7/24; </w:t>
      </w:r>
      <w:r>
        <w:rPr>
          <w:rFonts w:ascii="Times New Roman" w:hAnsi="Times New Roman"/>
          <w:b w:val="false"/>
          <w:i w:val="false"/>
          <w:color w:val="000000"/>
          <w:sz w:val="21"/>
        </w:rPr>
        <w:t>Notice ARC 7651C, IAB 2/21/24)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3.60.pdf" Type="http://schemas.openxmlformats.org/officeDocument/2006/relationships/hyperlink" Id="rId5"/>
    <Relationship TargetMode="External" Target="https://www.legis.iowa.gov/docs/iac/rule/441.24.1.pdf" Type="http://schemas.openxmlformats.org/officeDocument/2006/relationships/hyperlink" Id="rId6"/>
    <Relationship TargetMode="External" Target="https://www.legis.iowa.gov/docs/iac/chapter/441.93.pdf" Type="http://schemas.openxmlformats.org/officeDocument/2006/relationships/hyperlink" Id="rId7"/>
    <Relationship TargetMode="External" Target="https://www.legis.iowa.gov/docs/ico/chapter/237A.pdf" Type="http://schemas.openxmlformats.org/officeDocument/2006/relationships/hyperlink" Id="rId8"/>
    <Relationship TargetMode="External" Target="https://www.legis.iowa.gov/docs/iac/rule/441.170.2.pdf" Type="http://schemas.openxmlformats.org/officeDocument/2006/relationships/hyperlink" Id="rId9"/>
    <Relationship TargetMode="External" Target="https://www.legis.iowa.gov/docs/iac/rule/441.170.3.pdf" Type="http://schemas.openxmlformats.org/officeDocument/2006/relationships/hyperlink" Id="rId10"/>
    <Relationship TargetMode="External" Target="https://www.legis.iowa.gov/docs/iac/rule/441.170.2.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ac/rule/441.170.3.pdf" Type="http://schemas.openxmlformats.org/officeDocument/2006/relationships/hyperlink" Id="rId13"/>
    <Relationship TargetMode="External" Target="https://www.legis.iowa.gov/docs/iac/rule/441.170.2.pdf" Type="http://schemas.openxmlformats.org/officeDocument/2006/relationships/hyperlink" Id="rId14"/>
    <Relationship TargetMode="External" Target="https://www.legis.iowa.gov/docs/iac/rule/441.170.2.pdf" Type="http://schemas.openxmlformats.org/officeDocument/2006/relationships/hyperlink" Id="rId15"/>
    <Relationship TargetMode="External" Target="https://www.legis.iowa.gov/docs/iac/rule/441.170.2.pdf" Type="http://schemas.openxmlformats.org/officeDocument/2006/relationships/hyperlink" Id="rId16"/>
    <Relationship TargetMode="External" Target="https://www.legis.iowa.gov/docs/iac/rule/441.170.2.pdf" Type="http://schemas.openxmlformats.org/officeDocument/2006/relationships/hyperlink" Id="rId17"/>
    <Relationship TargetMode="External" Target="https://www.legis.iowa.gov/docs/iac/rule/441.170.2.pdf" Type="http://schemas.openxmlformats.org/officeDocument/2006/relationships/hyperlink" Id="rId18"/>
    <Relationship TargetMode="External" Target="https://www.legis.iowa.gov/docs/iac/rule/441.170.2.pdf" Type="http://schemas.openxmlformats.org/officeDocument/2006/relationships/hyperlink" Id="rId19"/>
    <Relationship TargetMode="External" Target="https://www.legis.iowa.gov/docs/iac/rule/441.170.2.pdf" Type="http://schemas.openxmlformats.org/officeDocument/2006/relationships/hyperlink" Id="rId20"/>
    <Relationship TargetMode="External" Target="https://www.legis.iowa.gov/docs/iac/rule/441.170.2.pdf" Type="http://schemas.openxmlformats.org/officeDocument/2006/relationships/hyperlink" Id="rId21"/>
    <Relationship TargetMode="External" Target="https://www.legis.iowa.gov/docs/iac/rule/441.170.2.pdf" Type="http://schemas.openxmlformats.org/officeDocument/2006/relationships/hyperlink" Id="rId22"/>
    <Relationship TargetMode="External" Target="https://www.legis.iowa.gov/docs/iac/rule/441.170.2.pdf" Type="http://schemas.openxmlformats.org/officeDocument/2006/relationships/hyperlink" Id="rId23"/>
    <Relationship TargetMode="External" Target="https://www.legis.iowa.gov/docs/iac/chapter/481.72.pdf" Type="http://schemas.openxmlformats.org/officeDocument/2006/relationships/hyperlink" Id="rId24"/>
    <Relationship TargetMode="External" Target="https://www.legis.iowa.gov/docs/iac/rule/441.170.3.pdf" Type="http://schemas.openxmlformats.org/officeDocument/2006/relationships/hyperlink" Id="rId25"/>
    <Relationship TargetMode="External" Target="https://www.legis.iowa.gov/docs/iac/rule/441.170.2.pdf" Type="http://schemas.openxmlformats.org/officeDocument/2006/relationships/hyperlink" Id="rId26"/>
    <Relationship TargetMode="External" Target="https://www.legis.iowa.gov/docs/iac/rule/441.170.3.pdf" Type="http://schemas.openxmlformats.org/officeDocument/2006/relationships/hyperlink" Id="rId27"/>
    <Relationship TargetMode="External" Target="https://www.legis.iowa.gov/docs/iac/rule/441.170.3.pdf" Type="http://schemas.openxmlformats.org/officeDocument/2006/relationships/hyperlink" Id="rId28"/>
    <Relationship TargetMode="External" Target="https://www.legis.iowa.gov/docs/iac/rule/441.93.1.pdf" Type="http://schemas.openxmlformats.org/officeDocument/2006/relationships/hyperlink" Id="rId29"/>
    <Relationship TargetMode="External" Target="https://www.legis.iowa.gov/docs/iac/chapter/441.93.pdf" Type="http://schemas.openxmlformats.org/officeDocument/2006/relationships/hyperlink" Id="rId30"/>
    <Relationship TargetMode="External" Target="https://www.legis.iowa.gov/docs/iac/rule/441.170.2.pdf" Type="http://schemas.openxmlformats.org/officeDocument/2006/relationships/hyperlink" Id="rId31"/>
    <Relationship TargetMode="External" Target="https://www.legis.iowa.gov/docs/iac/rule/441.170.2.pdf" Type="http://schemas.openxmlformats.org/officeDocument/2006/relationships/hyperlink" Id="rId32"/>
    <Relationship TargetMode="External" Target="https://www.legis.iowa.gov/docs/iac/rule/441.170.3.pdf" Type="http://schemas.openxmlformats.org/officeDocument/2006/relationships/hyperlink" Id="rId33"/>
    <Relationship TargetMode="External" Target="https://www.legis.iowa.gov/docs/iac/rule/441.170.3.pdf" Type="http://schemas.openxmlformats.org/officeDocument/2006/relationships/hyperlink" Id="rId34"/>
    <Relationship TargetMode="External" Target="https://www.legis.iowa.gov/docs/iac/rule/441.170.3.pdf" Type="http://schemas.openxmlformats.org/officeDocument/2006/relationships/hyperlink" Id="rId35"/>
    <Relationship TargetMode="External" Target="https://www.legis.iowa.gov/docs/iac/rule/441.170.2.pdf" Type="http://schemas.openxmlformats.org/officeDocument/2006/relationships/hyperlink" Id="rId36"/>
    <Relationship TargetMode="External" Target="https://www.legis.iowa.gov/docs/iac/rule/441.170.2.pdf" Type="http://schemas.openxmlformats.org/officeDocument/2006/relationships/hyperlink" Id="rId37"/>
    <Relationship TargetMode="External" Target="https://www.legis.iowa.gov/docs/iac/rule/441.170.2.pdf" Type="http://schemas.openxmlformats.org/officeDocument/2006/relationships/hyperlink" Id="rId38"/>
    <Relationship TargetMode="External" Target="https://www.legis.iowa.gov/docs/iac/rule/441.170.2.pdf" Type="http://schemas.openxmlformats.org/officeDocument/2006/relationships/hyperlink" Id="rId39"/>
    <Relationship TargetMode="External" Target="https://www.legis.iowa.gov/docs/iac/rule/441.170.2.pdf" Type="http://schemas.openxmlformats.org/officeDocument/2006/relationships/hyperlink" Id="rId40"/>
    <Relationship TargetMode="External" Target="https://www.legis.iowa.gov/docs/iac/rule/441.170.2.pdf" Type="http://schemas.openxmlformats.org/officeDocument/2006/relationships/hyperlink" Id="rId41"/>
    <Relationship TargetMode="External" Target="https://www.legis.iowa.gov/docs/iac/rule/441.170.2.pdf" Type="http://schemas.openxmlformats.org/officeDocument/2006/relationships/hyperlink" Id="rId42"/>
    <Relationship TargetMode="External" Target="https://www.legis.iowa.gov/docs/iac/rule/441.170.2.pdf" Type="http://schemas.openxmlformats.org/officeDocument/2006/relationships/hyperlink" Id="rId43"/>
    <Relationship TargetMode="External" Target="https://www.legis.iowa.gov/docs/iac/rule/441.170.4.pdf" Type="http://schemas.openxmlformats.org/officeDocument/2006/relationships/hyperlink" Id="rId44"/>
    <Relationship TargetMode="External" Target="https://www.legis.iowa.gov/docs/iac/rule/441.170.2.pdf" Type="http://schemas.openxmlformats.org/officeDocument/2006/relationships/hyperlink" Id="rId45"/>
    <Relationship TargetMode="External" Target="https://www.legis.iowa.gov/docs/iac/chapter/441.109.pdf" Type="http://schemas.openxmlformats.org/officeDocument/2006/relationships/hyperlink" Id="rId46"/>
    <Relationship TargetMode="External" Target="https://www.legis.iowa.gov/docs/iac/chapter/441.110.pdf" Type="http://schemas.openxmlformats.org/officeDocument/2006/relationships/hyperlink" Id="rId47"/>
    <Relationship TargetMode="External" Target="https://www.legis.iowa.gov/docs/iac/chapter/441.120.pdf" Type="http://schemas.openxmlformats.org/officeDocument/2006/relationships/hyperlink" Id="rId48"/>
    <Relationship TargetMode="External" Target="https://www.legis.iowa.gov/docs/iac/rule/441.170.4.pdf" Type="http://schemas.openxmlformats.org/officeDocument/2006/relationships/hyperlink" Id="rId49"/>
    <Relationship TargetMode="External" Target="https://www.legis.iowa.gov/docs/iac/rule/441.170.4.pdf" Type="http://schemas.openxmlformats.org/officeDocument/2006/relationships/hyperlink" Id="rId50"/>
    <Relationship TargetMode="External" Target="https://www.legis.iowa.gov/docs/ico/chapter/237A.pdf" Type="http://schemas.openxmlformats.org/officeDocument/2006/relationships/hyperlink" Id="rId51"/>
    <Relationship TargetMode="External" Target="https://www.legis.iowa.gov/docs/iac/rule/441.170.4.pdf" Type="http://schemas.openxmlformats.org/officeDocument/2006/relationships/hyperlink" Id="rId52"/>
    <Relationship TargetMode="External" Target="https://www.legis.iowa.gov/docs/iac/rule/441.4.5.pdf" Type="http://schemas.openxmlformats.org/officeDocument/2006/relationships/hyperlink" Id="rId53"/>
    <Relationship TargetMode="External" Target="https://www.legis.iowa.gov/docs/iac/rule/441.170.4.pdf" Type="http://schemas.openxmlformats.org/officeDocument/2006/relationships/hyperlink" Id="rId54"/>
    <Relationship TargetMode="External" Target="https://www.legis.iowa.gov/docs/iac/rule/441.170.4.pdf" Type="http://schemas.openxmlformats.org/officeDocument/2006/relationships/hyperlink" Id="rId55"/>
    <Relationship TargetMode="External" Target="https://www.legis.iowa.gov/docs/iac/chapter/441.120.pdf" Type="http://schemas.openxmlformats.org/officeDocument/2006/relationships/hyperlink" Id="rId56"/>
    <Relationship TargetMode="External" Target="https://www.legis.iowa.gov/docs/iac/chapter/441.118.pdf" Type="http://schemas.openxmlformats.org/officeDocument/2006/relationships/hyperlink" Id="rId57"/>
    <Relationship TargetMode="External" Target="https://www.legis.iowa.gov/docs/iac/rule/441.170.4.pdf" Type="http://schemas.openxmlformats.org/officeDocument/2006/relationships/hyperlink" Id="rId58"/>
    <Relationship TargetMode="External" Target="https://www.legis.iowa.gov/docs/iac/rule/441.170.4.pdf" Type="http://schemas.openxmlformats.org/officeDocument/2006/relationships/hyperlink" Id="rId59"/>
    <Relationship TargetMode="External" Target="https://www.legis.iowa.gov/docs/iac/rule/441.170.3.pdf" Type="http://schemas.openxmlformats.org/officeDocument/2006/relationships/hyperlink" Id="rId60"/>
    <Relationship TargetMode="External" Target="https://www.legis.iowa.gov/docs/iac/rule/441.170.4.pdf" Type="http://schemas.openxmlformats.org/officeDocument/2006/relationships/hyperlink" Id="rId61"/>
    <Relationship TargetMode="External" Target="https://www.legis.iowa.gov/docs/iac/rule/441.110.6.pdf" Type="http://schemas.openxmlformats.org/officeDocument/2006/relationships/hyperlink" Id="rId62"/>
    <Relationship TargetMode="External" Target="https://www.legis.iowa.gov/docs/iac/rule/441.110.13.pdf" Type="http://schemas.openxmlformats.org/officeDocument/2006/relationships/hyperlink" Id="rId63"/>
    <Relationship TargetMode="External" Target="https://www.legis.iowa.gov/docs/iac/rule/441.110.14.pdf" Type="http://schemas.openxmlformats.org/officeDocument/2006/relationships/hyperlink" Id="rId64"/>
    <Relationship TargetMode="External" Target="https://www.legis.iowa.gov/docs/iac/rule/441.110.15.pdf" Type="http://schemas.openxmlformats.org/officeDocument/2006/relationships/hyperlink" Id="rId65"/>
    <Relationship TargetMode="External" Target="https://www.legis.iowa.gov/docs/iac/rule/441.120.6.pdf" Type="http://schemas.openxmlformats.org/officeDocument/2006/relationships/hyperlink" Id="rId66"/>
    <Relationship TargetMode="External" Target="https://www.legis.iowa.gov/docs/iac/rule/441.170.4.pdf" Type="http://schemas.openxmlformats.org/officeDocument/2006/relationships/hyperlink" Id="rId67"/>
    <Relationship TargetMode="External" Target="https://www.legis.iowa.gov/docs/iac/rule/441.170.2.pdf" Type="http://schemas.openxmlformats.org/officeDocument/2006/relationships/hyperlink" Id="rId68"/>
    <Relationship TargetMode="External" Target="https://www.legis.iowa.gov/docs/iac/rule/441.170.5.pdf" Type="http://schemas.openxmlformats.org/officeDocument/2006/relationships/hyperlink" Id="rId69"/>
    <Relationship TargetMode="External" Target="https://www.legis.iowa.gov/docs/iac/chapter/441.16.pdf" Type="http://schemas.openxmlformats.org/officeDocument/2006/relationships/hyperlink" Id="rId70"/>
    <Relationship TargetMode="External" Target="https://www.legis.iowa.gov/docs/iac/chapter/441.7.pdf" Type="http://schemas.openxmlformats.org/officeDocument/2006/relationships/hyperlink" Id="rId71"/>
    <Relationship TargetMode="External" Target="https://www.legis.iowa.gov/docs/iac/rule/441.170.7.pdf" Type="http://schemas.openxmlformats.org/officeDocument/2006/relationships/hyperlink" Id="rId72"/>
    <Relationship TargetMode="External" Target="https://www.legis.iowa.gov/docs/iac/rule/441.170.7.pdf" Type="http://schemas.openxmlformats.org/officeDocument/2006/relationships/hyperlink" Id="rId73"/>
    <Relationship TargetMode="External" Target="https://www.legis.iowa.gov/docs/iac/rule/441.170.7.pdf" Type="http://schemas.openxmlformats.org/officeDocument/2006/relationships/hyperlink" Id="rId74"/>
    <Relationship TargetMode="External" Target="https://www.legis.iowa.gov/docs/iac/rule/441.170.9.pdf" Type="http://schemas.openxmlformats.org/officeDocument/2006/relationships/hyperlink" Id="rId75"/>
    <Relationship TargetMode="External" Target="https://www.legis.iowa.gov/docs/iac/rule/441.7.4.pdf" Type="http://schemas.openxmlformats.org/officeDocument/2006/relationships/hyperlink" Id="rId76"/>
    <Relationship TargetMode="External" Target="https://www.legis.iowa.gov/docs/iac/rule/441.170.9.pdf" Type="http://schemas.openxmlformats.org/officeDocument/2006/relationships/hyperlink" Id="rId77"/>
    <Relationship TargetMode="External" Target="https://www.legis.iowa.gov/docs/iac/chapter/441.11.pdf" Type="http://schemas.openxmlformats.org/officeDocument/2006/relationships/hyperlink" Id="rId78"/>
    <Relationship TargetMode="External" Target="https://www.legis.iowa.gov/docs/ico/chapter/237A.13.pdf" Type="http://schemas.openxmlformats.org/officeDocument/2006/relationships/hyperlink" Id="rId79"/>
    <Relationship TargetMode="External" Target="https://www.legis.iowa.gov/docs/ico/chapter/237A.29.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