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163</w:t>
      </w:r>
    </w:p>
    <w:p>
      <w:pPr>
        <w:spacing w:before="0" w:after="0"/>
        <w:ind w:left="120"/>
        <w:jc w:val="center"/>
      </w:pPr>
      <w:r>
        <w:rPr>
          <w:rFonts w:ascii="Times New Roman" w:hAnsi="Times New Roman"/>
          <w:b w:val="false"/>
          <w:i w:val="false"/>
          <w:color w:val="000000"/>
          <w:sz w:val="21"/>
        </w:rPr>
        <w:t>ADOLESCENT PREGNANCY PREVENTION AND SERVICES</w:t>
      </w:r>
      <w:r>
        <w:br/>
      </w:r>
      <w:r>
        <w:rPr>
          <w:rFonts w:ascii="Times New Roman" w:hAnsi="Times New Roman"/>
          <w:b w:val="false"/>
          <w:i w:val="false"/>
          <w:color w:val="000000"/>
          <w:sz w:val="21"/>
        </w:rPr>
        <w:t>TO PREGNANT AND PARENTING ADOLESCENTS</w:t>
      </w:r>
      <w:r>
        <w:br/>
      </w:r>
      <w:r>
        <w:rPr>
          <w:rFonts w:ascii="Times New Roman" w:hAnsi="Times New Roman"/>
          <w:b w:val="false"/>
          <w:i w:val="false"/>
          <w:color w:val="000000"/>
          <w:sz w:val="21"/>
        </w:rPr>
        <w:t>PROGRAMS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define and structure the grant programs for adolescent pregnancy prevention statewide campaign, adolescent pregnancy evaluation, adolescent pregnancy state coalition, and community adolescent pregnancy prevention and services programs. The services are to be provided to adolescents and their parents for the purpose of preventing adolescent pregnancy; to adolescents who are either pregnant or parenting to prevent subsequent pregnancies, promote self-sufficiency and physical and emotional well-being; and to communities to assist them in addressing issues of adolescent pregnancy.</w:t>
      </w:r>
    </w:p>
    <w:p>
      <w:pPr>
        <w:spacing w:before="0" w:after="0"/>
        <w:ind w:left="120"/>
        <w:jc w:val="both"/>
      </w:pPr>
      <w:r>
        <w:rPr>
          <w:rFonts w:ascii="Times New Roman" w:hAnsi="Times New Roman"/>
          <w:b/>
          <w:i w:val="false"/>
          <w:color w:val="000000"/>
          <w:sz w:val="22"/>
        </w:rPr>
        <w:t>441—163.1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“Adolescent” </w:t>
      </w:r>
      <w:r>
        <w:rPr>
          <w:rFonts w:ascii="Times New Roman" w:hAnsi="Times New Roman"/>
          <w:b w:val="false"/>
          <w:i w:val="false"/>
          <w:color w:val="000000"/>
          <w:sz w:val="22"/>
        </w:rPr>
        <w:t>means a person under 18 years of age or a person 18 years of age or older who is attending an accredited high school or pursuing a course of study which will lead to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means a defined service area no smaller than a neighborhood and no larger than a region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human services or successor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designation committee” </w:t>
      </w:r>
      <w:r>
        <w:rPr>
          <w:rFonts w:ascii="Times New Roman" w:hAnsi="Times New Roman"/>
          <w:b w:val="false"/>
          <w:i w:val="false"/>
          <w:color w:val="000000"/>
          <w:sz w:val="22"/>
        </w:rPr>
        <w:t>means the body which is responsible for designating and awarding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an applicant who has received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“Percentage of pregnancies” </w:t>
      </w:r>
      <w:r>
        <w:rPr>
          <w:rFonts w:ascii="Times New Roman" w:hAnsi="Times New Roman"/>
          <w:b w:val="false"/>
          <w:i w:val="false"/>
          <w:color w:val="000000"/>
          <w:sz w:val="22"/>
        </w:rPr>
        <w:t>means the total number of births to mothers aged 13 years of age and older but younger than 18 years of age in the service area for the most recent year for which data is available divided by the total number of births statewide for the same age group and the same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“Pregnancy prevention” </w:t>
      </w:r>
      <w:r>
        <w:rPr>
          <w:rFonts w:ascii="Times New Roman" w:hAnsi="Times New Roman"/>
          <w:b w:val="false"/>
          <w:i w:val="false"/>
          <w:color w:val="000000"/>
          <w:sz w:val="22"/>
        </w:rPr>
        <w:t>means activities to avoid initial pregnancies.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of subsequent pregnancy” </w:t>
      </w:r>
      <w:r>
        <w:rPr>
          <w:rFonts w:ascii="Times New Roman" w:hAnsi="Times New Roman"/>
          <w:b w:val="false"/>
          <w:i w:val="false"/>
          <w:color w:val="000000"/>
          <w:sz w:val="22"/>
        </w:rPr>
        <w:t>means activities to avoid additional pregnancies during the adolescent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 </w:t>
      </w:r>
      <w:r>
        <w:rPr>
          <w:rFonts w:ascii="Times New Roman" w:hAnsi="Times New Roman"/>
          <w:b w:val="false"/>
          <w:i w:val="false"/>
          <w:color w:val="000000"/>
          <w:sz w:val="22"/>
        </w:rPr>
        <w:t>means one of the five department regions in the state.</w:t>
      </w:r>
    </w:p>
    <w:p>
      <w:pPr>
        <w:spacing w:before="210" w:after="0"/>
        <w:ind w:left="120"/>
        <w:jc w:val="both"/>
      </w:pPr>
      <w:r>
        <w:rPr>
          <w:rFonts w:ascii="Times New Roman" w:hAnsi="Times New Roman"/>
          <w:b/>
          <w:i w:val="false"/>
          <w:color w:val="000000"/>
          <w:sz w:val="22"/>
        </w:rPr>
        <w:t>441—163.2</w:t>
      </w:r>
      <w:r>
        <w:rPr>
          <w:rFonts w:ascii="Times New Roman" w:hAnsi="Times New Roman"/>
          <w:b/>
          <w:i w:val="false"/>
          <w:color w:val="000000"/>
          <w:sz w:val="22"/>
        </w:rPr>
        <w:t xml:space="preserve">(234) </w:t>
      </w:r>
      <w:r>
        <w:rPr>
          <w:rFonts w:ascii="Times New Roman" w:hAnsi="Times New Roman"/>
          <w:b/>
          <w:i w:val="false"/>
          <w:color w:val="000000"/>
          <w:sz w:val="22"/>
        </w:rPr>
        <w:t xml:space="preserve">Availability of grants for projects. </w:t>
      </w:r>
      <w:r>
        <w:rPr>
          <w:rFonts w:ascii="Times New Roman" w:hAnsi="Times New Roman"/>
          <w:b w:val="false"/>
          <w:i w:val="false"/>
          <w:color w:val="000000"/>
          <w:sz w:val="22"/>
        </w:rPr>
        <w:t>In any year in which funds are available for adolescent pregnancy prevention statewide campaign, evaluation, coalition or community teen pregnancy prevention and services programs, the department shall administer grants to eligible applicants for projects that serve residents of Iowa. The amount of money granted shall be contingent upon the funds available and shall be made on an annual basis. The allocation of funds shall be in compliance with legislation and approved by the grant designation committee and the administrator of the division of adult, children, and family services.</w:t>
      </w:r>
    </w:p>
    <w:p>
      <w:pPr>
        <w:spacing w:before="0" w:after="0"/>
        <w:ind w:left="120"/>
        <w:jc w:val="both"/>
      </w:pPr>
      <w:r>
        <w:rPr>
          <w:rFonts w:ascii="Times New Roman" w:hAnsi="Times New Roman"/>
          <w:b/>
          <w:i w:val="false"/>
          <w:color w:val="000000"/>
          <w:sz w:val="22"/>
        </w:rPr>
        <w:t>441—163.3</w:t>
      </w:r>
      <w:r>
        <w:rPr>
          <w:rFonts w:ascii="Times New Roman" w:hAnsi="Times New Roman"/>
          <w:b/>
          <w:i w:val="false"/>
          <w:color w:val="000000"/>
          <w:sz w:val="22"/>
        </w:rPr>
        <w:t xml:space="preserve">(234) </w:t>
      </w:r>
      <w:r>
        <w:rPr>
          <w:rFonts w:ascii="Times New Roman" w:hAnsi="Times New Roman"/>
          <w:b/>
          <w:i w:val="false"/>
          <w:color w:val="000000"/>
          <w:sz w:val="22"/>
        </w:rPr>
        <w:t xml:space="preserve">Project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163.3(1)</w:t>
      </w:r>
      <w:r>
        <w:rPr>
          <w:rFonts w:ascii="Times New Roman" w:hAnsi="Times New Roman"/>
          <w:b w:val="false"/>
          <w:i w:val="false"/>
          <w:color w:val="000000"/>
          <w:sz w:val="22"/>
        </w:rPr>
        <w:t> </w:t>
      </w:r>
      <w:r>
        <w:rPr>
          <w:rFonts w:ascii="Times New Roman" w:hAnsi="Times New Roman"/>
          <w:b w:val="false"/>
          <w:i w:val="false"/>
          <w:color w:val="000000"/>
          <w:sz w:val="22"/>
        </w:rPr>
        <w:t>Grants will be awarded to eligible applicants for specifically designed projects. Preference in awarding grants shall be given to projects which use a variety of community resources and agencies. Priority in awarding of points for community grants shall be given to programs that serve areas of the state which demonstrate the highest percentage of pregnancies of females aged 13 years of age or older but younger than the age of 18 within the geographic area to be served by the grant. Projects selected for the adolescent pregnancy prevention statewide campaign, adolescent pregnancy evaluation grant, and state coalition grants will be eligible for noncompetitive funding for up to three years, pending availability of funds and based upon satisfactory progress toward program goals. Projects which do not make satisfactory progress toward program goals shall be required to competitively bid for refunding. After three years, all projects must competitively bid for refunding.</w:t>
      </w:r>
    </w:p>
    <w:p>
      <w:pPr>
        <w:spacing w:before="0" w:after="0"/>
        <w:ind w:left="120"/>
        <w:jc w:val="both"/>
      </w:pPr>
      <w:r>
        <w:rPr>
          <w:rFonts w:ascii="Times New Roman" w:hAnsi="Times New Roman"/>
          <w:b w:val="false"/>
          <w:i w:val="false"/>
          <w:color w:val="000000"/>
          <w:sz w:val="22"/>
        </w:rPr>
        <w:t>Projects funded prior to July 2000 under the community adolescent pregnancy prevention and services grants are eligible for funding for up to nine years, pending availability of funds if the programs are comprehensive in scope and have demonstrated positive outcomes. Grants awarded after July 2000 must be comprehensive in scope and be based on existing models that have demonstrated positive outcomes.</w:t>
      </w:r>
    </w:p>
    <w:p>
      <w:pPr>
        <w:spacing w:before="0" w:after="0"/>
        <w:ind w:left="120"/>
        <w:jc w:val="both"/>
      </w:pPr>
      <w:r>
        <w:rPr>
          <w:rFonts w:ascii="Times New Roman" w:hAnsi="Times New Roman"/>
          <w:b w:val="false"/>
          <w:i w:val="false"/>
          <w:color w:val="000000"/>
          <w:sz w:val="22"/>
        </w:rPr>
        <w:t>An increasing grantee match will be required. A 5 percent grantee match will be required in year one. The match will increase by 5 percent each subsequent year a project receives funding. In-kind matches may be applied toward the grantee match. Projects which do not make satisfactory progress toward program goals shall be required to competitively bid for refunding.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163.3(2)</w:t>
      </w:r>
      <w:r>
        <w:rPr>
          <w:rFonts w:ascii="Times New Roman" w:hAnsi="Times New Roman"/>
          <w:b w:val="false"/>
          <w:i w:val="false"/>
          <w:color w:val="000000"/>
          <w:sz w:val="22"/>
        </w:rPr>
        <w:t> </w:t>
      </w:r>
      <w:r>
        <w:rPr>
          <w:rFonts w:ascii="Times New Roman" w:hAnsi="Times New Roman"/>
          <w:b w:val="false"/>
          <w:i w:val="false"/>
          <w:color w:val="000000"/>
          <w:sz w:val="22"/>
        </w:rPr>
        <w:t>A grantee may not use grant funds to serve residents of states other than Iowa. An exception to this would be a media campaign in which radio or television messages may “reach” audiences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7/6/94</w:t>
      </w:r>
      <w:r>
        <w:rPr>
          <w:rFonts w:ascii="Times New Roman" w:hAnsi="Times New Roman"/>
          <w:b w:val="false"/>
          <w:i w:val="false"/>
          <w:color w:val="000000"/>
          <w:sz w:val="22"/>
        </w:rPr>
        <w:t>, effective 7/1/94.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163.3(4)</w:t>
      </w:r>
      <w:r>
        <w:rPr>
          <w:rFonts w:ascii="Times New Roman" w:hAnsi="Times New Roman"/>
          <w:b w:val="false"/>
          <w:i w:val="false"/>
          <w:color w:val="000000"/>
          <w:sz w:val="22"/>
        </w:rPr>
        <w:t> </w:t>
      </w:r>
      <w:r>
        <w:rPr>
          <w:rFonts w:ascii="Times New Roman" w:hAnsi="Times New Roman"/>
          <w:b w:val="false"/>
          <w:i w:val="false"/>
          <w:color w:val="000000"/>
          <w:sz w:val="22"/>
        </w:rPr>
        <w:t>Projects must serve adolescents. Persons who were served prior to age 18 may continue to be served even though they are not currently pursuing a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7/6/94</w:t>
      </w:r>
      <w:r>
        <w:rPr>
          <w:rFonts w:ascii="Times New Roman" w:hAnsi="Times New Roman"/>
          <w:b w:val="false"/>
          <w:i w:val="false"/>
          <w:color w:val="000000"/>
          <w:sz w:val="22"/>
        </w:rPr>
        <w:t>, effective 7/1/94.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163.3(6)</w:t>
      </w:r>
      <w:r>
        <w:rPr>
          <w:rFonts w:ascii="Times New Roman" w:hAnsi="Times New Roman"/>
          <w:b w:val="false"/>
          <w:i w:val="false"/>
          <w:color w:val="000000"/>
          <w:sz w:val="22"/>
        </w:rPr>
        <w:t> </w:t>
      </w:r>
      <w:r>
        <w:rPr>
          <w:rFonts w:ascii="Times New Roman" w:hAnsi="Times New Roman"/>
          <w:b w:val="false"/>
          <w:i w:val="false"/>
          <w:color w:val="000000"/>
          <w:sz w:val="22"/>
        </w:rPr>
        <w:t>Eligible applicants for the statewide campaign are public or private agencies or individuals. Eligible applicants for the evaluation program are organizations or individuals affiliated with institutions under the authority of the state board of regents or other organizations or individuals experienced in evaluation techniques. Applications for the state coalition program will be accepted from groups or networks with statewide representation focusing on issues of adolescent pregnancy prevention, parenting and community collaboration. Applications for the community adolescent pregnancy prevention and services program will be accepted from community or regional boards or committees with broad-based representation or a single agency representing a broad-based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163.3(7)</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11/4/98</w:t>
      </w:r>
      <w:r>
        <w:rPr>
          <w:rFonts w:ascii="Times New Roman" w:hAnsi="Times New Roman"/>
          <w:b w:val="false"/>
          <w:i w:val="false"/>
          <w:color w:val="000000"/>
          <w:sz w:val="22"/>
        </w:rPr>
        <w:t>, effective 1/1/99.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163.3(8)</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11/4/98</w:t>
      </w:r>
      <w:r>
        <w:rPr>
          <w:rFonts w:ascii="Times New Roman" w:hAnsi="Times New Roman"/>
          <w:b w:val="false"/>
          <w:i w:val="false"/>
          <w:color w:val="000000"/>
          <w:sz w:val="22"/>
        </w:rPr>
        <w:t>, effective 1/1/99.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163.3(9)</w:t>
      </w:r>
      <w:r>
        <w:rPr>
          <w:rFonts w:ascii="Times New Roman" w:hAnsi="Times New Roman"/>
          <w:b w:val="false"/>
          <w:i w:val="false"/>
          <w:color w:val="000000"/>
          <w:sz w:val="22"/>
        </w:rPr>
        <w:t> </w:t>
      </w:r>
      <w:r>
        <w:rPr>
          <w:rFonts w:ascii="Times New Roman" w:hAnsi="Times New Roman"/>
          <w:b w:val="false"/>
          <w:i w:val="false"/>
          <w:color w:val="000000"/>
          <w:sz w:val="22"/>
        </w:rPr>
        <w:t>An adolescent pregnancy prevention statewide campaign grant will be awarded for a project providing a statewide campaign which encourages abstinence and provides information which will emphasize prevention of adolescent pregnancies.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163.3(10)</w:t>
      </w:r>
      <w:r>
        <w:rPr>
          <w:rFonts w:ascii="Times New Roman" w:hAnsi="Times New Roman"/>
          <w:b w:val="false"/>
          <w:i w:val="false"/>
          <w:color w:val="000000"/>
          <w:sz w:val="22"/>
        </w:rPr>
        <w:t> </w:t>
      </w:r>
      <w:r>
        <w:rPr>
          <w:rFonts w:ascii="Times New Roman" w:hAnsi="Times New Roman"/>
          <w:b w:val="false"/>
          <w:i w:val="false"/>
          <w:color w:val="000000"/>
          <w:sz w:val="22"/>
        </w:rPr>
        <w:t>An adolescent pregnancy prevention evaluation grant will be awarded to provide technical assistance to grantees in assessing their project and developing an evaluation tool for ongoing use. The evaluation grantee will provide an annual written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163.3(11)</w:t>
      </w:r>
      <w:r>
        <w:rPr>
          <w:rFonts w:ascii="Times New Roman" w:hAnsi="Times New Roman"/>
          <w:b w:val="false"/>
          <w:i w:val="false"/>
          <w:color w:val="000000"/>
          <w:sz w:val="22"/>
        </w:rPr>
        <w:t> </w:t>
      </w:r>
      <w:r>
        <w:rPr>
          <w:rFonts w:ascii="Times New Roman" w:hAnsi="Times New Roman"/>
          <w:b w:val="false"/>
          <w:i w:val="false"/>
          <w:color w:val="000000"/>
          <w:sz w:val="22"/>
        </w:rPr>
        <w:t>A state coalition grant will be awarded to provide assistance to an existing coalition or network focusing on the issues of adolescent pregnancy prevention and services and coalition building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163.3(12)</w:t>
      </w:r>
      <w:r>
        <w:rPr>
          <w:rFonts w:ascii="Times New Roman" w:hAnsi="Times New Roman"/>
          <w:b w:val="false"/>
          <w:i w:val="false"/>
          <w:color w:val="000000"/>
          <w:sz w:val="22"/>
        </w:rPr>
        <w:t> </w:t>
      </w:r>
      <w:r>
        <w:rPr>
          <w:rFonts w:ascii="Times New Roman" w:hAnsi="Times New Roman"/>
          <w:b w:val="false"/>
          <w:i w:val="false"/>
          <w:color w:val="000000"/>
          <w:sz w:val="22"/>
        </w:rPr>
        <w:t>Community adolescent pregnancy prevention grants will be awarded to projects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Broad-based representation from community or regional representatives including, but not limited to, schools, churches, human service-related organizations,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Comprehensive programming focusing on the prevention of initial pregnancies during the adolescent years. Projects may provide one or more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Workshops and informational programs for adolescents and parents of adolescents to improve communication between children and parents regarding human sexuality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Programs that focus on the prevention of initial pregnancies through responsible decision making in relationships. These programs should be comprehensive with emphasis on, but not limited to, abstinence, risks associated with drug and alcohol use, contraceptives and associated failure rates, sexually transmitted diseases, and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Programs which use peer counseling or peer education techniques for the prevention of adolescent pregnancies.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Development and distribution of informational material designed to discourage adolescent sexual activity, to provide information regarding acquired immune deficiency syndrome and sexually transmitted diseases, and to encourage male and female adolescents to assume responsibility for their sexual activity and parenting.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to pregnant and parenting adolescents. Not more than 25 percent of a community grant may be used for these services. Projects may provide one or more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Programs intended to prevent an additional pregnancy by a parent who is less than 19 years of age. Preference in grant awards will be given to programs providing incentives to clients for their program participation and success in avoiding a subsequent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Programs for pregnant or parenting teens intended to educate adolescents concerning the risks associated with alcohol and other drug use during pregnancy, improve parenting skills, and plan for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Programs for young fathers.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Development and distribution of informational material designed to encourage male and female adolescents to assume responsibility for their sexual activity and parenting.</w:t>
      </w:r>
    </w:p>
    <w:p>
      <w:pPr>
        <w:spacing w:before="0" w:after="0"/>
        <w:ind w:left="120"/>
        <w:jc w:val="both"/>
      </w:pPr>
      <w:r>
        <w:rPr>
          <w:rFonts w:ascii="Times New Roman" w:hAnsi="Times New Roman"/>
          <w:b/>
          <w:i w:val="false"/>
          <w:color w:val="000000"/>
          <w:sz w:val="22"/>
        </w:rPr>
        <w:t>441—163.4</w:t>
      </w:r>
      <w:r>
        <w:rPr>
          <w:rFonts w:ascii="Times New Roman" w:hAnsi="Times New Roman"/>
          <w:b/>
          <w:i w:val="false"/>
          <w:color w:val="000000"/>
          <w:sz w:val="22"/>
        </w:rPr>
        <w:t xml:space="preserve">(234) </w:t>
      </w:r>
      <w:r>
        <w:rPr>
          <w:rFonts w:ascii="Times New Roman" w:hAnsi="Times New Roman"/>
          <w:b/>
          <w:i w:val="false"/>
          <w:color w:val="000000"/>
          <w:sz w:val="22"/>
        </w:rPr>
        <w:t xml:space="preserve">Request for proposals for pilot project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163.4(1)</w:t>
      </w:r>
      <w:r>
        <w:rPr>
          <w:rFonts w:ascii="Times New Roman" w:hAnsi="Times New Roman"/>
          <w:b w:val="false"/>
          <w:i w:val="false"/>
          <w:color w:val="000000"/>
          <w:sz w:val="22"/>
        </w:rPr>
        <w:t> </w:t>
      </w:r>
      <w:r>
        <w:rPr>
          <w:rFonts w:ascii="Times New Roman" w:hAnsi="Times New Roman"/>
          <w:b w:val="false"/>
          <w:i w:val="false"/>
          <w:color w:val="000000"/>
          <w:sz w:val="22"/>
        </w:rPr>
        <w:t>The department will announce through public notice the opening of an application period for each of the grant programs. Applicants for grants shall request an Adolescent Pregnancy Prevention Application Kit for any or all of the open categories and shall submit grant proposals by the deadline specified in the announcement.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163.4(2)</w:t>
      </w:r>
      <w:r>
        <w:rPr>
          <w:rFonts w:ascii="Times New Roman" w:hAnsi="Times New Roman"/>
          <w:b w:val="false"/>
          <w:i w:val="false"/>
          <w:color w:val="000000"/>
          <w:sz w:val="22"/>
        </w:rPr>
        <w:t> </w:t>
      </w:r>
      <w:r>
        <w:rPr>
          <w:rFonts w:ascii="Times New Roman" w:hAnsi="Times New Roman"/>
          <w:b w:val="false"/>
          <w:i w:val="false"/>
          <w:color w:val="000000"/>
          <w:sz w:val="22"/>
        </w:rPr>
        <w:t>Requirements for project proposals are specified in the “Adolescent Pregnancy Prevention Grant Application Kit.” If a proposal does not contain the information specified in the application package or if it is late, it will be disapproved. Proposals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Proposal checklist.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Proposal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Statement of problem and need, including information demonstrating the percentage of pregnancies of females aged 13 years of age or older but younger than the age of 18 within the geographic area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Community or regional background information and demonstrated effectiveness at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 goals, objectives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Project monitoring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Budget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Explanation of grantee share of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Future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Cooperative agencies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Applicant assurances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Letters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Project advisory committee.</w:t>
      </w:r>
    </w:p>
    <w:p>
      <w:pPr>
        <w:spacing w:before="0" w:after="0"/>
        <w:ind w:left="120"/>
        <w:jc w:val="both"/>
      </w:pPr>
      <w:r>
        <w:rPr>
          <w:rFonts w:ascii="Times New Roman" w:hAnsi="Times New Roman"/>
          <w:b/>
          <w:i w:val="false"/>
          <w:color w:val="000000"/>
          <w:sz w:val="22"/>
        </w:rPr>
        <w:t>441—163.5</w:t>
      </w:r>
      <w:r>
        <w:rPr>
          <w:rFonts w:ascii="Times New Roman" w:hAnsi="Times New Roman"/>
          <w:b/>
          <w:i w:val="false"/>
          <w:color w:val="000000"/>
          <w:sz w:val="22"/>
        </w:rPr>
        <w:t xml:space="preserve">(234) </w:t>
      </w:r>
      <w:r>
        <w:rPr>
          <w:rFonts w:ascii="Times New Roman" w:hAnsi="Times New Roman"/>
          <w:b/>
          <w:i w:val="false"/>
          <w:color w:val="000000"/>
          <w:sz w:val="22"/>
        </w:rPr>
        <w:t xml:space="preserve">Selection of proposals.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163.5(1)</w:t>
      </w:r>
      <w:r>
        <w:rPr>
          <w:rFonts w:ascii="Times New Roman" w:hAnsi="Times New Roman"/>
          <w:b w:val="false"/>
          <w:i w:val="false"/>
          <w:color w:val="000000"/>
          <w:sz w:val="22"/>
        </w:rPr>
        <w:t> </w:t>
      </w:r>
      <w:r>
        <w:rPr>
          <w:rFonts w:ascii="Times New Roman" w:hAnsi="Times New Roman"/>
          <w:b w:val="false"/>
          <w:i w:val="false"/>
          <w:color w:val="000000"/>
          <w:sz w:val="22"/>
        </w:rPr>
        <w:t>All proposals received will be evaluated by the grant designation committee to determine which applicants will be awarded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163.5(2)</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in selecting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demonstrated need for the service in the program area(s) selected and assurance that the proposed project does not duplicate other services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community support demonstrated and the coordination with other existing agencies and organizations providing services to the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general program structure including, but not limited to, how well goals can be met, how realistic the objectives are, services offered and likelihood of anticipated impact on the problem, experience serving similar populations, the administration of funds, stability of the requesting entity and the overall quality of the proposal in comparison to other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 for using the funds. Funds may not be used for construction, capital improvement or purchase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11/4/98</w:t>
      </w:r>
      <w:r>
        <w:rPr>
          <w:rFonts w:ascii="Times New Roman" w:hAnsi="Times New Roman"/>
          <w:b w:val="false"/>
          <w:i w:val="false"/>
          <w:color w:val="000000"/>
          <w:sz w:val="22"/>
        </w:rPr>
        <w:t>, effective 1/1/99.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163.5(3)</w:t>
      </w:r>
      <w:r>
        <w:rPr>
          <w:rFonts w:ascii="Times New Roman" w:hAnsi="Times New Roman"/>
          <w:b w:val="false"/>
          <w:i w:val="false"/>
          <w:color w:val="000000"/>
          <w:sz w:val="22"/>
        </w:rPr>
        <w:t> </w:t>
      </w:r>
      <w:r>
        <w:rPr>
          <w:rFonts w:ascii="Times New Roman" w:hAnsi="Times New Roman"/>
          <w:b w:val="false"/>
          <w:i w:val="false"/>
          <w:color w:val="000000"/>
          <w:sz w:val="22"/>
        </w:rPr>
        <w:t>Weighted scoring criteria will be used to determine grant awards. The maximum number of points possible is 125. Determination of final point awards will be based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Proposal summary—10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of problem and need—15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or regional background information and demonstrated effectiveness with coalition building—10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Project goals, objectives and methods—15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monitoring and evaluation—10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Budget information, explanation of grantee share of budget, and cooperative agencies agreement—15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Future funding and applicant assurances and certification—5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Project advisory committee—10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Overall quality and impact of program—10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Letters of support—10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Consideration of legislative priority area—15 points.</w:t>
      </w:r>
    </w:p>
    <w:p>
      <w:pPr>
        <w:spacing w:before="210" w:after="0"/>
        <w:ind w:left="120"/>
        <w:jc w:val="both"/>
      </w:pPr>
      <w:r>
        <w:rPr>
          <w:rFonts w:ascii="Times New Roman" w:hAnsi="Times New Roman"/>
          <w:b/>
          <w:i w:val="false"/>
          <w:color w:val="000000"/>
          <w:sz w:val="22"/>
        </w:rPr>
        <w:t>441—163.6</w:t>
      </w:r>
      <w:r>
        <w:rPr>
          <w:rFonts w:ascii="Times New Roman" w:hAnsi="Times New Roman"/>
          <w:b/>
          <w:i w:val="false"/>
          <w:color w:val="000000"/>
          <w:sz w:val="22"/>
        </w:rPr>
        <w:t xml:space="preserve">(234) </w:t>
      </w:r>
      <w:r>
        <w:rPr>
          <w:rFonts w:ascii="Times New Roman" w:hAnsi="Times New Roman"/>
          <w:b/>
          <w:i w:val="false"/>
          <w:color w:val="000000"/>
          <w:sz w:val="22"/>
        </w:rPr>
        <w:t xml:space="preserve">Project contracts. </w:t>
      </w:r>
      <w:r>
        <w:rPr>
          <w:rFonts w:ascii="Times New Roman" w:hAnsi="Times New Roman"/>
          <w:b w:val="false"/>
          <w:i w:val="false"/>
          <w:color w:val="000000"/>
          <w:sz w:val="22"/>
        </w:rPr>
        <w:t>The funds for approved applications will be awarded through a contract entered into by the director and the applicant. The contract period shall not exceed the state fiscal year in which the contract is awarded. The state fiscal year is from July 1 to June 30. Expenditures shall be reimbursed monthly pursuant to regular reimbursement procedures of the state of Iowa. Grantees will submit a projected yearly expenditure on April 15. Those projects expecting to spend more than 10 percent less than their granted amount shall free the excess for the purpose of providing supplemental funding to those grantees who wish to apply.</w:t>
      </w:r>
    </w:p>
    <w:p>
      <w:pPr>
        <w:spacing w:before="210" w:after="0"/>
        <w:ind w:left="120"/>
        <w:jc w:val="both"/>
      </w:pPr>
      <w:r>
        <w:rPr>
          <w:rFonts w:ascii="Times New Roman" w:hAnsi="Times New Roman"/>
          <w:b/>
          <w:i w:val="false"/>
          <w:color w:val="000000"/>
          <w:sz w:val="22"/>
        </w:rPr>
        <w:t>441—163.7</w:t>
      </w:r>
      <w:r>
        <w:rPr>
          <w:rFonts w:ascii="Times New Roman" w:hAnsi="Times New Roman"/>
          <w:b/>
          <w:i w:val="false"/>
          <w:color w:val="000000"/>
          <w:sz w:val="22"/>
        </w:rPr>
        <w:t xml:space="preserve">(234) </w:t>
      </w:r>
      <w:r>
        <w:rPr>
          <w:rFonts w:ascii="Times New Roman" w:hAnsi="Times New Roman"/>
          <w:b/>
          <w:i w:val="false"/>
          <w:color w:val="000000"/>
          <w:sz w:val="22"/>
        </w:rPr>
        <w:t xml:space="preserve">Records. </w:t>
      </w:r>
      <w:r>
        <w:rPr>
          <w:rFonts w:ascii="Times New Roman" w:hAnsi="Times New Roman"/>
          <w:b w:val="false"/>
          <w:i w:val="false"/>
          <w:color w:val="000000"/>
          <w:sz w:val="22"/>
        </w:rPr>
        <w:t>Providers shall keep client and specific fiscal records of services provided and any other records as required by the department and specified in the contract.</w:t>
      </w:r>
    </w:p>
    <w:p>
      <w:pPr>
        <w:spacing w:before="0" w:after="0"/>
        <w:ind w:left="120"/>
        <w:jc w:val="both"/>
      </w:pPr>
      <w:r>
        <w:rPr>
          <w:rFonts w:ascii="Times New Roman" w:hAnsi="Times New Roman"/>
          <w:b/>
          <w:i w:val="false"/>
          <w:color w:val="000000"/>
          <w:sz w:val="22"/>
        </w:rPr>
        <w:t>441—163.8</w:t>
      </w:r>
      <w:r>
        <w:rPr>
          <w:rFonts w:ascii="Times New Roman" w:hAnsi="Times New Roman"/>
          <w:b/>
          <w:i w:val="false"/>
          <w:color w:val="000000"/>
          <w:sz w:val="22"/>
        </w:rPr>
        <w:t xml:space="preserve">(234) </w:t>
      </w:r>
      <w:r>
        <w:rPr>
          <w:rFonts w:ascii="Times New Roman" w:hAnsi="Times New Roman"/>
          <w:b/>
          <w:i w:val="false"/>
          <w:color w:val="000000"/>
          <w:sz w:val="22"/>
        </w:rPr>
        <w:t xml:space="preserve">Evaluation. </w:t>
      </w:r>
      <w:r>
        <w:rPr>
          <w:rFonts w:ascii="Times New Roman" w:hAnsi="Times New Roman"/>
          <w:b w:val="false"/>
          <w:i w:val="false"/>
          <w:color w:val="000000"/>
          <w:sz w:val="22"/>
        </w:rPr>
        <w:t>The department shall evaluate the provider at least once prior to the end of the contract year to determine how well the purposes and goals are being met and shall provide ongoing feedback to the provider. Funds are to be spent to meet program goals as provided in the contract.</w:t>
      </w:r>
    </w:p>
    <w:p>
      <w:pPr>
        <w:spacing w:before="0" w:after="0"/>
        <w:ind w:left="120"/>
        <w:jc w:val="both"/>
      </w:pPr>
      <w:r>
        <w:rPr>
          <w:rFonts w:ascii="Times New Roman" w:hAnsi="Times New Roman"/>
          <w:b w:val="false"/>
          <w:i w:val="false"/>
          <w:color w:val="000000"/>
          <w:sz w:val="22"/>
        </w:rPr>
        <w:t>Grantees shall be required to submit quarterly reports. All grantees shall cooperate with the statewide evaluation grantee and provide all requested information. The evaluation grantee shall provide a written yearly report to the department.</w:t>
      </w:r>
    </w:p>
    <w:p>
      <w:pPr>
        <w:spacing w:before="0" w:after="0"/>
        <w:ind w:left="120"/>
        <w:jc w:val="both"/>
      </w:pPr>
      <w:r>
        <w:rPr>
          <w:rFonts w:ascii="Times New Roman" w:hAnsi="Times New Roman"/>
          <w:b/>
          <w:i w:val="false"/>
          <w:color w:val="000000"/>
          <w:sz w:val="22"/>
        </w:rPr>
        <w:t>441—163.9</w:t>
      </w:r>
      <w:r>
        <w:rPr>
          <w:rFonts w:ascii="Times New Roman" w:hAnsi="Times New Roman"/>
          <w:b/>
          <w:i w:val="false"/>
          <w:color w:val="000000"/>
          <w:sz w:val="22"/>
        </w:rPr>
        <w:t xml:space="preserve">(234) </w:t>
      </w:r>
      <w:r>
        <w:rPr>
          <w:rFonts w:ascii="Times New Roman" w:hAnsi="Times New Roman"/>
          <w:b/>
          <w:i w:val="false"/>
          <w:color w:val="000000"/>
          <w:sz w:val="22"/>
        </w:rPr>
        <w:t xml:space="preserve">Termination of contract. </w:t>
      </w:r>
      <w:r>
        <w:rPr>
          <w:rFonts w:ascii="Times New Roman" w:hAnsi="Times New Roman"/>
          <w:b w:val="false"/>
          <w:i w:val="false"/>
          <w:color w:val="000000"/>
          <w:sz w:val="22"/>
        </w:rPr>
        <w:t>The contract may be terminated by either party at any time during the contract period by giving 30 days’ notice to the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163.9(1)</w:t>
      </w:r>
      <w:r>
        <w:rPr>
          <w:rFonts w:ascii="Times New Roman" w:hAnsi="Times New Roman"/>
          <w:b w:val="false"/>
          <w:i w:val="false"/>
          <w:color w:val="000000"/>
          <w:sz w:val="22"/>
        </w:rPr>
        <w:t> </w:t>
      </w:r>
      <w:r>
        <w:rPr>
          <w:rFonts w:ascii="Times New Roman" w:hAnsi="Times New Roman"/>
          <w:b w:val="false"/>
          <w:i w:val="false"/>
          <w:color w:val="000000"/>
          <w:sz w:val="22"/>
        </w:rPr>
        <w:t>The department may terminate a contract upon ten days’ notice when the provider or any of its subcontractors fail to comply with the grant award stipulations, standards, or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163.9(2)</w:t>
      </w:r>
      <w:r>
        <w:rPr>
          <w:rFonts w:ascii="Times New Roman" w:hAnsi="Times New Roman"/>
          <w:b w:val="false"/>
          <w:i w:val="false"/>
          <w:color w:val="000000"/>
          <w:sz w:val="22"/>
        </w:rPr>
        <w:t> </w:t>
      </w:r>
      <w:r>
        <w:rPr>
          <w:rFonts w:ascii="Times New Roman" w:hAnsi="Times New Roman"/>
          <w:b w:val="false"/>
          <w:i w:val="false"/>
          <w:color w:val="000000"/>
          <w:sz w:val="22"/>
        </w:rPr>
        <w:t>Within 45 days of the termination, the provider shall supply the department with a financial statement detailing all costs up to the effective date of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163.9(3)</w:t>
      </w:r>
      <w:r>
        <w:rPr>
          <w:rFonts w:ascii="Times New Roman" w:hAnsi="Times New Roman"/>
          <w:b w:val="false"/>
          <w:i w:val="false"/>
          <w:color w:val="000000"/>
          <w:sz w:val="22"/>
        </w:rPr>
        <w:t> </w:t>
      </w:r>
      <w:r>
        <w:rPr>
          <w:rFonts w:ascii="Times New Roman" w:hAnsi="Times New Roman"/>
          <w:b w:val="false"/>
          <w:i w:val="false"/>
          <w:color w:val="000000"/>
          <w:sz w:val="22"/>
        </w:rPr>
        <w:t>The department shall administer the funds for this program contingent upon their availability. If the department lacks the funds necessary to fulfill its fiscal responsibility under this program, the contracts shall be terminated or renegotiated.</w:t>
      </w:r>
    </w:p>
    <w:p>
      <w:pPr>
        <w:spacing w:before="0" w:after="0"/>
        <w:ind w:left="120"/>
        <w:jc w:val="both"/>
      </w:pPr>
      <w:r>
        <w:rPr>
          <w:rFonts w:ascii="Times New Roman" w:hAnsi="Times New Roman"/>
          <w:b/>
          <w:i w:val="false"/>
          <w:color w:val="000000"/>
          <w:sz w:val="22"/>
        </w:rPr>
        <w:t>441—163.10</w:t>
      </w:r>
      <w:r>
        <w:rPr>
          <w:rFonts w:ascii="Times New Roman" w:hAnsi="Times New Roman"/>
          <w:b/>
          <w:i w:val="false"/>
          <w:color w:val="000000"/>
          <w:sz w:val="22"/>
        </w:rPr>
        <w:t xml:space="preserve">(234) </w:t>
      </w:r>
      <w:r>
        <w:rPr>
          <w:rFonts w:ascii="Times New Roman" w:hAnsi="Times New Roman"/>
          <w:b/>
          <w:i w:val="false"/>
          <w:color w:val="000000"/>
          <w:sz w:val="22"/>
        </w:rPr>
        <w:t xml:space="preserve">Appeals. </w:t>
      </w:r>
      <w:r>
        <w:rPr>
          <w:rFonts w:ascii="Times New Roman" w:hAnsi="Times New Roman"/>
          <w:b w:val="false"/>
          <w:i w:val="false"/>
          <w:color w:val="000000"/>
          <w:sz w:val="22"/>
        </w:rPr>
        <w:t>Applicants dissatisfied with the grant designation committee’s decision may file an appeal with the director. The letter of appeal must be received within ten working days of the date of the notice of decision; must be based on a contention that the process was conducted outside of statutory authority, violated state or federal law, policy or rule, did not provide adequate public notice, was altered without adequate public notice, or involved conflict of interest by staff or committee members; and must include a request for the director to review the decision and the reasons for dissatisfaction. Within ten working days of the receipt of the appeal the director will review the appeal request and issue a final decision.</w:t>
      </w:r>
    </w:p>
    <w:p>
      <w:pPr>
        <w:spacing w:before="0" w:after="0"/>
        <w:ind w:left="120"/>
        <w:jc w:val="both"/>
      </w:pPr>
      <w:r>
        <w:rPr>
          <w:rFonts w:ascii="Times New Roman" w:hAnsi="Times New Roman"/>
          <w:b w:val="false"/>
          <w:i w:val="false"/>
          <w:color w:val="000000"/>
          <w:sz w:val="22"/>
        </w:rPr>
        <w:t>No disbursements will be made to any applicant for a period of ten calendar days following the notice of decision. If an appeal is filed within the ten days, all disbursements will be held pending a final decision on the appeal. All applicants involved will be notified if an appeal is filed and given the opportunity to be included as a party in the appeal.</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6/14/90—published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10/14/98, Notice 8/26/98—published 11/4/98, effective 1/1/99]</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4.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