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159</w:t>
      </w:r>
    </w:p>
    <w:p>
      <w:pPr>
        <w:spacing w:before="0" w:after="0"/>
        <w:ind w:left="120"/>
        <w:jc w:val="center"/>
      </w:pPr>
      <w:r>
        <w:rPr>
          <w:rFonts w:ascii="Times New Roman" w:hAnsi="Times New Roman"/>
          <w:b w:val="false"/>
          <w:i w:val="false"/>
          <w:color w:val="000000"/>
          <w:sz w:val="21"/>
        </w:rPr>
        <w:t>CHILD CARE RESOURCE AND REFERRAL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the process for awarding grants for the delivery of child care resource and referral services.</w:t>
      </w:r>
    </w:p>
    <w:p>
      <w:pPr>
        <w:spacing w:before="0" w:after="0"/>
        <w:ind w:left="120"/>
        <w:jc w:val="both"/>
      </w:pPr>
      <w:r>
        <w:rPr>
          <w:rFonts w:ascii="Times New Roman" w:hAnsi="Times New Roman"/>
          <w:b/>
          <w:i w:val="false"/>
          <w:color w:val="000000"/>
          <w:sz w:val="22"/>
        </w:rPr>
        <w:t>441—159.1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agency that applies for a contract as a regional child care resource and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means a child care center, preschool, or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resource and referral agency” </w:t>
      </w:r>
      <w:r>
        <w:rPr>
          <w:rFonts w:ascii="Times New Roman" w:hAnsi="Times New Roman"/>
          <w:b w:val="false"/>
          <w:i w:val="false"/>
          <w:color w:val="000000"/>
          <w:sz w:val="22"/>
        </w:rPr>
        <w:t xml:space="preserve">means a community-based nonprofit incorporated agency or public agency that is under a contract with the department to provide resource and referral services as defined in subrule </w:t>
      </w:r>
      <w:hyperlink r:id="rId5">
        <w:r>
          <w:rPr>
            <w:rStyle w:val="Hyperlink"/>
            <w:rFonts w:ascii="Times New Roman" w:hAnsi="Times New Roman"/>
            <w:b w:val="false"/>
            <w:i w:val="false"/>
            <w:color w:val="000000"/>
            <w:sz w:val="22"/>
          </w:rPr>
          <w:t>159.3(1)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 </w:t>
      </w:r>
      <w:r>
        <w:rPr>
          <w:rFonts w:ascii="Times New Roman" w:hAnsi="Times New Roman"/>
          <w:b w:val="false"/>
          <w:i w:val="false"/>
          <w:color w:val="000000"/>
          <w:sz w:val="22"/>
        </w:rPr>
        <w:t>means the service area of the child care resource and referral agency as determined in the contract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8654B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441—159.2</w:t>
      </w:r>
      <w:r>
        <w:rPr>
          <w:rFonts w:ascii="Times New Roman" w:hAnsi="Times New Roman"/>
          <w:b/>
          <w:i w:val="false"/>
          <w:color w:val="000000"/>
          <w:sz w:val="22"/>
        </w:rPr>
        <w:t xml:space="preserve">(237A)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In any year in which funds are available for child care resource and referral services, the department shall award grants for child care resource and referral services pursuant to a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159.2(1)</w:t>
      </w:r>
      <w:r>
        <w:rPr>
          <w:rFonts w:ascii="Times New Roman" w:hAnsi="Times New Roman"/>
          <w:b w:val="false"/>
          <w:i w:val="false"/>
          <w:color w:val="000000"/>
          <w:sz w:val="22"/>
        </w:rPr>
        <w:t> </w:t>
      </w:r>
      <w:r>
        <w:rPr>
          <w:rFonts w:ascii="Times New Roman" w:hAnsi="Times New Roman"/>
          <w:b w:val="false"/>
          <w:i w:val="false"/>
          <w:color w:val="000000"/>
          <w:sz w:val="22"/>
        </w:rPr>
        <w:t>The total amount of grant moneys awarded shall be contingent upon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159.2(2)</w:t>
      </w:r>
      <w:r>
        <w:rPr>
          <w:rFonts w:ascii="Times New Roman" w:hAnsi="Times New Roman"/>
          <w:b w:val="false"/>
          <w:i w:val="false"/>
          <w:color w:val="000000"/>
          <w:sz w:val="22"/>
        </w:rPr>
        <w:t> </w:t>
      </w:r>
      <w:r>
        <w:rPr>
          <w:rFonts w:ascii="Times New Roman" w:hAnsi="Times New Roman"/>
          <w:b w:val="false"/>
          <w:i w:val="false"/>
          <w:color w:val="000000"/>
          <w:sz w:val="22"/>
        </w:rPr>
        <w:t>Grants shall be issued on a regional basis. The department shall determine the amount of grant money available for each region based upon the factors set forth in the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8654B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441—159.3</w:t>
      </w:r>
      <w:r>
        <w:rPr>
          <w:rFonts w:ascii="Times New Roman" w:hAnsi="Times New Roman"/>
          <w:b/>
          <w:i w:val="false"/>
          <w:color w:val="000000"/>
          <w:sz w:val="22"/>
        </w:rPr>
        <w:t xml:space="preserve">(237A) </w:t>
      </w:r>
      <w:r>
        <w:rPr>
          <w:rFonts w:ascii="Times New Roman" w:hAnsi="Times New Roman"/>
          <w:b/>
          <w:i w:val="false"/>
          <w:color w:val="000000"/>
          <w:sz w:val="22"/>
        </w:rPr>
        <w:t xml:space="preserve">Participation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159.3(1)</w:t>
      </w:r>
      <w:r>
        <w:rPr>
          <w:rFonts w:ascii="Times New Roman" w:hAnsi="Times New Roman"/>
          <w:b w:val="false"/>
          <w:i w:val="false"/>
          <w:color w:val="000000"/>
          <w:sz w:val="22"/>
        </w:rPr>
        <w:t> </w:t>
      </w:r>
      <w:r>
        <w:rPr>
          <w:rFonts w:ascii="Times New Roman" w:hAnsi="Times New Roman"/>
          <w:b w:val="false"/>
          <w:i/>
          <w:color w:val="000000"/>
          <w:sz w:val="22"/>
        </w:rPr>
        <w:t xml:space="preserve">Resource and referral services. </w:t>
      </w:r>
      <w:r>
        <w:rPr>
          <w:rFonts w:ascii="Times New Roman" w:hAnsi="Times New Roman"/>
          <w:b w:val="false"/>
          <w:i w:val="false"/>
          <w:color w:val="000000"/>
          <w:sz w:val="22"/>
        </w:rPr>
        <w:t>Grants will be awarded to community-based nonprofit incorporated agencies and public agencies that have the capacity to provide all of the following types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shall assist families in selecting quality child care and shall provide referrals to child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may provide referrals to child care homes and may provide specialized referral services to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Provider services. </w:t>
      </w:r>
      <w:r>
        <w:rPr>
          <w:rFonts w:ascii="Times New Roman" w:hAnsi="Times New Roman"/>
          <w:b w:val="false"/>
          <w:i w:val="false"/>
          <w:color w:val="000000"/>
          <w:sz w:val="22"/>
        </w:rPr>
        <w:t>The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child care providers in adopting developmentally appropriate programs and sustainable business practices to provide quality child care services through the delivery of consultation, training, and other resources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the development of new child care facilities and the expansion of existing child care facilities in response to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Encourage participation of eligible child care facilities in the federal Child and Adult Care Food Program (CACFP).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Community services. </w:t>
      </w:r>
      <w:r>
        <w:rPr>
          <w:rFonts w:ascii="Times New Roman" w:hAnsi="Times New Roman"/>
          <w:b w:val="false"/>
          <w:i w:val="false"/>
          <w:color w:val="000000"/>
          <w:sz w:val="22"/>
        </w:rPr>
        <w:t>The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public regarding the availability and quality of child care services within the agency’s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Coordinate with other public and private entities and services within the region. Activities shall include coordinating with community-level efforts to improve the consistency and quality of data collection, consultation and other supports to child care homes and child development homes, particularly the efforts of home consultants funded by a community empowerment area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The agency shall offer such other services as set forth in the request for proposals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159.3(2)</w:t>
      </w:r>
      <w:r>
        <w:rPr>
          <w:rFonts w:ascii="Times New Roman" w:hAnsi="Times New Roman"/>
          <w:b w:val="false"/>
          <w:i w:val="false"/>
          <w:color w:val="000000"/>
          <w:sz w:val="22"/>
        </w:rPr>
        <w:t> </w:t>
      </w:r>
      <w:r>
        <w:rPr>
          <w:rFonts w:ascii="Times New Roman" w:hAnsi="Times New Roman"/>
          <w:b w:val="false"/>
          <w:i/>
          <w:color w:val="000000"/>
          <w:sz w:val="22"/>
        </w:rPr>
        <w:t xml:space="preserve">Matching funds. </w:t>
      </w:r>
      <w:r>
        <w:rPr>
          <w:rFonts w:ascii="Times New Roman" w:hAnsi="Times New Roman"/>
          <w:b w:val="false"/>
          <w:i w:val="false"/>
          <w:color w:val="000000"/>
          <w:sz w:val="22"/>
        </w:rPr>
        <w:t>The agency must provide a financial match of the grant award as set forth in the request for proposals. Eligible match includes in-kind contributions, private donations and public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8654B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441—159.4</w:t>
      </w:r>
      <w:r>
        <w:rPr>
          <w:rFonts w:ascii="Times New Roman" w:hAnsi="Times New Roman"/>
          <w:b/>
          <w:i w:val="false"/>
          <w:color w:val="000000"/>
          <w:sz w:val="22"/>
        </w:rPr>
        <w:t xml:space="preserve">(237A) </w:t>
      </w:r>
      <w:r>
        <w:rPr>
          <w:rFonts w:ascii="Times New Roman" w:hAnsi="Times New Roman"/>
          <w:b/>
          <w:i w:val="false"/>
          <w:color w:val="000000"/>
          <w:sz w:val="22"/>
        </w:rPr>
        <w:t xml:space="preserve">Request for proposals for project grants. </w:t>
      </w:r>
      <w:r>
        <w:rPr>
          <w:rFonts w:ascii="Times New Roman" w:hAnsi="Times New Roman"/>
          <w:b w:val="false"/>
          <w:i w:val="false"/>
          <w:color w:val="000000"/>
          <w:sz w:val="22"/>
        </w:rPr>
        <w:t>The department shall announce the request for proposals through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159.4(1)</w:t>
      </w:r>
      <w:r>
        <w:rPr>
          <w:rFonts w:ascii="Times New Roman" w:hAnsi="Times New Roman"/>
          <w:b w:val="false"/>
          <w:i w:val="false"/>
          <w:color w:val="000000"/>
          <w:sz w:val="22"/>
        </w:rPr>
        <w:t> </w:t>
      </w:r>
      <w:r>
        <w:rPr>
          <w:rFonts w:ascii="Times New Roman" w:hAnsi="Times New Roman"/>
          <w:b w:val="false"/>
          <w:i/>
          <w:color w:val="000000"/>
          <w:sz w:val="22"/>
        </w:rPr>
        <w:t xml:space="preserve">Proposal submittal. </w:t>
      </w:r>
      <w:r>
        <w:rPr>
          <w:rFonts w:ascii="Times New Roman" w:hAnsi="Times New Roman"/>
          <w:b w:val="false"/>
          <w:i w:val="false"/>
          <w:color w:val="000000"/>
          <w:sz w:val="22"/>
        </w:rPr>
        <w:t>All applicants shall submit proposals to Iowa Department of Human Services, Bureau of Child Care, Hoover State Office Building, Fifth Floor, 1305 E. Walnut,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159.4(2)</w:t>
      </w:r>
      <w:r>
        <w:rPr>
          <w:rFonts w:ascii="Times New Roman" w:hAnsi="Times New Roman"/>
          <w:b w:val="false"/>
          <w:i w:val="false"/>
          <w:color w:val="000000"/>
          <w:sz w:val="22"/>
        </w:rPr>
        <w:t> </w:t>
      </w:r>
      <w:r>
        <w:rPr>
          <w:rFonts w:ascii="Times New Roman" w:hAnsi="Times New Roman"/>
          <w:b w:val="false"/>
          <w:i/>
          <w:color w:val="000000"/>
          <w:sz w:val="22"/>
        </w:rPr>
        <w:t xml:space="preserve">Proposal requirements. </w:t>
      </w:r>
      <w:r>
        <w:rPr>
          <w:rFonts w:ascii="Times New Roman" w:hAnsi="Times New Roman"/>
          <w:b w:val="false"/>
          <w:i w:val="false"/>
          <w:color w:val="000000"/>
          <w:sz w:val="22"/>
        </w:rPr>
        <w:t>To be eligible for review, a proposal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received by the due date specified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the form prescribed by the department in the request for proposals;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the requirements set forth in the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8654B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441—159.5</w:t>
      </w:r>
      <w:r>
        <w:rPr>
          <w:rFonts w:ascii="Times New Roman" w:hAnsi="Times New Roman"/>
          <w:b/>
          <w:i w:val="false"/>
          <w:color w:val="000000"/>
          <w:sz w:val="22"/>
        </w:rPr>
        <w:t xml:space="preserve">(237A) </w:t>
      </w:r>
      <w:r>
        <w:rPr>
          <w:rFonts w:ascii="Times New Roman" w:hAnsi="Times New Roman"/>
          <w:b/>
          <w:i w:val="false"/>
          <w:color w:val="000000"/>
          <w:sz w:val="22"/>
        </w:rPr>
        <w:t xml:space="preserve">Selection of proposals. </w:t>
      </w:r>
      <w:r>
        <w:rPr>
          <w:rFonts w:ascii="Times New Roman" w:hAnsi="Times New Roman"/>
          <w:b w:val="false"/>
          <w:i w:val="false"/>
          <w:color w:val="000000"/>
          <w:sz w:val="22"/>
        </w:rPr>
        <w:t>The selection criteria for the grants shall be set forth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159.5(1)</w:t>
      </w:r>
      <w:r>
        <w:rPr>
          <w:rFonts w:ascii="Times New Roman" w:hAnsi="Times New Roman"/>
          <w:b w:val="false"/>
          <w:i w:val="false"/>
          <w:color w:val="000000"/>
          <w:sz w:val="22"/>
        </w:rPr>
        <w:t> </w:t>
      </w:r>
      <w:r>
        <w:rPr>
          <w:rFonts w:ascii="Times New Roman" w:hAnsi="Times New Roman"/>
          <w:b w:val="false"/>
          <w:i w:val="false"/>
          <w:color w:val="000000"/>
          <w:sz w:val="22"/>
        </w:rPr>
        <w:t>The director shall make the final decision regarding grants awarded to applicants. Only one grant shall be awarded in each specified region to the agency that best meets the criteria set forth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159.5(2)</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award grants for less than the amount of appropriated funds if there is an insufficient number of acceptable proposals submitted to adequately achieve the purpose of child care resource and referral services statewide.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8654B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237A.26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9/1/88, Notice 6/29/88—published 9/21/88, effective 11/1/88]</w:t>
      </w:r>
    </w:p>
    <w:p>
      <w:pPr>
        <w:spacing w:before="0" w:after="0"/>
        <w:ind w:left="120"/>
        <w:jc w:val="center"/>
      </w:pPr>
      <w:r>
        <w:rPr>
          <w:rFonts w:ascii="Times New Roman" w:hAnsi="Times New Roman"/>
          <w:b w:val="false"/>
          <w:i w:val="false"/>
          <w:color w:val="000000"/>
          <w:sz w:val="21"/>
        </w:rPr>
        <w:t>[Filed emergency 6/14/90—published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ARC 8654B</w:t>
      </w:r>
      <w:r>
        <w:rPr>
          <w:rFonts w:ascii="Times New Roman" w:hAnsi="Times New Roman"/>
          <w:b w:val="false"/>
          <w:i w:val="false"/>
          <w:color w:val="000000"/>
          <w:sz w:val="21"/>
        </w:rPr>
        <w:t xml:space="preserve"> (Notice ARC 8459B, IAB 1/13/10)</w:t>
      </w:r>
      <w:r>
        <w:rPr>
          <w:rFonts w:ascii="Times New Roman" w:hAnsi="Times New Roman"/>
          <w:b w:val="false"/>
          <w:i w:val="false"/>
          <w:color w:val="000000"/>
          <w:sz w:val="21"/>
        </w:rPr>
        <w:t>, IAB 4/7/10, effective 6/1/10]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59.3.pdf" Type="http://schemas.openxmlformats.org/officeDocument/2006/relationships/hyperlink" Id="rId5"/>
    <Relationship TargetMode="External" Target="https://www.legis.iowa.gov/docs/ico/chapter/237A.2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