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PAYMENTS FOR FOSTER CARE</w:t>
      </w:r>
    </w:p>
    <w:p>
      <w:pPr>
        <w:spacing w:before="0" w:after="0"/>
        <w:ind w:left="120"/>
        <w:jc w:val="center"/>
      </w:pPr>
      <w:r>
        <w:rPr>
          <w:rFonts w:ascii="Times New Roman" w:hAnsi="Times New Roman"/>
          <w:b w:val="false"/>
          <w:i w:val="false"/>
          <w:color w:val="000000"/>
          <w:sz w:val="14"/>
        </w:rPr>
        <w:t>[Prior to 7/1/83, Social Services[770] Ch 137]</w:t>
      </w:r>
    </w:p>
    <w:p>
      <w:pPr>
        <w:spacing w:before="0" w:after="0"/>
        <w:ind w:left="120"/>
        <w:jc w:val="center"/>
      </w:pPr>
      <w:r>
        <w:rPr>
          <w:rFonts w:ascii="Times New Roman" w:hAnsi="Times New Roman"/>
          <w:b w:val="false"/>
          <w:i w:val="false"/>
          <w:color w:val="000000"/>
          <w:sz w:val="14"/>
        </w:rPr>
        <w:t>[Previously appeared as Ch 137—renumbered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441—156.1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welfare services” </w:t>
      </w:r>
      <w:r>
        <w:rPr>
          <w:rFonts w:ascii="Times New Roman" w:hAnsi="Times New Roman"/>
          <w:b w:val="false"/>
          <w:i w:val="false"/>
          <w:color w:val="000000"/>
          <w:sz w:val="22"/>
        </w:rPr>
        <w:t>means age-appropriate activities to maintain a child’s connection to the child’s family and community, to promote reunification or other permanent placement, and to facilitate a child’s transition to adulthood.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of foster care” </w:t>
      </w:r>
      <w:r>
        <w:rPr>
          <w:rFonts w:ascii="Times New Roman" w:hAnsi="Times New Roman"/>
          <w:b w:val="false"/>
          <w:i w:val="false"/>
          <w:color w:val="000000"/>
          <w:sz w:val="22"/>
        </w:rPr>
        <w:t>means the maintenance and supervision costs of foster family care, the maintenance costs and child welfare service costs of group care, and the maintenance and service costs of supervised apartment living and shelter care. The cost for foster family care supervision and for supervised apartment living services provided directly by the department caseworker shall be $250 per month. When using this average monthly charge results in unearned income or parental liability being collected in excess of the cost of foster care, the excess funds shall be placed in the child’s escrow account. The cost for supervised apartment living services purchased from a private provider shall be the actual costs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human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means income in the form of a salary, wages, tips, bonuses, commissions earned as an employee, income from job corps or profit from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“Escrow account” </w:t>
      </w:r>
      <w:r>
        <w:rPr>
          <w:rFonts w:ascii="Times New Roman" w:hAnsi="Times New Roman"/>
          <w:b w:val="false"/>
          <w:i w:val="false"/>
          <w:color w:val="000000"/>
          <w:sz w:val="22"/>
        </w:rPr>
        <w:t>means an interest bearing account in a bank or savings and loan association that is maintained by the department in the name of a particular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foster care supervision” </w:t>
      </w:r>
      <w:r>
        <w:rPr>
          <w:rFonts w:ascii="Times New Roman" w:hAnsi="Times New Roman"/>
          <w:b w:val="false"/>
          <w:i w:val="false"/>
          <w:color w:val="000000"/>
          <w:sz w:val="22"/>
        </w:rPr>
        <w:t>means the support, assistance, and oversight provided by department caseworkers to children in family foster care and directed toward achievement of the child’s permanency plan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care” </w:t>
      </w:r>
      <w:r>
        <w:rPr>
          <w:rFonts w:ascii="Times New Roman" w:hAnsi="Times New Roman"/>
          <w:b w:val="false"/>
          <w:i w:val="false"/>
          <w:color w:val="000000"/>
          <w:sz w:val="22"/>
        </w:rPr>
        <w:t>means substitute care furnished on a 24-hour-a-day basis to an eligible child in a licensed or approved facility by a person or agency other than the child’s parent or guardian but does not include care provided in a family home through an informal arrangement for a period of 20 days or less. Child foster care shall include but is not limited to the provision of food, lodging, training, education, supervision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family care” </w:t>
      </w:r>
      <w:r>
        <w:rPr>
          <w:rFonts w:ascii="Times New Roman" w:hAnsi="Times New Roman"/>
          <w:b w:val="false"/>
          <w:i w:val="false"/>
          <w:color w:val="000000"/>
          <w:sz w:val="22"/>
        </w:rPr>
        <w:t xml:space="preserve">means foster care provided by a foster family licensed by the department according to </w:t>
      </w:r>
      <w:hyperlink r:id="rId5">
        <w:r>
          <w:rPr>
            <w:rStyle w:val="Hyperlink"/>
            <w:rFonts w:ascii="Times New Roman" w:hAnsi="Times New Roman"/>
            <w:b w:val="false"/>
            <w:i w:val="false"/>
            <w:color w:val="000000"/>
            <w:sz w:val="22"/>
          </w:rPr>
          <w:t>441—Chapter 113</w:t>
        </w:r>
      </w:hyperlink>
      <w:r>
        <w:rPr>
          <w:rFonts w:ascii="Times New Roman" w:hAnsi="Times New Roman"/>
          <w:b w:val="false"/>
          <w:i w:val="false"/>
          <w:color w:val="000000"/>
          <w:sz w:val="22"/>
        </w:rPr>
        <w:t xml:space="preserve"> or licensed or approved by the placing state. The care includes the provision of food, lodging, clothing, transportation, recreation, and training that is appropriate for the child’s age and mental and physical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care maintenance” </w:t>
      </w:r>
      <w:r>
        <w:rPr>
          <w:rFonts w:ascii="Times New Roman" w:hAnsi="Times New Roman"/>
          <w:b w:val="false"/>
          <w:i w:val="false"/>
          <w:color w:val="000000"/>
          <w:sz w:val="22"/>
        </w:rPr>
        <w:t>means food, clothing, shelter, school supplies, personal incidentals, daily care, general parenting, discipline, and supervision of children to ensure their well-being and safety, and administration of maintenance items provided in a group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means earned and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means the amount by which the consumer price index for all urban consumers increased during the calendar year ending December 31 that preceded the contractor’s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“Intellectual disabilities professional” </w:t>
      </w:r>
      <w:r>
        <w:rPr>
          <w:rFonts w:ascii="Times New Roman" w:hAnsi="Times New Roman"/>
          <w:b w:val="false"/>
          <w:i w:val="false"/>
          <w:color w:val="000000"/>
          <w:sz w:val="22"/>
        </w:rPr>
        <w:t>means a psychologist, physician, registered nurse, educator, social worker, physical or occupational therapist, speech therapist or audiologist who meets the educational requirements for the profession, as required in the state of Iowa, and has at least one year of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“Kinship caregiver” </w:t>
      </w:r>
      <w:r>
        <w:rPr>
          <w:rFonts w:ascii="Times New Roman" w:hAnsi="Times New Roman"/>
          <w:b w:val="false"/>
          <w:i w:val="false"/>
          <w:color w:val="000000"/>
          <w:sz w:val="22"/>
        </w:rPr>
        <w:t xml:space="preserve">means, for this chapter only, a person to whom a child is related by blood, marriage, or adoption, or a person who has a significant, committed, positive relationship with the child, who is caring for a child in foster care, pursuant to Iowa Code chapter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means a person who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psychiatric nursing and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the biological or adoptive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“Parental liability” </w:t>
      </w:r>
      <w:r>
        <w:rPr>
          <w:rFonts w:ascii="Times New Roman" w:hAnsi="Times New Roman"/>
          <w:b w:val="false"/>
          <w:i w:val="false"/>
          <w:color w:val="000000"/>
          <w:sz w:val="22"/>
        </w:rPr>
        <w:t xml:space="preserve">means a parent’s liability for the support of a child during the period of foster care placement. Liability shall be determined pursuant to </w:t>
      </w:r>
      <w:hyperlink r:id="rId7">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Division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licensed medical or osteopathic doctor as defined in Iowa Code section </w:t>
      </w:r>
      <w:hyperlink r:id="rId8">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“Prevailing rate” </w:t>
      </w:r>
      <w:r>
        <w:rPr>
          <w:rFonts w:ascii="Times New Roman" w:hAnsi="Times New Roman"/>
          <w:b w:val="false"/>
          <w:i w:val="false"/>
          <w:color w:val="000000"/>
          <w:sz w:val="22"/>
        </w:rPr>
        <w:t>means the maximum combined service and maintenance reimbursement rate the department pays to contracted shelter care providers as authorized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the entity that has executed a contract with the department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manager” </w:t>
      </w:r>
      <w:r>
        <w:rPr>
          <w:rFonts w:ascii="Times New Roman" w:hAnsi="Times New Roman"/>
          <w:b w:val="false"/>
          <w:i w:val="false"/>
          <w:color w:val="000000"/>
          <w:sz w:val="22"/>
        </w:rPr>
        <w:t>means the department employee or designee responsible for managing department offices and personnel within the service area and for implementing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needs child” </w:t>
      </w:r>
      <w:r>
        <w:rPr>
          <w:rFonts w:ascii="Times New Roman" w:hAnsi="Times New Roman"/>
          <w:b w:val="false"/>
          <w:i w:val="false"/>
          <w:color w:val="000000"/>
          <w:sz w:val="22"/>
        </w:rPr>
        <w:t xml:space="preserve">means a child with needs for emotional care, behavioral care, or physical and personal care that require additional skills, knowledge, or responsibility on the part of the foster parents, as measured by Form 470-4401, Foster Child Behavioral Assessment. See subrule </w:t>
      </w:r>
      <w:hyperlink r:id="rId9">
        <w:r>
          <w:rPr>
            <w:rStyle w:val="Hyperlink"/>
            <w:rFonts w:ascii="Times New Roman" w:hAnsi="Times New Roman"/>
            <w:b w:val="false"/>
            <w:i w:val="false"/>
            <w:color w:val="000000"/>
            <w:sz w:val="22"/>
          </w:rPr>
          <w:t>156.6(4)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means any income that is not earned income and includes supplemental security income (SSI) and other funds available to a child residing in a foster care placement.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441—156.2</w:t>
      </w:r>
      <w:r>
        <w:rPr>
          <w:rFonts w:ascii="Times New Roman" w:hAnsi="Times New Roman"/>
          <w:b/>
          <w:i w:val="false"/>
          <w:color w:val="000000"/>
          <w:sz w:val="22"/>
        </w:rPr>
        <w:t xml:space="preserve">(234) </w:t>
      </w:r>
      <w:r>
        <w:rPr>
          <w:rFonts w:ascii="Times New Roman" w:hAnsi="Times New Roman"/>
          <w:b/>
          <w:i w:val="false"/>
          <w:color w:val="000000"/>
          <w:sz w:val="22"/>
        </w:rPr>
        <w:t xml:space="preserve">Foster care recovery. </w:t>
      </w:r>
      <w:r>
        <w:rPr>
          <w:rFonts w:ascii="Times New Roman" w:hAnsi="Times New Roman"/>
          <w:b w:val="false"/>
          <w:i w:val="false"/>
          <w:color w:val="000000"/>
          <w:sz w:val="22"/>
        </w:rPr>
        <w:t xml:space="preserve">The department shall recover the cost of foster care provided by the department pursuant to the rules in this chapter and the rules in </w:t>
      </w:r>
      <w:hyperlink r:id="rId11">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Division I, which establishes policies and procedures for the computation and collection of parental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val="false"/>
          <w:color w:val="000000"/>
          <w:sz w:val="22"/>
        </w:rPr>
        <w:t>Funds shall be applied to the cost of foster care in the following order and each source exhausted before utilizing the next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Unearned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Parental liability of the noncustodial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liability of custodial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serve as payee to receive the child’s unearned income. When a parent or guardian is not available or is unwilling to do so, the department shall be responsible for applying for benefits on behalf of a child placed in the care of the department. Until the department becomes payee, the payee shall forward benefits to the department. For voluntary foster care placements of children aged 18 and over, the child is the payee for the unearned income. The child shall forward these benefits, up to the actual cost of foster care,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val="false"/>
          <w:color w:val="000000"/>
          <w:sz w:val="22"/>
        </w:rPr>
        <w:t>The custodial parent shall assign child support payments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val="false"/>
          <w:color w:val="000000"/>
          <w:sz w:val="22"/>
        </w:rPr>
        <w:t>Unearned income of a child and parental liability of the noncustodial parent shall be placed in an account from whence it shall be applied toward the cost of the child’s current foster care and the remainder placed in an escrow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156.2(5)</w:t>
      </w:r>
      <w:r>
        <w:rPr>
          <w:rFonts w:ascii="Times New Roman" w:hAnsi="Times New Roman"/>
          <w:b w:val="false"/>
          <w:i w:val="false"/>
          <w:color w:val="000000"/>
          <w:sz w:val="22"/>
        </w:rPr>
        <w:t> </w:t>
      </w:r>
      <w:r>
        <w:rPr>
          <w:rFonts w:ascii="Times New Roman" w:hAnsi="Times New Roman"/>
          <w:b w:val="false"/>
          <w:i w:val="false"/>
          <w:color w:val="000000"/>
          <w:sz w:val="22"/>
        </w:rPr>
        <w:t>When a child has funds in escrow these funds may be used by the department to meet the current needs of the child not covered by the foster care payments and not prohibited by the source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156.2(6)</w:t>
      </w:r>
      <w:r>
        <w:rPr>
          <w:rFonts w:ascii="Times New Roman" w:hAnsi="Times New Roman"/>
          <w:b w:val="false"/>
          <w:i w:val="false"/>
          <w:color w:val="000000"/>
          <w:sz w:val="22"/>
        </w:rPr>
        <w:t> </w:t>
      </w:r>
      <w:r>
        <w:rPr>
          <w:rFonts w:ascii="Times New Roman" w:hAnsi="Times New Roman"/>
          <w:b w:val="false"/>
          <w:i w:val="false"/>
          <w:color w:val="000000"/>
          <w:sz w:val="22"/>
        </w:rPr>
        <w:t>When the child leaves foster care, funds in escrow shall be paid to the custodial parent(s) or guardian or to the child when the child has attained the age of majority, unless a guardian has been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156.2(7)</w:t>
      </w:r>
      <w:r>
        <w:rPr>
          <w:rFonts w:ascii="Times New Roman" w:hAnsi="Times New Roman"/>
          <w:b w:val="false"/>
          <w:i w:val="false"/>
          <w:color w:val="000000"/>
          <w:sz w:val="22"/>
        </w:rPr>
        <w:t> </w:t>
      </w:r>
      <w:r>
        <w:rPr>
          <w:rFonts w:ascii="Times New Roman" w:hAnsi="Times New Roman"/>
          <w:b w:val="false"/>
          <w:i w:val="false"/>
          <w:color w:val="000000"/>
          <w:sz w:val="22"/>
        </w:rPr>
        <w:t>When a child who has unearned income returns home after the first day of a month, the remaining portion of the unearned income (based on the number of days in the particular month) shall be made available to the child and the child’s parents, guardian or custodian, if the child is eligible for the unearned income while in the home of a parent, guardian or custodian.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441—156.3</w:t>
      </w:r>
      <w:r>
        <w:rPr>
          <w:rFonts w:ascii="Times New Roman" w:hAnsi="Times New Roman"/>
          <w:b w:val="false"/>
          <w:i w:val="false"/>
          <w:color w:val="000000"/>
          <w:sz w:val="22"/>
        </w:rPr>
        <w:t xml:space="preserve"> to </w:t>
      </w:r>
      <w:r>
        <w:rPr>
          <w:rFonts w:ascii="Times New Roman" w:hAnsi="Times New Roman"/>
          <w:b/>
          <w:i w:val="false"/>
          <w:color w:val="000000"/>
          <w:sz w:val="22"/>
        </w:rPr>
        <w:t>156.5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441—156.6</w:t>
      </w:r>
      <w:r>
        <w:rPr>
          <w:rFonts w:ascii="Times New Roman" w:hAnsi="Times New Roman"/>
          <w:b/>
          <w:i w:val="false"/>
          <w:color w:val="000000"/>
          <w:sz w:val="22"/>
        </w:rPr>
        <w:t xml:space="preserve">(234) </w:t>
      </w:r>
      <w:r>
        <w:rPr>
          <w:rFonts w:ascii="Times New Roman" w:hAnsi="Times New Roman"/>
          <w:b/>
          <w:i w:val="false"/>
          <w:color w:val="000000"/>
          <w:sz w:val="22"/>
        </w:rPr>
        <w:t xml:space="preserve">Rate of maintenance payment for foster family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color w:val="000000"/>
          <w:sz w:val="22"/>
        </w:rPr>
        <w:t xml:space="preserve">Basic rate. </w:t>
      </w:r>
      <w:r>
        <w:rPr>
          <w:rFonts w:ascii="Times New Roman" w:hAnsi="Times New Roman"/>
          <w:b w:val="false"/>
          <w:i w:val="false"/>
          <w:color w:val="000000"/>
          <w:sz w:val="22"/>
        </w:rPr>
        <w:t>A monthly payment for care in a foster family home licensed in Iowa shall be made to the foster family based on the following schedule:</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Age of child</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Daily rate</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 through 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$16.78</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through 11</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$17.45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through 15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$19.10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or over</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$19.35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color w:val="000000"/>
          <w:sz w:val="22"/>
        </w:rPr>
        <w:t xml:space="preserve">Out-of-state rate. </w:t>
      </w:r>
      <w:r>
        <w:rPr>
          <w:rFonts w:ascii="Times New Roman" w:hAnsi="Times New Roman"/>
          <w:b w:val="false"/>
          <w:i w:val="false"/>
          <w:color w:val="000000"/>
          <w:sz w:val="22"/>
        </w:rPr>
        <w:t>A monthly payment for care in a foster family home licensed or approved in another state shall be made to the foster family based on the rate schedule in effect in Iowa, except that the service area manager or designee may authorize a payment to the foster family at the rate in effect in the other state if the child’s family lives in that state and the goal is to reunite the child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color w:val="000000"/>
          <w:sz w:val="22"/>
        </w:rPr>
        <w:t xml:space="preserve">Mother and child in foster care. </w:t>
      </w:r>
      <w:r>
        <w:rPr>
          <w:rFonts w:ascii="Times New Roman" w:hAnsi="Times New Roman"/>
          <w:b w:val="false"/>
          <w:i w:val="false"/>
          <w:color w:val="000000"/>
          <w:sz w:val="22"/>
        </w:rPr>
        <w:t xml:space="preserve">When the child in foster care is a mother whose young child is in placement with her, the rate paid to the foster family shall be based on the daily rate for the mother according to the rate schedule in subrules </w:t>
      </w:r>
      <w:hyperlink r:id="rId13">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156.6(4)</w:t>
        </w:r>
      </w:hyperlink>
      <w:r>
        <w:rPr>
          <w:rFonts w:ascii="Times New Roman" w:hAnsi="Times New Roman"/>
          <w:b w:val="false"/>
          <w:i w:val="false"/>
          <w:color w:val="000000"/>
          <w:sz w:val="22"/>
        </w:rPr>
        <w:t xml:space="preserve"> and for the child according to the rate schedule in subrule </w:t>
      </w:r>
      <w:hyperlink r:id="rId15">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The foster parents shall provide a portion of the young child’s rate to the mother to meet the partial maintenance needs of the young child as defined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156.6(4)</w:t>
      </w:r>
      <w:r>
        <w:rPr>
          <w:rFonts w:ascii="Times New Roman" w:hAnsi="Times New Roman"/>
          <w:b w:val="false"/>
          <w:i w:val="false"/>
          <w:color w:val="000000"/>
          <w:sz w:val="22"/>
        </w:rPr>
        <w:t> </w:t>
      </w:r>
      <w:r>
        <w:rPr>
          <w:rFonts w:ascii="Times New Roman" w:hAnsi="Times New Roman"/>
          <w:b w:val="false"/>
          <w:i/>
          <w:color w:val="000000"/>
          <w:sz w:val="22"/>
        </w:rPr>
        <w:t xml:space="preserve">Difficulty of care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placements made before January 1, 2007, when foster parents provide care to a special needs child, the foster family shall be paid the basic maintenance rate plus $5 per day for extra expenses associated with the child’s special needs. This rate shall continue for the duration of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foster family provides care to a sibling group of three or more children, an additional payment of $1 per day per child may be authorized for each nonspecial needs child in the sibling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foster family’s responsibilities in the case permanency plan include providing transportation related to family or preplacement visits outside the community in which the foster family lives, the department caseworker may authorize an additional maintenance payment of $1 per day. Expenses over the monthly amount may be reimbursed with prior approval by the department caseworker. Eligible expenses shall include the actual cost of the most reasonable passenger fare or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placements made on or after January 1, 2007, the supervisor may approve an additional maintenance payment above the basic rate in subrule </w:t>
      </w:r>
      <w:hyperlink r:id="rId16">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to meet the child’s special needs as identified by the child’s score on Form 470-4401. The department caseworker shall complete Form 470-4401 within 30 days of the child’s initial entry into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maintenance payments made under this paragraph shall begin no earlier than the first day of the month following the month in which Form 470-4401 is completed and shall be awarded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Behavioral needs rated at level 1 qualify for a payment of $4.81 per 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Behavioral needs rated at level 2 qualify for a payment of $9.62 per day.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Behavioral needs rated at level 3 qualify for a payment of $14.44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child’s need for this difficulty of care maintenance payment using Form 470-4401:</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Whenever the child’s behavior changes significantly;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child’s placement changes;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termination of parental rights, in preparation for negotiating an adoption subsidy or pre-subsidy payment;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Before a court hearing on guardianship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maintenance payments, including difficulty of care payments, shall be documented on Form 470-0716.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156.6(5)</w:t>
      </w:r>
      <w:r>
        <w:rPr>
          <w:rFonts w:ascii="Times New Roman" w:hAnsi="Times New Roman"/>
          <w:b w:val="false"/>
          <w:i w:val="false"/>
          <w:color w:val="000000"/>
          <w:sz w:val="22"/>
        </w:rPr>
        <w:t> </w:t>
      </w:r>
      <w:r>
        <w:rPr>
          <w:rFonts w:ascii="Times New Roman" w:hAnsi="Times New Roman"/>
          <w:b w:val="false"/>
          <w:i/>
          <w:color w:val="000000"/>
          <w:sz w:val="22"/>
        </w:rPr>
        <w:t xml:space="preserve">Payment method. </w:t>
      </w:r>
      <w:r>
        <w:rPr>
          <w:rFonts w:ascii="Times New Roman" w:hAnsi="Times New Roman"/>
          <w:b w:val="false"/>
          <w:i w:val="false"/>
          <w:color w:val="000000"/>
          <w:sz w:val="22"/>
        </w:rPr>
        <w:t>All foster family maintenance payments shall be made directly to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156.6(6)</w:t>
      </w:r>
      <w:r>
        <w:rPr>
          <w:rFonts w:ascii="Times New Roman" w:hAnsi="Times New Roman"/>
          <w:b w:val="false"/>
          <w:i w:val="false"/>
          <w:color w:val="000000"/>
          <w:sz w:val="22"/>
        </w:rPr>
        <w:t> </w:t>
      </w:r>
      <w:r>
        <w:rPr>
          <w:rFonts w:ascii="Times New Roman" w:hAnsi="Times New Roman"/>
          <w:b w:val="false"/>
          <w:i/>
          <w:color w:val="000000"/>
          <w:sz w:val="22"/>
        </w:rPr>
        <w:t xml:space="preserve">Return of overpayments. </w:t>
      </w:r>
      <w:r>
        <w:rPr>
          <w:rFonts w:ascii="Times New Roman" w:hAnsi="Times New Roman"/>
          <w:b w:val="false"/>
          <w:i w:val="false"/>
          <w:color w:val="000000"/>
          <w:sz w:val="22"/>
        </w:rPr>
        <w:t>When a foster family has received payments in excess of those allowed under this chapter, the department caseworker shall ask the foster family to return the overpayment. If the foster family is returning the overpayment to the department, the department caseworker will note the monthly amount the foster family agrees to pay in the family’s case file. The amount returned shall not be less than $50 per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Senate File 446, sections 18 and 19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8451B</w:t>
      </w:r>
      <w:r>
        <w:rPr>
          <w:rFonts w:ascii="Times New Roman" w:hAnsi="Times New Roman"/>
          <w:b w:val="false"/>
          <w:i w:val="false"/>
          <w:color w:val="000000"/>
          <w:sz w:val="16"/>
        </w:rPr>
        <w:t>, IAB 1/13/10,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8653B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8904B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0240C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0419C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0858C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441—156.7</w:t>
      </w:r>
      <w:r>
        <w:rPr>
          <w:rFonts w:ascii="Times New Roman" w:hAnsi="Times New Roman"/>
          <w:b/>
          <w:i w:val="false"/>
          <w:color w:val="000000"/>
          <w:sz w:val="22"/>
        </w:rPr>
        <w:t xml:space="preserve">(234) </w:t>
      </w:r>
      <w:r>
        <w:rPr>
          <w:rFonts w:ascii="Times New Roman" w:hAnsi="Times New Roman"/>
          <w:b/>
          <w:i w:val="false"/>
          <w:color w:val="000000"/>
          <w:sz w:val="22"/>
        </w:rPr>
        <w:t xml:space="preserve">Kinship caregiver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val="false"/>
          <w:color w:val="000000"/>
          <w:sz w:val="22"/>
        </w:rPr>
        <w:t xml:space="preserve">A kinship caregiver payment is a monthly payment to financially support the care of a child in a kinship caregiver’s home. If approved by the department, kinship caregiver payment will be provided for a period of up to six months.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val="false"/>
          <w:color w:val="000000"/>
          <w:sz w:val="22"/>
        </w:rPr>
        <w:t>All of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eligible child living in a kinship placement, a caregiver will receive up to $310 ($10 per day) as a result of a court-ordered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payment will begin after two consecutive months of the child’s placement in the kinship caregiver’s home. The two-month requirement is waived if the child enters the kinship caregiver’s home immediately following a paid placement for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will continue for up to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kinship caregiver payment will be terminated if the child no longer resides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Kinship caregivers who receive a foster care payment are not eligible to receive a kinship caregiver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232.102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441—156.8</w:t>
      </w:r>
      <w:r>
        <w:rPr>
          <w:rFonts w:ascii="Times New Roman" w:hAnsi="Times New Roman"/>
          <w:b/>
          <w:i w:val="false"/>
          <w:color w:val="000000"/>
          <w:sz w:val="22"/>
        </w:rPr>
        <w:t xml:space="preserve">(234) </w:t>
      </w:r>
      <w:r>
        <w:rPr>
          <w:rFonts w:ascii="Times New Roman" w:hAnsi="Times New Roman"/>
          <w:b/>
          <w:i w:val="false"/>
          <w:color w:val="000000"/>
          <w:sz w:val="22"/>
        </w:rPr>
        <w:t xml:space="preserve">Additional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156.8(1)</w:t>
      </w:r>
      <w:r>
        <w:rPr>
          <w:rFonts w:ascii="Times New Roman" w:hAnsi="Times New Roman"/>
          <w:b w:val="false"/>
          <w:i w:val="false"/>
          <w:color w:val="000000"/>
          <w:sz w:val="22"/>
        </w:rPr>
        <w:t> </w:t>
      </w:r>
      <w:r>
        <w:rPr>
          <w:rFonts w:ascii="Times New Roman" w:hAnsi="Times New Roman"/>
          <w:b w:val="false"/>
          <w:i/>
          <w:color w:val="000000"/>
          <w:sz w:val="22"/>
        </w:rPr>
        <w:t xml:space="preserve">Clothing allowance.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in the judgment of the department caseworker, clothing is needed at the time the child is removed from the child’s home and placed in foster care and annually thereafter as needed based on the date the child entered foster care, an allowance may be authorized, not to exceed $500 for the child through the age of 12 and $750 for the child aged 13 and older, to purchase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clothing is purchased by the foster family, the foster family shall submit receipts to the department caseworker within 30 days of purchase for auditing purposes, using Form 470-1952.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156.8(2)</w:t>
      </w:r>
      <w:r>
        <w:rPr>
          <w:rFonts w:ascii="Times New Roman" w:hAnsi="Times New Roman"/>
          <w:b w:val="false"/>
          <w:i w:val="false"/>
          <w:color w:val="000000"/>
          <w:sz w:val="22"/>
        </w:rPr>
        <w:t> </w:t>
      </w:r>
      <w:r>
        <w:rPr>
          <w:rFonts w:ascii="Times New Roman" w:hAnsi="Times New Roman"/>
          <w:b w:val="false"/>
          <w:i/>
          <w:color w:val="000000"/>
          <w:sz w:val="22"/>
        </w:rPr>
        <w:t xml:space="preserve">Supervised apartment living. </w:t>
      </w:r>
      <w:r>
        <w:rPr>
          <w:rFonts w:ascii="Times New Roman" w:hAnsi="Times New Roman"/>
          <w:b w:val="false"/>
          <w:i w:val="false"/>
          <w:color w:val="000000"/>
          <w:sz w:val="22"/>
        </w:rPr>
        <w:t>Effective July 1, 2013, when a child is initially placed in supervised apartment living, the service area manager or designee may authorize an allowance not to exceed $630 if the child does not have sufficient resources to cover initial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156.8(3)</w:t>
      </w:r>
      <w:r>
        <w:rPr>
          <w:rFonts w:ascii="Times New Roman" w:hAnsi="Times New Roman"/>
          <w:b w:val="false"/>
          <w:i w:val="false"/>
          <w:color w:val="000000"/>
          <w:sz w:val="22"/>
        </w:rPr>
        <w:t> </w:t>
      </w:r>
      <w:r>
        <w:rPr>
          <w:rFonts w:ascii="Times New Roman" w:hAnsi="Times New Roman"/>
          <w:b w:val="false"/>
          <w:i/>
          <w:color w:val="000000"/>
          <w:sz w:val="22"/>
        </w:rPr>
        <w:t xml:space="preserve">Medical care. </w:t>
      </w:r>
      <w:r>
        <w:rPr>
          <w:rFonts w:ascii="Times New Roman" w:hAnsi="Times New Roman"/>
          <w:b w:val="false"/>
          <w:i w:val="false"/>
          <w:color w:val="000000"/>
          <w:sz w:val="22"/>
        </w:rPr>
        <w:t>When a child in foster care needs medical care or examinations which are not covered by the Medicaid program and no other source of payment is available, the cost may be paid from foster care funds with the approval of the service area manager or designee. Eligible costs shall include emergency room care, medical treatment by out-of-state providers who refuse to participate in the Iowa Medicaid program, and excessive expenses for nonprescription drugs or supplies. Requests for payment for out-of-state medical treatment and for nonprescription drugs or supplies shall be approved prior to the care being provided or the drugs or supplies purchased. Claims shall be submitted to the department on Form GAX, General Accounting Expenditure, within 90 days after the service is provided. The rate of payment shall be the same as allowed under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medical care. </w:t>
      </w:r>
      <w:r>
        <w:rPr>
          <w:rFonts w:ascii="Times New Roman" w:hAnsi="Times New Roman"/>
          <w:b w:val="false"/>
          <w:i w:val="false"/>
          <w:color w:val="000000"/>
          <w:sz w:val="22"/>
        </w:rPr>
        <w:t>When a child in foster family care has expenses for transportation to receive medical care which cannot be covered by the Medicaid program, the expenses may be paid from foster care funds, with the approval of the service area manager. The claim for all the expenses shall be submitted to the department on Form GAX, General Accounting Expenditure, within 90 days after the trip. This payment shall not duplicate or supplement payment through the Medicaid program. The expenses may include the actual cost of meals, parking, child care, lodging, passenger fare, or mileage at the rate granted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156.8(5)</w:t>
      </w:r>
      <w:r>
        <w:rPr>
          <w:rFonts w:ascii="Times New Roman" w:hAnsi="Times New Roman"/>
          <w:b w:val="false"/>
          <w:i w:val="false"/>
          <w:color w:val="000000"/>
          <w:sz w:val="22"/>
        </w:rPr>
        <w:t> </w:t>
      </w:r>
      <w:r>
        <w:rPr>
          <w:rFonts w:ascii="Times New Roman" w:hAnsi="Times New Roman"/>
          <w:b w:val="false"/>
          <w:i/>
          <w:color w:val="000000"/>
          <w:sz w:val="22"/>
        </w:rPr>
        <w:t xml:space="preserve">Funeral expense. </w:t>
      </w:r>
      <w:r>
        <w:rPr>
          <w:rFonts w:ascii="Times New Roman" w:hAnsi="Times New Roman"/>
          <w:b w:val="false"/>
          <w:i w:val="false"/>
          <w:color w:val="000000"/>
          <w:sz w:val="22"/>
        </w:rPr>
        <w:t>When a child under the guardianship of the department dies, the department will pay funeral expenses not covered by the child’s resources, insurance or other death benefits, the child’s legal parents, or the child’s county of legal settlement, not to exceed $650.</w:t>
      </w:r>
    </w:p>
    <w:p>
      <w:pPr>
        <w:spacing w:before="0" w:after="0"/>
        <w:ind w:left="120"/>
        <w:jc w:val="both"/>
      </w:pPr>
      <w:r>
        <w:rPr>
          <w:rFonts w:ascii="Times New Roman" w:hAnsi="Times New Roman"/>
          <w:b w:val="false"/>
          <w:i w:val="false"/>
          <w:color w:val="000000"/>
          <w:sz w:val="22"/>
        </w:rPr>
        <w:t>The claim shall be submitted by the funeral director to the department on Form GAX, General Accounting Expenditure, and shall be approved by the service area manager. Claims shall be submitted within 90 days after the child’s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156.8(6)</w:t>
      </w:r>
      <w:r>
        <w:rPr>
          <w:rFonts w:ascii="Times New Roman" w:hAnsi="Times New Roman"/>
          <w:b w:val="false"/>
          <w:i w:val="false"/>
          <w:color w:val="000000"/>
          <w:sz w:val="22"/>
        </w:rPr>
        <w:t> </w:t>
      </w:r>
      <w:r>
        <w:rPr>
          <w:rFonts w:ascii="Times New Roman" w:hAnsi="Times New Roman"/>
          <w:b w:val="false"/>
          <w:i/>
          <w:color w:val="000000"/>
          <w:sz w:val="22"/>
        </w:rPr>
        <w:t xml:space="preserve">School fees. </w:t>
      </w:r>
      <w:r>
        <w:rPr>
          <w:rFonts w:ascii="Times New Roman" w:hAnsi="Times New Roman"/>
          <w:b w:val="false"/>
          <w:i w:val="false"/>
          <w:color w:val="000000"/>
          <w:sz w:val="22"/>
        </w:rPr>
        <w:t>Payment for required school fees of a child in foster family care or supervised apartment living that exceed $5 may be authorized by the department caseworker in an amount not to exceed $50 per calendar year if the child does not have sufficient escrow funds to cover the cost. Required school fees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required for participation in school or extracurricular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related to enrolling a child in preschool when a mental health professional or an intellectual disabilities professional has recommended 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156.8(7)</w:t>
      </w:r>
      <w:r>
        <w:rPr>
          <w:rFonts w:ascii="Times New Roman" w:hAnsi="Times New Roman"/>
          <w:b w:val="false"/>
          <w:i w:val="false"/>
          <w:color w:val="000000"/>
          <w:sz w:val="22"/>
        </w:rPr>
        <w:t> </w:t>
      </w:r>
      <w:r>
        <w:rPr>
          <w:rFonts w:ascii="Times New Roman" w:hAnsi="Times New Roman"/>
          <w:b w:val="false"/>
          <w:i/>
          <w:color w:val="000000"/>
          <w:sz w:val="22"/>
        </w:rPr>
        <w:t xml:space="preserve">Respite care. </w:t>
      </w:r>
      <w:r>
        <w:rPr>
          <w:rFonts w:ascii="Times New Roman" w:hAnsi="Times New Roman"/>
          <w:b w:val="false"/>
          <w:i w:val="false"/>
          <w:color w:val="000000"/>
          <w:sz w:val="22"/>
        </w:rPr>
        <w:t xml:space="preserve">Respite care for a child in family foster care shall be for up to 24 days per calendar year per placement. Except for a certified respite provider, respite shall be provided by a licensed foster family. The payment rate to the respite foster family shall be the rate authorized under rule </w:t>
      </w:r>
      <w:hyperlink r:id="rId19">
        <w:r>
          <w:rPr>
            <w:rStyle w:val="Hyperlink"/>
            <w:rFonts w:ascii="Times New Roman" w:hAnsi="Times New Roman"/>
            <w:b w:val="false"/>
            <w:i w:val="false"/>
            <w:color w:val="000000"/>
            <w:sz w:val="22"/>
          </w:rPr>
          <w:t>441—156.6(234)</w:t>
        </w:r>
      </w:hyperlink>
      <w:r>
        <w:rPr>
          <w:rFonts w:ascii="Times New Roman" w:hAnsi="Times New Roman"/>
          <w:b w:val="false"/>
          <w:i w:val="false"/>
          <w:color w:val="000000"/>
          <w:sz w:val="22"/>
        </w:rPr>
        <w:t xml:space="preserve"> to meet the needs of the child. Certified respite providers deliver foster child respite services in the foster family home for at least five hours a day at $20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156.8(8)</w:t>
      </w:r>
      <w:r>
        <w:rPr>
          <w:rFonts w:ascii="Times New Roman" w:hAnsi="Times New Roman"/>
          <w:b w:val="false"/>
          <w:i w:val="false"/>
          <w:color w:val="000000"/>
          <w:sz w:val="22"/>
        </w:rPr>
        <w:t> </w:t>
      </w:r>
      <w:r>
        <w:rPr>
          <w:rFonts w:ascii="Times New Roman" w:hAnsi="Times New Roman"/>
          <w:b w:val="false"/>
          <w:i/>
          <w:color w:val="000000"/>
          <w:sz w:val="22"/>
        </w:rPr>
        <w:t xml:space="preserve">Tangible goods, child care, and ancillary services. </w:t>
      </w:r>
      <w:r>
        <w:rPr>
          <w:rFonts w:ascii="Times New Roman" w:hAnsi="Times New Roman"/>
          <w:b w:val="false"/>
          <w:i w:val="false"/>
          <w:color w:val="000000"/>
          <w:sz w:val="22"/>
        </w:rPr>
        <w:t>To the extent that a foster child’s escrow funds are not available, the service area manager or designee may authorize reimbursement to foster parents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Tangible goods for a special needs child including, but not limited to, building modifications, medical equipment not covered by Medicaid, specialized educational materials not covered by educational funds, and communication devices not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care services when the foster parents are working, the child is not in school, and the provision of child care is identified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care services shall be provided by a licensed foster parent or a licensed or registered child care provider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foster parents elect to become child care providers, they shall be registered pursuant to </w:t>
      </w:r>
      <w:hyperlink r:id="rId20">
        <w:r>
          <w:rPr>
            <w:rStyle w:val="Hyperlink"/>
            <w:rFonts w:ascii="Times New Roman" w:hAnsi="Times New Roman"/>
            <w:b w:val="false"/>
            <w:i w:val="false"/>
            <w:color w:val="000000"/>
            <w:sz w:val="22"/>
          </w:rPr>
          <w:t>441—Chapter 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Ancillary services needed by the foster parent to meet the needs of a special needs child including, but not limited to, specialized classes when directed by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Ancillary services needed by the special needs child including, but not limited to, recreation fees, in-home tutoring and specialized classes not covered by education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tangible goods, child care, and ancillary services shall be submitted to the service area manager for approval on Form 470-3056, Request for Tangible Goods, Child Care, and Ancillary Services. Payment rates for tangible goods and ancillary services shall be comparable to prevailing community standards. Payment rates for child care shall be established pursuant to </w:t>
      </w:r>
      <w:hyperlink r:id="rId21">
        <w:r>
          <w:rPr>
            <w:rStyle w:val="Hyperlink"/>
            <w:rFonts w:ascii="Times New Roman" w:hAnsi="Times New Roman"/>
            <w:b w:val="false"/>
            <w:i w:val="false"/>
            <w:color w:val="000000"/>
            <w:sz w:val="22"/>
          </w:rPr>
          <w:t>441—subrule 170.4(7)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payment authorization shall be issued by the service area manager before tangible goods, child care, and ancillary services are purchased by or for foster parents.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8451B</w:t>
      </w:r>
      <w:r>
        <w:rPr>
          <w:rFonts w:ascii="Times New Roman" w:hAnsi="Times New Roman"/>
          <w:b w:val="false"/>
          <w:i w:val="false"/>
          <w:color w:val="000000"/>
          <w:sz w:val="16"/>
        </w:rPr>
        <w:t>, IAB 1/13/10,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8653B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0856C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1062C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441—156.9</w:t>
      </w:r>
      <w:r>
        <w:rPr>
          <w:rFonts w:ascii="Times New Roman" w:hAnsi="Times New Roman"/>
          <w:b/>
          <w:i w:val="false"/>
          <w:color w:val="000000"/>
          <w:sz w:val="22"/>
        </w:rPr>
        <w:t xml:space="preserve">(234) </w:t>
      </w:r>
      <w:r>
        <w:rPr>
          <w:rFonts w:ascii="Times New Roman" w:hAnsi="Times New Roman"/>
          <w:b/>
          <w:i w:val="false"/>
          <w:color w:val="000000"/>
          <w:sz w:val="22"/>
        </w:rPr>
        <w:t xml:space="preserve">Rate of payment for foster group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156.9(1)</w:t>
      </w:r>
      <w:r>
        <w:rPr>
          <w:rFonts w:ascii="Times New Roman" w:hAnsi="Times New Roman"/>
          <w:b w:val="false"/>
          <w:i w:val="false"/>
          <w:color w:val="000000"/>
          <w:sz w:val="22"/>
        </w:rPr>
        <w:t> </w:t>
      </w:r>
      <w:r>
        <w:rPr>
          <w:rFonts w:ascii="Times New Roman" w:hAnsi="Times New Roman"/>
          <w:b w:val="false"/>
          <w:i/>
          <w:color w:val="000000"/>
          <w:sz w:val="22"/>
        </w:rPr>
        <w:t xml:space="preserve">In-state reimbursement. </w:t>
      </w:r>
      <w:r>
        <w:rPr>
          <w:rFonts w:ascii="Times New Roman" w:hAnsi="Times New Roman"/>
          <w:b w:val="false"/>
          <w:i w:val="false"/>
          <w:color w:val="000000"/>
          <w:sz w:val="22"/>
        </w:rPr>
        <w:t>Effective July 1, 2014, contracted foster group care facilities licensed or approved in the state of Iowa shall be paid for group care maintenance and child welfare services in accordance with contracted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payment for group care maintenance may be authorized if a facility provides care for a mother and her young child according to subrule </w:t>
      </w:r>
      <w:hyperlink r:id="rId23">
        <w:r>
          <w:rPr>
            <w:rStyle w:val="Hyperlink"/>
            <w:rFonts w:ascii="Times New Roman" w:hAnsi="Times New Roman"/>
            <w:b w:val="false"/>
            <w:i w:val="false"/>
            <w:color w:val="000000"/>
            <w:sz w:val="22"/>
          </w:rPr>
          <w:t>156.9(4)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less than annually, the department shall redetermine the allocation of the combined child welfare service per diem rate between the maintenance and service portions plus the inflation factor based on review of the verified Form 470-5421, Combined Cost Report. If the new allocation differs from the current allocation,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Reallocate the combined child welfare service per diem for foster group care between the maintenance and service portions plus the inflation factor of the combined 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all providers of any change in the allocation between maintenance and service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156.9(2)</w:t>
      </w:r>
      <w:r>
        <w:rPr>
          <w:rFonts w:ascii="Times New Roman" w:hAnsi="Times New Roman"/>
          <w:b w:val="false"/>
          <w:i w:val="false"/>
          <w:color w:val="000000"/>
          <w:sz w:val="22"/>
        </w:rPr>
        <w:t> </w:t>
      </w:r>
      <w:r>
        <w:rPr>
          <w:rFonts w:ascii="Times New Roman" w:hAnsi="Times New Roman"/>
          <w:b w:val="false"/>
          <w:i/>
          <w:color w:val="000000"/>
          <w:sz w:val="22"/>
        </w:rPr>
        <w:t xml:space="preserve">Out-of-state group care payment rate. </w:t>
      </w:r>
      <w:r>
        <w:rPr>
          <w:rFonts w:ascii="Times New Roman" w:hAnsi="Times New Roman"/>
          <w:b w:val="false"/>
          <w:i w:val="false"/>
          <w:color w:val="000000"/>
          <w:sz w:val="22"/>
        </w:rPr>
        <w:t>When the department determines that appropriate care is not available in Iowa and a licensed or approved contractor outside Iowa is used, the payment rate for contracted foster group care services shall be the Iowa rate unless the director grants an exception. The rate shall not exceed the rate paid for clients from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156.9(3)</w:t>
      </w:r>
      <w:r>
        <w:rPr>
          <w:rFonts w:ascii="Times New Roman" w:hAnsi="Times New Roman"/>
          <w:b w:val="false"/>
          <w:i w:val="false"/>
          <w:color w:val="000000"/>
          <w:sz w:val="22"/>
        </w:rPr>
        <w:t> </w:t>
      </w:r>
      <w:r>
        <w:rPr>
          <w:rFonts w:ascii="Times New Roman" w:hAnsi="Times New Roman"/>
          <w:b w:val="false"/>
          <w:i/>
          <w:color w:val="000000"/>
          <w:sz w:val="22"/>
        </w:rPr>
        <w:t xml:space="preserve">Out-of-state placement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When determining whether appropriate care is available within the state, the director shall consider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child’s treatment needs are exceptional.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appropriate in-state alternatives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an appropriate in-state alternative could be developed by using juvenile court-ordered service funds or wrap-around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placement and additional payment are expected to be time-limited with anticipated outcomes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placement has been approved by the service area manager or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service area manager or chief juvenile court officer shall submit the request for director’s exception to the Appeals Section, Department of Human Services, Hoover State Office Building, Fifth Floor, Des Moines, Iowa 50319-0114. This request shall be made in advance of placing the child and should allow a minimum of two weeks for a response. The request shall contain documentation addressing the criteria for director’s approval listed in paragraph </w:t>
      </w:r>
      <w:hyperlink r:id="rId24">
        <w:r>
          <w:rPr>
            <w:rStyle w:val="Hyperlink"/>
            <w:rFonts w:ascii="Times New Roman" w:hAnsi="Times New Roman"/>
            <w:b w:val="false"/>
            <w:i w:val="false"/>
            <w:color w:val="000000"/>
            <w:sz w:val="22"/>
          </w:rPr>
          <w:t>156.9(3)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decision of the director regarding approval of an exception to the rate determination in rule </w:t>
      </w:r>
      <w:hyperlink r:id="rId25">
        <w:r>
          <w:rPr>
            <w:rStyle w:val="Hyperlink"/>
            <w:rFonts w:ascii="Times New Roman" w:hAnsi="Times New Roman"/>
            <w:b w:val="false"/>
            <w:i w:val="false"/>
            <w:color w:val="000000"/>
            <w:sz w:val="22"/>
          </w:rPr>
          <w:t>441—156.9</w:t>
        </w:r>
      </w:hyperlink>
      <w:r>
        <w:rPr>
          <w:rFonts w:ascii="Times New Roman" w:hAnsi="Times New Roman"/>
          <w:b w:val="false"/>
          <w:i w:val="false"/>
          <w:color w:val="000000"/>
          <w:sz w:val="22"/>
        </w:rPr>
        <w:t>(234) is not appealable.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156.9(4)</w:t>
      </w:r>
      <w:r>
        <w:rPr>
          <w:rFonts w:ascii="Times New Roman" w:hAnsi="Times New Roman"/>
          <w:b w:val="false"/>
          <w:i w:val="false"/>
          <w:color w:val="000000"/>
          <w:sz w:val="22"/>
        </w:rPr>
        <w:t> </w:t>
      </w:r>
      <w:r>
        <w:rPr>
          <w:rFonts w:ascii="Times New Roman" w:hAnsi="Times New Roman"/>
          <w:b w:val="false"/>
          <w:i/>
          <w:color w:val="000000"/>
          <w:sz w:val="22"/>
        </w:rPr>
        <w:t xml:space="preserve">Mother-young child rate. </w:t>
      </w:r>
      <w:r>
        <w:rPr>
          <w:rFonts w:ascii="Times New Roman" w:hAnsi="Times New Roman"/>
          <w:b w:val="false"/>
          <w:i w:val="false"/>
          <w:color w:val="000000"/>
          <w:sz w:val="22"/>
        </w:rPr>
        <w:t>When a group foster care facility provides foster care for a mother and her young child, an additional maintenance rate shall cover the maintenance needs of the young child. No additional amount shall be allowed for service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rate shall be set in the provider contract. The young child maintenance rate shall be limited to the costs associated with food, clothing, shelter, personal incidentals, and supervision for each young child and shall not exceed the maintenance rate for the mother. Costs for day care shall not be included in the maintenance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court has transferred custody from the mother, the mother shall have primary responsibility for providing supervision and parenting for the young child. The facility shall provide services to the mother to assist her to meet her parenting responsibilities and shall monitor her care of the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provide services to the mother to assist her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 high school diploma or high school equivalency.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preemployment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paternity for her young child whenever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Obtain child support for the young child whenever paternity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information in the mother’s file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involvement of the mother’s parents or of other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involvement of the father of the minor’s child, including steps taken to establish paternity,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decision of the minor to keep and raise her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for the minor’s completion of high school or a high school equivalency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parenting skills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care and transportation plans for education, training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health care of the mother and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services as needed to address personal or family problems or to facilitate the personal growth and development toward economic self-sufficiency of the minor parent and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designate $35 of the young child rate as an allowance to the mother to meet the maintenance needs of her young child, as defined in her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8715B</w:t>
      </w:r>
      <w:r>
        <w:rPr>
          <w:rFonts w:ascii="Times New Roman" w:hAnsi="Times New Roman"/>
          <w:b w:val="false"/>
          <w:i w:val="false"/>
          <w:color w:val="000000"/>
          <w:sz w:val="16"/>
        </w:rPr>
        <w:t>, IAB 5/5/10,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1523C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1607C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441—156.10</w:t>
      </w:r>
      <w:r>
        <w:rPr>
          <w:rFonts w:ascii="Times New Roman" w:hAnsi="Times New Roman"/>
          <w:b/>
          <w:i w:val="false"/>
          <w:color w:val="000000"/>
          <w:sz w:val="22"/>
        </w:rPr>
        <w:t xml:space="preserve">(234) </w:t>
      </w:r>
      <w:r>
        <w:rPr>
          <w:rFonts w:ascii="Times New Roman" w:hAnsi="Times New Roman"/>
          <w:b/>
          <w:i w:val="false"/>
          <w:color w:val="000000"/>
          <w:sz w:val="22"/>
        </w:rPr>
        <w:t xml:space="preserve">Payment for reserve bed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156.10(1)</w:t>
      </w:r>
      <w:r>
        <w:rPr>
          <w:rFonts w:ascii="Times New Roman" w:hAnsi="Times New Roman"/>
          <w:b w:val="false"/>
          <w:i w:val="false"/>
          <w:color w:val="000000"/>
          <w:sz w:val="22"/>
        </w:rPr>
        <w:t> </w:t>
      </w:r>
      <w:r>
        <w:rPr>
          <w:rFonts w:ascii="Times New Roman" w:hAnsi="Times New Roman"/>
          <w:b w:val="false"/>
          <w:i/>
          <w:color w:val="000000"/>
          <w:sz w:val="22"/>
        </w:rPr>
        <w:t xml:space="preserve">Group care facilities. </w:t>
      </w:r>
      <w:r>
        <w:rPr>
          <w:rFonts w:ascii="Times New Roman" w:hAnsi="Times New Roman"/>
          <w:b w:val="false"/>
          <w:i w:val="false"/>
          <w:color w:val="000000"/>
          <w:sz w:val="22"/>
        </w:rPr>
        <w:t>The department shall provide payment for group care maintenance and child welfare services according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shall be made for days a child is absent from the facility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of each visit and its planned length prior to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shall be made for days a child is absent from the facility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contact the department caseworker at least 48 hours in advance of a planned hospitalization and within 24 hours after an unplanned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shall be made for days a child is absent from the facility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shall be made when a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provider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156.10(2)</w:t>
      </w:r>
      <w:r>
        <w:rPr>
          <w:rFonts w:ascii="Times New Roman" w:hAnsi="Times New Roman"/>
          <w:b w:val="false"/>
          <w:i w:val="false"/>
          <w:color w:val="000000"/>
          <w:sz w:val="22"/>
        </w:rPr>
        <w:t> </w:t>
      </w:r>
      <w:r>
        <w:rPr>
          <w:rFonts w:ascii="Times New Roman" w:hAnsi="Times New Roman"/>
          <w:b w:val="false"/>
          <w:i/>
          <w:color w:val="000000"/>
          <w:sz w:val="22"/>
        </w:rPr>
        <w:t xml:space="preserve">Foster family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shall be made for days a foster child is absent from the foster family home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shall be for the child to return to the foster family home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shall be made for days a foster child is absent from the foster family home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shall be for the child to return to the foster family home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shall be made for days a foster child is absent from the foster family home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foster family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shall be for the child to return to the foster family home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shall be made when a foster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home shall be for the child to return to the foster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 returned if the foster family home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156.10(3)</w:t>
      </w:r>
      <w:r>
        <w:rPr>
          <w:rFonts w:ascii="Times New Roman" w:hAnsi="Times New Roman"/>
          <w:b w:val="false"/>
          <w:i w:val="false"/>
          <w:color w:val="000000"/>
          <w:sz w:val="22"/>
        </w:rPr>
        <w:t> </w:t>
      </w:r>
      <w:r>
        <w:rPr>
          <w:rFonts w:ascii="Times New Roman" w:hAnsi="Times New Roman"/>
          <w:b w:val="false"/>
          <w:i/>
          <w:color w:val="000000"/>
          <w:sz w:val="22"/>
        </w:rPr>
        <w:t xml:space="preserve">Shelter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shall be made for days a child is absent from the facility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contact the department caseworker at least 48 hours in advance of a planned hospitalization and within 24 hours after an unplanned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shall be made when a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provider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shall be made for days a child is absent from the facility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of each visit and its planned length prior to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department agrees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seven consecutive days, except upon prior written approval of the service area manager. In no case shall payment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shall be made for days a child is absent from the facility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agrees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seven consecutive days, except upon prior written approval of the service area manager. In no case shall payment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441—156.11</w:t>
      </w:r>
      <w:r>
        <w:rPr>
          <w:rFonts w:ascii="Times New Roman" w:hAnsi="Times New Roman"/>
          <w:b/>
          <w:i w:val="false"/>
          <w:color w:val="000000"/>
          <w:sz w:val="22"/>
        </w:rPr>
        <w:t xml:space="preserve">(234) </w:t>
      </w:r>
      <w:r>
        <w:rPr>
          <w:rFonts w:ascii="Times New Roman" w:hAnsi="Times New Roman"/>
          <w:b/>
          <w:i w:val="false"/>
          <w:color w:val="000000"/>
          <w:sz w:val="22"/>
        </w:rPr>
        <w:t xml:space="preserve">Emergency juvenile shelter care payment. </w:t>
      </w:r>
      <w:r>
        <w:rPr>
          <w:rFonts w:ascii="Times New Roman" w:hAnsi="Times New Roman"/>
          <w:b w:val="false"/>
          <w:i w:val="false"/>
          <w:color w:val="000000"/>
          <w:sz w:val="22"/>
        </w:rPr>
        <w:t xml:space="preserve">Contracted juvenile shelter care facilities approved or licensed in Iowa shall be paid in accordance with contracted terms, not to exceed the allowable costs as permitted by Iowa Code section </w:t>
      </w:r>
      <w:hyperlink r:id="rId30">
        <w:r>
          <w:rPr>
            <w:rStyle w:val="Hyperlink"/>
            <w:rFonts w:ascii="Times New Roman" w:hAnsi="Times New Roman"/>
            <w:b w:val="false"/>
            <w:i w:val="false"/>
            <w:color w:val="000000"/>
            <w:sz w:val="22"/>
          </w:rPr>
          <w:t>232.141(8)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441—156.12</w:t>
      </w:r>
      <w:r>
        <w:rPr>
          <w:rFonts w:ascii="Times New Roman" w:hAnsi="Times New Roman"/>
          <w:b/>
          <w:i w:val="false"/>
          <w:color w:val="000000"/>
          <w:sz w:val="22"/>
        </w:rPr>
        <w:t xml:space="preserve">(234) </w:t>
      </w:r>
      <w:r>
        <w:rPr>
          <w:rFonts w:ascii="Times New Roman" w:hAnsi="Times New Roman"/>
          <w:b/>
          <w:i w:val="false"/>
          <w:color w:val="000000"/>
          <w:sz w:val="22"/>
        </w:rPr>
        <w:t xml:space="preserve">Supervised apartment living.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156.12(1)</w:t>
      </w:r>
      <w:r>
        <w:rPr>
          <w:rFonts w:ascii="Times New Roman" w:hAnsi="Times New Roman"/>
          <w:b w:val="false"/>
          <w:i w:val="false"/>
          <w:color w:val="000000"/>
          <w:sz w:val="22"/>
        </w:rPr>
        <w:t> </w:t>
      </w:r>
      <w:r>
        <w:rPr>
          <w:rFonts w:ascii="Times New Roman" w:hAnsi="Times New Roman"/>
          <w:b w:val="false"/>
          <w:i/>
          <w:color w:val="000000"/>
          <w:sz w:val="22"/>
        </w:rPr>
        <w:t xml:space="preserve">Child monthly stipend. </w:t>
      </w:r>
      <w:r>
        <w:rPr>
          <w:rFonts w:ascii="Times New Roman" w:hAnsi="Times New Roman"/>
          <w:b w:val="false"/>
          <w:i w:val="false"/>
          <w:color w:val="000000"/>
          <w:sz w:val="22"/>
        </w:rPr>
        <w:t>For each eligible child living in a supervised apartment living situation, the monthly stipend payment for the child shall be $787.50. This payment may be paid to the child or another payee, other than a department employee, for the child’s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156.12(2)</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When services for a youth in supervised apartment living are purchased, the service components and any special provisions shall be specified by the service worker in the youth’s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House File 649</w:t>
      </w:r>
      <w:r>
        <w:rPr>
          <w:rFonts w:ascii="Times New Roman" w:hAnsi="Times New Roman"/>
          <w:b w:val="false"/>
          <w:i w:val="false"/>
          <w:color w:val="000000"/>
          <w:sz w:val="22"/>
        </w:rPr>
        <w:t>, section 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8451B</w:t>
      </w:r>
      <w:r>
        <w:rPr>
          <w:rFonts w:ascii="Times New Roman" w:hAnsi="Times New Roman"/>
          <w:b w:val="false"/>
          <w:i w:val="false"/>
          <w:color w:val="000000"/>
          <w:sz w:val="16"/>
        </w:rPr>
        <w:t>, IAB 1/13/10,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8653B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0856C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1062C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3442C</w:t>
      </w:r>
      <w:r>
        <w:rPr>
          <w:rFonts w:ascii="Times New Roman" w:hAnsi="Times New Roman"/>
          <w:b w:val="false"/>
          <w:i w:val="false"/>
          <w:color w:val="000000"/>
          <w:sz w:val="16"/>
        </w:rPr>
        <w:t>, IAB 11/8/17, effective 1/1/18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441—156.13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441—156.14</w:t>
      </w:r>
      <w:r>
        <w:rPr>
          <w:rFonts w:ascii="Times New Roman" w:hAnsi="Times New Roman"/>
          <w:b/>
          <w:i w:val="false"/>
          <w:color w:val="000000"/>
          <w:sz w:val="22"/>
        </w:rPr>
        <w:t xml:space="preserve">(234,252C) </w:t>
      </w:r>
      <w:r>
        <w:rPr>
          <w:rFonts w:ascii="Times New Roman" w:hAnsi="Times New Roman"/>
          <w:b/>
          <w:i w:val="false"/>
          <w:color w:val="000000"/>
          <w:sz w:val="22"/>
        </w:rPr>
        <w:t xml:space="preserve">Voluntary placements. </w:t>
      </w:r>
      <w:r>
        <w:rPr>
          <w:rFonts w:ascii="Times New Roman" w:hAnsi="Times New Roman"/>
          <w:b w:val="false"/>
          <w:i w:val="false"/>
          <w:color w:val="000000"/>
          <w:sz w:val="22"/>
        </w:rPr>
        <w:t>When placement is made on a voluntary basis, the parent or guardian shall complete and sign Form 470-0715, Voluntary Placement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441—156.15</w:t>
      </w:r>
      <w:r>
        <w:rPr>
          <w:rFonts w:ascii="Times New Roman" w:hAnsi="Times New Roman"/>
          <w:b/>
          <w:i w:val="false"/>
          <w:color w:val="000000"/>
          <w:sz w:val="22"/>
        </w:rPr>
        <w:t xml:space="preserve">(234) </w:t>
      </w:r>
      <w:r>
        <w:rPr>
          <w:rFonts w:ascii="Times New Roman" w:hAnsi="Times New Roman"/>
          <w:b/>
          <w:i w:val="false"/>
          <w:color w:val="000000"/>
          <w:sz w:val="22"/>
        </w:rPr>
        <w:t xml:space="preserve">Child’s earnings. </w:t>
      </w:r>
      <w:r>
        <w:rPr>
          <w:rFonts w:ascii="Times New Roman" w:hAnsi="Times New Roman"/>
          <w:b w:val="false"/>
          <w:i w:val="false"/>
          <w:color w:val="000000"/>
          <w:sz w:val="22"/>
        </w:rPr>
        <w:t xml:space="preserve">Earned income of a child who is in foster care shall be reported to the department, and the earned income’s use shall be part of the child’s plan for service, but the income shall not be used towards the cost of the child’s care as established by the department.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441—156.16</w:t>
      </w:r>
      <w:r>
        <w:rPr>
          <w:rFonts w:ascii="Times New Roman" w:hAnsi="Times New Roman"/>
          <w:b/>
          <w:i w:val="false"/>
          <w:color w:val="000000"/>
          <w:sz w:val="22"/>
        </w:rPr>
        <w:t xml:space="preserve">(234) </w:t>
      </w:r>
      <w:r>
        <w:rPr>
          <w:rFonts w:ascii="Times New Roman" w:hAnsi="Times New Roman"/>
          <w:b/>
          <w:i w:val="false"/>
          <w:color w:val="000000"/>
          <w:sz w:val="22"/>
        </w:rPr>
        <w:t xml:space="preserve">Trust funds and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156.16(1)</w:t>
      </w:r>
      <w:r>
        <w:rPr>
          <w:rFonts w:ascii="Times New Roman" w:hAnsi="Times New Roman"/>
          <w:b w:val="false"/>
          <w:i w:val="false"/>
          <w:color w:val="000000"/>
          <w:sz w:val="22"/>
        </w:rPr>
        <w:t> </w:t>
      </w:r>
      <w:r>
        <w:rPr>
          <w:rFonts w:ascii="Times New Roman" w:hAnsi="Times New Roman"/>
          <w:b w:val="false"/>
          <w:i w:val="false"/>
          <w:color w:val="000000"/>
          <w:sz w:val="22"/>
        </w:rPr>
        <w:t>When the child is a beneficiary of a trust and the proceeds therefrom are not currently available, or are not sufficient to meet the child’s needs, the worker shall assist the child in having a petition presented to the court requesting release of funds to help meet current requirements. When the child and responsible adult cooperate in necessary action to obtain a ruling of the court, income shall not be considered available until the decision of the court has been rendered and implemented. When the child and responsible adult do not cooperate in the action necessary to obtain a ruling of the court, the trust fund or investments shall be considered as available to meet the child’s needs immediately. When the child or responsible adult does not cooperate within 90 days in making the income available the maintenance payment shall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156.16(2)</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human services shall be payee for income from any trust funds or investments unless limited by the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156.16(3)</w:t>
      </w:r>
      <w:r>
        <w:rPr>
          <w:rFonts w:ascii="Times New Roman" w:hAnsi="Times New Roman"/>
          <w:b w:val="false"/>
          <w:i w:val="false"/>
          <w:color w:val="000000"/>
          <w:sz w:val="22"/>
        </w:rPr>
        <w:t> </w:t>
      </w:r>
      <w:r>
        <w:rPr>
          <w:rFonts w:ascii="Times New Roman" w:hAnsi="Times New Roman"/>
          <w:b w:val="false"/>
          <w:i w:val="false"/>
          <w:color w:val="000000"/>
          <w:sz w:val="22"/>
        </w:rPr>
        <w:t>Savings accounts from any income and proceeds from the liquidation of securities shall be placed in the child’s account maintained by the department and any amount in excess of $1,500 shall be applied towards cost of the child’s maintenance.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441—156.17</w:t>
      </w:r>
      <w:r>
        <w:rPr>
          <w:rFonts w:ascii="Times New Roman" w:hAnsi="Times New Roman"/>
          <w:b/>
          <w:i w:val="false"/>
          <w:color w:val="000000"/>
          <w:sz w:val="22"/>
        </w:rPr>
        <w:t xml:space="preserve">(234) </w:t>
      </w:r>
      <w:r>
        <w:rPr>
          <w:rFonts w:ascii="Times New Roman" w:hAnsi="Times New Roman"/>
          <w:b/>
          <w:i w:val="false"/>
          <w:color w:val="000000"/>
          <w:sz w:val="22"/>
        </w:rPr>
        <w:t xml:space="preserve">Preadoptive homes. </w:t>
      </w:r>
      <w:r>
        <w:rPr>
          <w:rFonts w:ascii="Times New Roman" w:hAnsi="Times New Roman"/>
          <w:b w:val="false"/>
          <w:i w:val="false"/>
          <w:color w:val="000000"/>
          <w:sz w:val="22"/>
        </w:rPr>
        <w:t xml:space="preserve">Payment for a foster child placed in a preadoptive home shall be limited to the amount negotiated pursuant to rule </w:t>
      </w:r>
      <w:hyperlink r:id="rId37">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and shall not exceed the foster care maintenance amount paid in family foster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441—156.18</w:t>
      </w:r>
      <w:r>
        <w:rPr>
          <w:rFonts w:ascii="Times New Roman" w:hAnsi="Times New Roman"/>
          <w:b w:val="false"/>
          <w:i w:val="false"/>
          <w:color w:val="000000"/>
          <w:sz w:val="22"/>
        </w:rPr>
        <w:t xml:space="preserve"> and </w:t>
      </w:r>
      <w:r>
        <w:rPr>
          <w:rFonts w:ascii="Times New Roman" w:hAnsi="Times New Roman"/>
          <w:b/>
          <w:i w:val="false"/>
          <w:color w:val="000000"/>
          <w:sz w:val="22"/>
        </w:rPr>
        <w:t>156.19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441—156.20</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for foster care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156.20(1)</w:t>
      </w:r>
      <w:r>
        <w:rPr>
          <w:rFonts w:ascii="Times New Roman" w:hAnsi="Times New Roman"/>
          <w:b w:val="false"/>
          <w:i w:val="false"/>
          <w:color w:val="000000"/>
          <w:sz w:val="22"/>
        </w:rPr>
        <w:t> </w:t>
      </w:r>
      <w:r>
        <w:rPr>
          <w:rFonts w:ascii="Times New Roman" w:hAnsi="Times New Roman"/>
          <w:b w:val="false"/>
          <w:i/>
          <w:color w:val="000000"/>
          <w:sz w:val="22"/>
        </w:rPr>
        <w:t xml:space="preserve">Client eligibility. </w:t>
      </w:r>
      <w:r>
        <w:rPr>
          <w:rFonts w:ascii="Times New Roman" w:hAnsi="Times New Roman"/>
          <w:b w:val="false"/>
          <w:i w:val="false"/>
          <w:color w:val="000000"/>
          <w:sz w:val="22"/>
        </w:rPr>
        <w:t>Foster care payment shall be limited to the following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18 shall be eligible based on legal status, subject to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status. The youth’s placement shall be based on one of the following legal statuses: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court has ordered foster care placement pursuant to Iowa Code section </w:t>
      </w:r>
      <w:hyperlink r:id="rId39">
        <w:r>
          <w:rPr>
            <w:rStyle w:val="Hyperlink"/>
            <w:rFonts w:ascii="Times New Roman" w:hAnsi="Times New Roman"/>
            <w:b w:val="false"/>
            <w:i w:val="false"/>
            <w:color w:val="000000"/>
            <w:sz w:val="22"/>
          </w:rPr>
          <w:t>232.52(2)</w:t>
        </w:r>
      </w:hyperlink>
      <w:r>
        <w:rPr>
          <w:rFonts w:ascii="Times New Roman" w:hAnsi="Times New Roman"/>
          <w:b w:val="false"/>
          <w:i/>
          <w:color w:val="000000"/>
          <w:sz w:val="22"/>
        </w:rPr>
        <w:t xml:space="preserve">“d,” </w:t>
      </w:r>
      <w:hyperlink r:id="rId40">
        <w:r>
          <w:rPr>
            <w:rStyle w:val="Hyperlink"/>
            <w:rFonts w:ascii="Times New Roman" w:hAnsi="Times New Roman"/>
            <w:b w:val="false"/>
            <w:i w:val="false"/>
            <w:color w:val="000000"/>
            <w:sz w:val="22"/>
          </w:rPr>
          <w:t>232.102(1)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or </w:t>
      </w:r>
      <w:hyperlink r:id="rId42">
        <w:r>
          <w:rPr>
            <w:rStyle w:val="Hyperlink"/>
            <w:rFonts w:ascii="Times New Roman" w:hAnsi="Times New Roman"/>
            <w:b w:val="false"/>
            <w:i w:val="false"/>
            <w:color w:val="000000"/>
            <w:sz w:val="22"/>
          </w:rPr>
          <w:t>232.182(5)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child is placed in shelter care pursuant to Iowa Code section </w:t>
      </w:r>
      <w:hyperlink r:id="rId43">
        <w:r>
          <w:rPr>
            <w:rStyle w:val="Hyperlink"/>
            <w:rFonts w:ascii="Times New Roman" w:hAnsi="Times New Roman"/>
            <w:b w:val="false"/>
            <w:i w:val="false"/>
            <w:color w:val="000000"/>
            <w:sz w:val="22"/>
          </w:rPr>
          <w:t>232.20(1)</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232.21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department has agreed to provide foster care under a voluntary placement agreement pursuant to rule </w:t>
      </w:r>
      <w:hyperlink r:id="rId45">
        <w:r>
          <w:rPr>
            <w:rStyle w:val="Hyperlink"/>
            <w:rFonts w:ascii="Times New Roman" w:hAnsi="Times New Roman"/>
            <w:b w:val="false"/>
            <w:i w:val="false"/>
            <w:color w:val="000000"/>
            <w:sz w:val="22"/>
          </w:rPr>
          <w:t>441—202.3</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Limitations. Department payment for group care shall be limited to placements that have been authorized by the department and that conform to the service area group care plan developed pursuant to rule </w:t>
      </w:r>
      <w:hyperlink r:id="rId46">
        <w:r>
          <w:rPr>
            <w:rStyle w:val="Hyperlink"/>
            <w:rFonts w:ascii="Times New Roman" w:hAnsi="Times New Roman"/>
            <w:b w:val="false"/>
            <w:i w:val="false"/>
            <w:color w:val="000000"/>
            <w:sz w:val="22"/>
          </w:rPr>
          <w:t>441—202.17</w:t>
        </w:r>
      </w:hyperlink>
      <w:r>
        <w:rPr>
          <w:rFonts w:ascii="Times New Roman" w:hAnsi="Times New Roman"/>
          <w:b w:val="false"/>
          <w:i w:val="false"/>
          <w:color w:val="000000"/>
          <w:sz w:val="22"/>
        </w:rPr>
        <w:t xml:space="preserve">(232). Payment for an out-of-state group care placement shall be limited to placements approved pursuant to </w:t>
      </w:r>
      <w:hyperlink r:id="rId47">
        <w:r>
          <w:rPr>
            <w:rStyle w:val="Hyperlink"/>
            <w:rFonts w:ascii="Times New Roman" w:hAnsi="Times New Roman"/>
            <w:b w:val="false"/>
            <w:i w:val="false"/>
            <w:color w:val="000000"/>
            <w:sz w:val="22"/>
          </w:rPr>
          <w:t>441—subrule 202.8(2)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Youth aged 18 and older who meet the definition of child in rule </w:t>
      </w:r>
      <w:hyperlink r:id="rId48">
        <w:r>
          <w:rPr>
            <w:rStyle w:val="Hyperlink"/>
            <w:rFonts w:ascii="Times New Roman" w:hAnsi="Times New Roman"/>
            <w:b w:val="false"/>
            <w:i w:val="false"/>
            <w:color w:val="000000"/>
            <w:sz w:val="22"/>
          </w:rPr>
          <w:t>441—202.1</w:t>
        </w:r>
      </w:hyperlink>
      <w:r>
        <w:rPr>
          <w:rFonts w:ascii="Times New Roman" w:hAnsi="Times New Roman"/>
          <w:b w:val="false"/>
          <w:i w:val="false"/>
          <w:color w:val="000000"/>
          <w:sz w:val="22"/>
        </w:rPr>
        <w:t xml:space="preserve">(234) shall be eligible based on age, a voluntary placement agreement pursuant to </w:t>
      </w:r>
      <w:hyperlink r:id="rId49">
        <w:r>
          <w:rPr>
            <w:rStyle w:val="Hyperlink"/>
            <w:rFonts w:ascii="Times New Roman" w:hAnsi="Times New Roman"/>
            <w:b w:val="false"/>
            <w:i w:val="false"/>
            <w:color w:val="000000"/>
            <w:sz w:val="22"/>
          </w:rPr>
          <w:t>441—subrule 202.3(3)</w:t>
        </w:r>
      </w:hyperlink>
      <w:r>
        <w:rPr>
          <w:rFonts w:ascii="Times New Roman" w:hAnsi="Times New Roman"/>
          <w:b w:val="false"/>
          <w:i w:val="false"/>
          <w:color w:val="000000"/>
          <w:sz w:val="22"/>
        </w:rPr>
        <w:t>, and type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50">
        <w:r>
          <w:rPr>
            <w:rStyle w:val="Hyperlink"/>
            <w:rFonts w:ascii="Times New Roman" w:hAnsi="Times New Roman"/>
            <w:b w:val="false"/>
            <w:i w:val="false"/>
            <w:color w:val="000000"/>
            <w:sz w:val="22"/>
          </w:rPr>
          <w:t>156.20(1)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payment for a child who is 18 years of age shall be limited to family foster care or supervised apartment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51">
        <w:r>
          <w:rPr>
            <w:rStyle w:val="Hyperlink"/>
            <w:rFonts w:ascii="Times New Roman" w:hAnsi="Times New Roman"/>
            <w:b w:val="false"/>
            <w:i w:val="false"/>
            <w:color w:val="000000"/>
            <w:sz w:val="22"/>
          </w:rPr>
          <w:t>156.20(1)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payment for a child who is 19 years of age shall be limited to supervised apartment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Exceptions. An exception to subparagraphs (1) and (2) shall be granted for all unaccompanied refugee minors. The child’s eligibility for the exception shall be documented in the case record. The service area manager or designee shall grant an exception for other children when the child meets all of the following criteria.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child does not have an intellectual disability. Funding for services for persons with an intellectual disability is the responsibility of the county or state pursuant to Iowa Code section </w:t>
      </w:r>
      <w:hyperlink r:id="rId52">
        <w:r>
          <w:rPr>
            <w:rStyle w:val="Hyperlink"/>
            <w:rFonts w:ascii="Times New Roman" w:hAnsi="Times New Roman"/>
            <w:b w:val="false"/>
            <w:i w:val="false"/>
            <w:color w:val="000000"/>
            <w:sz w:val="22"/>
          </w:rPr>
          <w:t>222.60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 is at imminent risk of becoming homeless or of failing to graduate from high school or obtain a general equivalency diploma. “At imminent risk of becoming homeless” shall mean that a less restrictive living arrangement is not available.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placement is in the child’s best interests.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Funds are available in the service area’s allocation. When the service area manager has approved payment for foster care pursuant to this subparagraph, funds that may be necessary to provide payment for the time period of the exception, not to exceed the current fiscal year, shall be considered encumbered and no longer available. Each service area’s funding allocation shall be based on the service area’s portion of the total number of children in foster care on March 31 preceding the beginning of the fiscal year, who would no longer be eligible for foster care during the fiscal year due to age, excluding unaccompanied refugee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young mother shall be eligible for the extra payment for her young child living with her in care as set forth in paragraph </w:t>
      </w:r>
      <w:r>
        <w:rPr>
          <w:rFonts w:ascii="Times New Roman" w:hAnsi="Times New Roman"/>
          <w:b w:val="false"/>
          <w:i w:val="false"/>
          <w:color w:val="000000"/>
          <w:sz w:val="22"/>
        </w:rPr>
        <w:t>156.6(4)</w:t>
      </w:r>
      <w:r>
        <w:rPr>
          <w:rFonts w:ascii="Times New Roman" w:hAnsi="Times New Roman"/>
          <w:b w:val="false"/>
          <w:i/>
          <w:color w:val="000000"/>
          <w:sz w:val="22"/>
        </w:rPr>
        <w:t>“a”</w:t>
      </w:r>
      <w:r>
        <w:rPr>
          <w:rFonts w:ascii="Times New Roman" w:hAnsi="Times New Roman"/>
          <w:b w:val="false"/>
          <w:i w:val="false"/>
          <w:color w:val="000000"/>
          <w:sz w:val="22"/>
        </w:rPr>
        <w:t xml:space="preserve"> and subrule </w:t>
      </w:r>
      <w:hyperlink r:id="rId53">
        <w:r>
          <w:rPr>
            <w:rStyle w:val="Hyperlink"/>
            <w:rFonts w:ascii="Times New Roman" w:hAnsi="Times New Roman"/>
            <w:b w:val="false"/>
            <w:i w:val="false"/>
            <w:color w:val="000000"/>
            <w:sz w:val="22"/>
          </w:rPr>
          <w:t>156.9(4)</w:t>
        </w:r>
      </w:hyperlink>
      <w:r>
        <w:rPr>
          <w:rFonts w:ascii="Times New Roman" w:hAnsi="Times New Roman"/>
          <w:b w:val="false"/>
          <w:i w:val="false"/>
          <w:color w:val="000000"/>
          <w:sz w:val="22"/>
        </w:rPr>
        <w:t xml:space="preserve">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mother is placed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mother’s custodian determines, as documented in the mother’s case permanency plan, that it is in her best interest and the best interest of the young child that the child remain with 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placement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mother agrees to refund to the department any child support payments she receives on behalf of the child and to allow the department to be made payee for any other unearned income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156.20(2)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for payment. </w:t>
      </w:r>
      <w:r>
        <w:rPr>
          <w:rFonts w:ascii="Times New Roman" w:hAnsi="Times New Roman"/>
          <w:b w:val="false"/>
          <w:i w:val="false"/>
          <w:color w:val="000000"/>
          <w:sz w:val="22"/>
        </w:rPr>
        <w:t xml:space="preserve">Providers of foster care services shall have a foster care services contract under </w:t>
      </w:r>
      <w:hyperlink r:id="rId54">
        <w:r>
          <w:rPr>
            <w:rStyle w:val="Hyperlink"/>
            <w:rFonts w:ascii="Times New Roman" w:hAnsi="Times New Roman"/>
            <w:b w:val="false"/>
            <w:i w:val="false"/>
            <w:color w:val="000000"/>
            <w:sz w:val="22"/>
          </w:rPr>
          <w:t>441—Chapter 152</w:t>
        </w:r>
      </w:hyperlink>
      <w:r>
        <w:rPr>
          <w:rFonts w:ascii="Times New Roman" w:hAnsi="Times New Roman"/>
          <w:b w:val="false"/>
          <w:i w:val="false"/>
          <w:color w:val="000000"/>
          <w:sz w:val="22"/>
        </w:rPr>
        <w:t xml:space="preserve"> in force.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232.143</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7/1/74; amended 9/4/74]</w:t>
      </w:r>
    </w:p>
    <w:p>
      <w:pPr>
        <w:spacing w:before="0" w:after="0"/>
        <w:ind w:left="120"/>
        <w:jc w:val="center"/>
      </w:pPr>
      <w:r>
        <w:rPr>
          <w:rFonts w:ascii="Times New Roman" w:hAnsi="Times New Roman"/>
          <w:b w:val="false"/>
          <w:i w:val="false"/>
          <w:color w:val="000000"/>
          <w:sz w:val="21"/>
        </w:rPr>
        <w:t>[Filed emergency 10/31/75—published 11/17/75, effective 11/1/75]</w:t>
      </w:r>
    </w:p>
    <w:p>
      <w:pPr>
        <w:spacing w:before="0" w:after="0"/>
        <w:ind w:left="120"/>
        <w:jc w:val="center"/>
      </w:pPr>
      <w:r>
        <w:rPr>
          <w:rFonts w:ascii="Times New Roman" w:hAnsi="Times New Roman"/>
          <w:b w:val="false"/>
          <w:i w:val="false"/>
          <w:color w:val="000000"/>
          <w:sz w:val="21"/>
        </w:rPr>
        <w:t>[Filed 12/23/75, Notice 11/17/75—published 1/12/76, effective 2/16/76]</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7/29/76—published 8/23/76, effective 9/1/76]</w:t>
      </w:r>
    </w:p>
    <w:p>
      <w:pPr>
        <w:spacing w:before="0" w:after="0"/>
        <w:ind w:left="120"/>
        <w:jc w:val="center"/>
      </w:pPr>
      <w:r>
        <w:rPr>
          <w:rFonts w:ascii="Times New Roman" w:hAnsi="Times New Roman"/>
          <w:b w:val="false"/>
          <w:i w:val="false"/>
          <w:color w:val="000000"/>
          <w:sz w:val="21"/>
        </w:rPr>
        <w:t>[Filed 10/7/76, Notice 8/23/76—published 11/3/76, effective 12/8/76]</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5/24/78, Notice 3/22/78—published 6/14/78, effective 7/19/78]</w:t>
      </w:r>
    </w:p>
    <w:p>
      <w:pPr>
        <w:spacing w:before="0" w:after="0"/>
        <w:ind w:left="120"/>
        <w:jc w:val="center"/>
      </w:pPr>
      <w:r>
        <w:rPr>
          <w:rFonts w:ascii="Times New Roman" w:hAnsi="Times New Roman"/>
          <w:b w:val="false"/>
          <w:i w:val="false"/>
          <w:color w:val="000000"/>
          <w:sz w:val="21"/>
        </w:rPr>
        <w:t>[Filed emergency 7/28/78—published 8/23/78, effective 8/1/78]</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10/24/80, Notice 9/3/80—published 11/12/80, effective 12/17/80]</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emergency 8/20/82—published 9/15/82, effective 9/1/82]</w:t>
      </w:r>
    </w:p>
    <w:p>
      <w:pPr>
        <w:spacing w:before="0" w:after="0"/>
        <w:ind w:left="120"/>
        <w:jc w:val="center"/>
      </w:pPr>
      <w:r>
        <w:rPr>
          <w:rFonts w:ascii="Times New Roman" w:hAnsi="Times New Roman"/>
          <w:b w:val="false"/>
          <w:i w:val="false"/>
          <w:color w:val="000000"/>
          <w:sz w:val="21"/>
        </w:rPr>
        <w:t>[Filed 2/25/83, Notice 12/22/82—published 3/16/83, effective 5/1/83]</w:t>
      </w:r>
    </w:p>
    <w:p>
      <w:pPr>
        <w:spacing w:before="0" w:after="0"/>
        <w:ind w:left="120"/>
        <w:jc w:val="center"/>
      </w:pPr>
      <w:r>
        <w:rPr>
          <w:rFonts w:ascii="Times New Roman" w:hAnsi="Times New Roman"/>
          <w:b w:val="false"/>
          <w:i w:val="false"/>
          <w:color w:val="000000"/>
          <w:sz w:val="21"/>
        </w:rPr>
        <w:t>[Filed emergency after Notice 6/17/83—published 7/6/83, effective 7/1/83]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11/16/84—published 12/5/84, effective 12/1/84]</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12/12/85, Notice 10/9/85—published 1/1/86, effective 3/1/86]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8/28/87, Notice 7/15/87—published 9/23/87, effective 11/1/87]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9/21/87—published 10/21/87, effective 9/22/87]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12/10/87, Notice 10/21/87—published 12/30/87, effective 3/1/88]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4/13/89, Notice 1/11/89—published 5/3/89,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7/13/89, Notice 5/31/89—published 8/9/89, effective 10/1/89]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5/14/93, Notice 3/17/93—published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2/17/93—published 9/1/93, effective 11/1/93]</w:t>
      </w:r>
    </w:p>
    <w:p>
      <w:pPr>
        <w:spacing w:before="0" w:after="0"/>
        <w:ind w:left="120"/>
        <w:jc w:val="center"/>
      </w:pPr>
      <w:r>
        <w:rPr>
          <w:rFonts w:ascii="Times New Roman" w:hAnsi="Times New Roman"/>
          <w:b w:val="false"/>
          <w:i w:val="false"/>
          <w:color w:val="000000"/>
          <w:sz w:val="21"/>
        </w:rPr>
        <w:t>[Filed 9/17/93, Notice 7/21/93—published 10/13/93, effective 1/1/94]</w:t>
      </w:r>
    </w:p>
    <w:p>
      <w:pPr>
        <w:spacing w:before="0" w:after="0"/>
        <w:ind w:left="120"/>
        <w:jc w:val="center"/>
      </w:pPr>
      <w:r>
        <w:rPr>
          <w:rFonts w:ascii="Times New Roman" w:hAnsi="Times New Roman"/>
          <w:b w:val="false"/>
          <w:i w:val="false"/>
          <w:color w:val="000000"/>
          <w:sz w:val="21"/>
        </w:rPr>
        <w:t>[Filed emergency 10/14/93—published 11/10/93, effective 11/1/93]</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12/16/93, Notices 10/13/93, 11/10/93—published 1/5/94, effective 3/1/94]</w:t>
      </w:r>
    </w:p>
    <w:p>
      <w:pPr>
        <w:spacing w:before="0" w:after="0"/>
        <w:ind w:left="120"/>
        <w:jc w:val="center"/>
      </w:pPr>
      <w:r>
        <w:rPr>
          <w:rFonts w:ascii="Times New Roman" w:hAnsi="Times New Roman"/>
          <w:b w:val="false"/>
          <w:i w:val="false"/>
          <w:color w:val="000000"/>
          <w:sz w:val="21"/>
        </w:rPr>
        <w:t>[Filed emergency 5/11/94 after Notice 3/16/94—published 6/8/94,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12/15/94—published 1/4/95, effective 2/1/95]</w:t>
      </w:r>
    </w:p>
    <w:p>
      <w:pPr>
        <w:spacing w:before="0" w:after="0"/>
        <w:ind w:left="120"/>
        <w:jc w:val="center"/>
      </w:pPr>
      <w:r>
        <w:rPr>
          <w:rFonts w:ascii="Times New Roman" w:hAnsi="Times New Roman"/>
          <w:b w:val="false"/>
          <w:i w:val="false"/>
          <w:color w:val="000000"/>
          <w:sz w:val="21"/>
        </w:rPr>
        <w:t>[Filed 12/15/94, Notice 10/26/94—published 1/4/95, effective 3/1/95]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3/20/95, Notice 1/18/95—published 4/12/95, effective 6/1/95]</w:t>
      </w:r>
    </w:p>
    <w:p>
      <w:pPr>
        <w:spacing w:before="0" w:after="0"/>
        <w:ind w:left="120"/>
        <w:jc w:val="center"/>
      </w:pPr>
      <w:r>
        <w:rPr>
          <w:rFonts w:ascii="Times New Roman" w:hAnsi="Times New Roman"/>
          <w:b w:val="false"/>
          <w:i w:val="false"/>
          <w:color w:val="000000"/>
          <w:sz w:val="21"/>
        </w:rPr>
        <w:t>[Filed 4/13/95, Notices 2/15/95, 3/1/95—published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emergency 7/12/95—published 8/2/95, effective 9/1/95]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9/25/95, Notice 8/2/95—published 10/11/95, effective 12/1/95]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6/13/96—published 7/3/96, effective 8/1/96]</w:t>
      </w:r>
    </w:p>
    <w:p>
      <w:pPr>
        <w:spacing w:before="0" w:after="0"/>
        <w:ind w:left="120"/>
        <w:jc w:val="center"/>
      </w:pPr>
      <w:r>
        <w:rPr>
          <w:rFonts w:ascii="Times New Roman" w:hAnsi="Times New Roman"/>
          <w:b w:val="false"/>
          <w:i w:val="false"/>
          <w:color w:val="000000"/>
          <w:sz w:val="21"/>
        </w:rPr>
        <w:t>[Filed 8/15/96, Notices 6/19/96, 7/3/96—published 9/11/96, effective 11/1/96]</w:t>
      </w:r>
    </w:p>
    <w:p>
      <w:pPr>
        <w:spacing w:before="0" w:after="0"/>
        <w:ind w:left="120"/>
        <w:jc w:val="center"/>
      </w:pPr>
      <w:r>
        <w:rPr>
          <w:rFonts w:ascii="Times New Roman" w:hAnsi="Times New Roman"/>
          <w:b w:val="false"/>
          <w:i w:val="false"/>
          <w:color w:val="000000"/>
          <w:sz w:val="21"/>
        </w:rPr>
        <w:t>[Filed 9/17/96, Notice 7/17/96—published 10/9/96, effective 12/1/96]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10/15/97, Notice 7/30/97—published 11/5/97, effective 1/1/98]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emergency 10/14/98 after Notice 8/26/98—published 11/4/98, effective 11/1/98]</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emergency 10/13/99 after Notice 8/25/99—published 11/3/99, effective 11/1/99]</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1/10/01, Notice 11/15/00—published 2/7/01, effective 4/1/01]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6/16/06—published 7/5/06, effective 7/1/06]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9/19/06, Notices 7/5/06—published 10/11/06, effective 11/16/06]</w:t>
      </w:r>
    </w:p>
    <w:p>
      <w:pPr>
        <w:spacing w:before="0" w:after="0"/>
        <w:ind w:left="120"/>
        <w:jc w:val="center"/>
      </w:pPr>
      <w:r>
        <w:rPr>
          <w:rFonts w:ascii="Times New Roman" w:hAnsi="Times New Roman"/>
          <w:b w:val="false"/>
          <w:i w:val="false"/>
          <w:color w:val="000000"/>
          <w:sz w:val="21"/>
        </w:rPr>
        <w:t>[Filed emergency 10/12/06—published 11/8/06, effective 11/1/06]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emergency 6/13/07—published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7606B</w:t>
      </w:r>
      <w:r>
        <w:rPr>
          <w:rFonts w:ascii="Times New Roman" w:hAnsi="Times New Roman"/>
          <w:b w:val="false"/>
          <w:i w:val="false"/>
          <w:color w:val="000000"/>
          <w:sz w:val="21"/>
        </w:rPr>
        <w:t xml:space="preserve"> (Notice ARC 7372B, IAB 12/3/08)</w:t>
      </w:r>
      <w:r>
        <w:rPr>
          <w:rFonts w:ascii="Times New Roman" w:hAnsi="Times New Roman"/>
          <w:b w:val="false"/>
          <w:i w:val="false"/>
          <w:color w:val="000000"/>
          <w:sz w:val="21"/>
        </w:rPr>
        <w:t>, IAB 3/11/09, effective 5/1/09]</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Emergency ARC 8451B, IAB 1/13/10, effective 1/1/10]</w:t>
      </w:r>
    </w:p>
    <w:p>
      <w:pPr>
        <w:spacing w:before="0" w:after="0"/>
        <w:ind w:left="120"/>
        <w:jc w:val="center"/>
      </w:pPr>
      <w:r>
        <w:rPr>
          <w:rFonts w:ascii="Times New Roman" w:hAnsi="Times New Roman"/>
          <w:b w:val="false"/>
          <w:i w:val="false"/>
          <w:color w:val="000000"/>
          <w:sz w:val="21"/>
        </w:rPr>
        <w:t>[Filed ARC 8653B</w:t>
      </w:r>
      <w:r>
        <w:rPr>
          <w:rFonts w:ascii="Times New Roman" w:hAnsi="Times New Roman"/>
          <w:b w:val="false"/>
          <w:i w:val="false"/>
          <w:color w:val="000000"/>
          <w:sz w:val="21"/>
        </w:rPr>
        <w:t xml:space="preserve"> (Notice ARC 8452B,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8715B</w:t>
      </w:r>
      <w:r>
        <w:rPr>
          <w:rFonts w:ascii="Times New Roman" w:hAnsi="Times New Roman"/>
          <w:b w:val="false"/>
          <w:i w:val="false"/>
          <w:color w:val="000000"/>
          <w:sz w:val="21"/>
        </w:rPr>
        <w:t xml:space="preserve"> (Notice ARC 8490B, IAB 1/27/10)</w:t>
      </w:r>
      <w:r>
        <w:rPr>
          <w:rFonts w:ascii="Times New Roman" w:hAnsi="Times New Roman"/>
          <w:b w:val="false"/>
          <w:i w:val="false"/>
          <w:color w:val="000000"/>
          <w:sz w:val="21"/>
        </w:rPr>
        <w:t>, IAB 5/5/10, effective 7/1/10]</w:t>
      </w:r>
    </w:p>
    <w:p>
      <w:pPr>
        <w:spacing w:before="0" w:after="0"/>
        <w:ind w:left="120"/>
        <w:jc w:val="center"/>
      </w:pPr>
      <w:r>
        <w:rPr>
          <w:rFonts w:ascii="Times New Roman" w:hAnsi="Times New Roman"/>
          <w:b w:val="false"/>
          <w:i w:val="false"/>
          <w:color w:val="000000"/>
          <w:sz w:val="21"/>
        </w:rPr>
        <w:t>[Filed Emergency ARC 8904B, IAB 6/30/10, effective 7/1/10]</w:t>
      </w:r>
    </w:p>
    <w:p>
      <w:pPr>
        <w:spacing w:before="0" w:after="0"/>
        <w:ind w:left="120"/>
        <w:jc w:val="center"/>
      </w:pPr>
      <w:r>
        <w:rPr>
          <w:rFonts w:ascii="Times New Roman" w:hAnsi="Times New Roman"/>
          <w:b w:val="false"/>
          <w:i w:val="false"/>
          <w:color w:val="000000"/>
          <w:sz w:val="21"/>
        </w:rPr>
        <w:t>[Filed ARC 9778B</w:t>
      </w:r>
      <w:r>
        <w:rPr>
          <w:rFonts w:ascii="Times New Roman" w:hAnsi="Times New Roman"/>
          <w:b w:val="false"/>
          <w:i w:val="false"/>
          <w:color w:val="000000"/>
          <w:sz w:val="21"/>
        </w:rPr>
        <w:t xml:space="preserve"> (Notice ARC 9625B,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Emergency ARC 0240C, IAB 8/8/12, effective 7/11/12]</w:t>
      </w:r>
    </w:p>
    <w:p>
      <w:pPr>
        <w:spacing w:before="0" w:after="0"/>
        <w:ind w:left="120"/>
        <w:jc w:val="center"/>
      </w:pPr>
      <w:r>
        <w:rPr>
          <w:rFonts w:ascii="Times New Roman" w:hAnsi="Times New Roman"/>
          <w:b w:val="false"/>
          <w:i w:val="false"/>
          <w:color w:val="000000"/>
          <w:sz w:val="21"/>
        </w:rPr>
        <w:t>[Filed ARC 0419C</w:t>
      </w:r>
      <w:r>
        <w:rPr>
          <w:rFonts w:ascii="Times New Roman" w:hAnsi="Times New Roman"/>
          <w:b w:val="false"/>
          <w:i w:val="false"/>
          <w:color w:val="000000"/>
          <w:sz w:val="21"/>
        </w:rPr>
        <w:t xml:space="preserve"> (Notice ARC 0241C,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Emergency ARC 0858C, IAB 7/24/13, effective 7/1/13]</w:t>
      </w:r>
      <w:r>
        <w:br/>
      </w:r>
      <w:r>
        <w:rPr>
          <w:rFonts w:ascii="Times New Roman" w:hAnsi="Times New Roman"/>
          <w:b w:val="false"/>
          <w:i w:val="false"/>
          <w:color w:val="000000"/>
          <w:sz w:val="21"/>
        </w:rPr>
        <w:t>[Filed Emergency ARC 0856C, IAB 7/24/13, effective 7/1/13]</w:t>
      </w:r>
    </w:p>
    <w:p>
      <w:pPr>
        <w:spacing w:before="0" w:after="0"/>
        <w:ind w:left="120"/>
        <w:jc w:val="center"/>
      </w:pPr>
      <w:r>
        <w:rPr>
          <w:rFonts w:ascii="Times New Roman" w:hAnsi="Times New Roman"/>
          <w:b w:val="false"/>
          <w:i w:val="false"/>
          <w:color w:val="000000"/>
          <w:sz w:val="21"/>
        </w:rPr>
        <w:t>[Filed ARC 1061C</w:t>
      </w:r>
      <w:r>
        <w:rPr>
          <w:rFonts w:ascii="Times New Roman" w:hAnsi="Times New Roman"/>
          <w:b w:val="false"/>
          <w:i w:val="false"/>
          <w:color w:val="000000"/>
          <w:sz w:val="21"/>
        </w:rPr>
        <w:t xml:space="preserve"> (Notice ARC 0857C,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1062C</w:t>
      </w:r>
      <w:r>
        <w:rPr>
          <w:rFonts w:ascii="Times New Roman" w:hAnsi="Times New Roman"/>
          <w:b w:val="false"/>
          <w:i w:val="false"/>
          <w:color w:val="000000"/>
          <w:sz w:val="21"/>
        </w:rPr>
        <w:t xml:space="preserve"> (Notice ARC 0855C,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Emergency ARC 1523C, IAB 7/9/14, effective 7/1/14]</w:t>
      </w:r>
    </w:p>
    <w:p>
      <w:pPr>
        <w:spacing w:before="0" w:after="0"/>
        <w:ind w:left="120"/>
        <w:jc w:val="center"/>
      </w:pPr>
      <w:r>
        <w:rPr>
          <w:rFonts w:ascii="Times New Roman" w:hAnsi="Times New Roman"/>
          <w:b w:val="false"/>
          <w:i w:val="false"/>
          <w:color w:val="000000"/>
          <w:sz w:val="21"/>
        </w:rPr>
        <w:t>[Filed ARC 1607C</w:t>
      </w:r>
      <w:r>
        <w:rPr>
          <w:rFonts w:ascii="Times New Roman" w:hAnsi="Times New Roman"/>
          <w:b w:val="false"/>
          <w:i w:val="false"/>
          <w:color w:val="000000"/>
          <w:sz w:val="21"/>
        </w:rPr>
        <w:t xml:space="preserve"> (Notice ARC 1522C,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3442C</w:t>
      </w:r>
      <w:r>
        <w:rPr>
          <w:rFonts w:ascii="Times New Roman" w:hAnsi="Times New Roman"/>
          <w:b w:val="false"/>
          <w:i w:val="false"/>
          <w:color w:val="000000"/>
          <w:sz w:val="21"/>
        </w:rPr>
        <w:t xml:space="preserve"> (Notice ARC 3260C, IAB 8/16/17)</w:t>
      </w:r>
      <w:r>
        <w:rPr>
          <w:rFonts w:ascii="Times New Roman" w:hAnsi="Times New Roman"/>
          <w:b w:val="false"/>
          <w:i w:val="false"/>
          <w:color w:val="000000"/>
          <w:sz w:val="21"/>
        </w:rPr>
        <w:t>, IAB 11/8/17, effective 1/1/18]</w:t>
      </w:r>
    </w:p>
    <w:p>
      <w:pPr>
        <w:spacing w:before="0" w:after="0"/>
        <w:ind w:left="120"/>
        <w:jc w:val="center"/>
      </w:pPr>
      <w:r>
        <w:rPr>
          <w:rFonts w:ascii="Times New Roman" w:hAnsi="Times New Roman"/>
          <w:b w:val="false"/>
          <w:i w:val="false"/>
          <w:color w:val="000000"/>
          <w:sz w:val="21"/>
        </w:rPr>
        <w:t>[Filed ARC 5540C</w:t>
      </w:r>
      <w:r>
        <w:rPr>
          <w:rFonts w:ascii="Times New Roman" w:hAnsi="Times New Roman"/>
          <w:b w:val="false"/>
          <w:i w:val="false"/>
          <w:color w:val="000000"/>
          <w:sz w:val="21"/>
        </w:rPr>
        <w:t xml:space="preserve"> (Notice ARC 5406C, IAB 1/27/21)</w:t>
      </w:r>
      <w:r>
        <w:rPr>
          <w:rFonts w:ascii="Times New Roman" w:hAnsi="Times New Roman"/>
          <w:b w:val="false"/>
          <w:i w:val="false"/>
          <w:color w:val="000000"/>
          <w:sz w:val="21"/>
        </w:rPr>
        <w:t>, IAB 4/7/21, effective 7/1/21]</w:t>
      </w:r>
    </w:p>
    <w:p>
      <w:pPr>
        <w:spacing w:before="0" w:after="0"/>
        <w:ind w:left="120"/>
        <w:jc w:val="center"/>
      </w:pPr>
      <w:r>
        <w:rPr>
          <w:rFonts w:ascii="Times New Roman" w:hAnsi="Times New Roman"/>
          <w:b w:val="false"/>
          <w:i w:val="false"/>
          <w:color w:val="000000"/>
          <w:sz w:val="21"/>
        </w:rPr>
        <w:t>[Filed ARC 6964C</w:t>
      </w:r>
      <w:r>
        <w:rPr>
          <w:rFonts w:ascii="Times New Roman" w:hAnsi="Times New Roman"/>
          <w:b w:val="false"/>
          <w:i w:val="false"/>
          <w:color w:val="000000"/>
          <w:sz w:val="21"/>
        </w:rPr>
        <w:t xml:space="preserve"> (Notice ARC 6810C, IAB 1/11/23)</w:t>
      </w:r>
      <w:r>
        <w:rPr>
          <w:rFonts w:ascii="Times New Roman" w:hAnsi="Times New Roman"/>
          <w:b w:val="false"/>
          <w:i w:val="false"/>
          <w:color w:val="000000"/>
          <w:sz w:val="21"/>
        </w:rPr>
        <w:t>, IAB 4/5/23, effective 6/1/23]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3.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ac/chapter/441.99.pdf" Type="http://schemas.openxmlformats.org/officeDocument/2006/relationships/hyperlink" Id="rId7"/>
    <Relationship TargetMode="External" Target="https://www.legis.iowa.gov/docs/ico/chapter/135.1.pdf" Type="http://schemas.openxmlformats.org/officeDocument/2006/relationships/hyperlink" Id="rId8"/>
    <Relationship TargetMode="External" Target="https://www.legis.iowa.gov/docs/iac/rule/441.156.6.pdf" Type="http://schemas.openxmlformats.org/officeDocument/2006/relationships/hyperlink" Id="rId9"/>
    <Relationship TargetMode="External" Target="https://www.legis.iowa.gov/docs/ico/chapter/234.39.pdf" Type="http://schemas.openxmlformats.org/officeDocument/2006/relationships/hyperlink" Id="rId10"/>
    <Relationship TargetMode="External" Target="https://www.legis.iowa.gov/docs/iac/chapter/441.99.pdf" Type="http://schemas.openxmlformats.org/officeDocument/2006/relationships/hyperlink" Id="rId11"/>
    <Relationship TargetMode="External" Target="https://www.legis.iowa.gov/docs/ico/chapter/234.39.pdf" Type="http://schemas.openxmlformats.org/officeDocument/2006/relationships/hyperlink" Id="rId12"/>
    <Relationship TargetMode="External" Target="https://www.legis.iowa.gov/docs/iac/rule/441.156.6.pdf" Type="http://schemas.openxmlformats.org/officeDocument/2006/relationships/hyperlink" Id="rId13"/>
    <Relationship TargetMode="External" Target="https://www.legis.iowa.gov/docs/iac/rule/441.156.6.pdf" Type="http://schemas.openxmlformats.org/officeDocument/2006/relationships/hyperlink" Id="rId14"/>
    <Relationship TargetMode="External" Target="https://www.legis.iowa.gov/docs/iac/rule/441.156.6.pdf" Type="http://schemas.openxmlformats.org/officeDocument/2006/relationships/hyperlink" Id="rId15"/>
    <Relationship TargetMode="External" Target="https://www.legis.iowa.gov/docs/iac/rule/441.156.6.pdf" Type="http://schemas.openxmlformats.org/officeDocument/2006/relationships/hyperlink" Id="rId16"/>
    <Relationship TargetMode="External" Target="https://www.legis.iowa.gov/docs/ico/chapter/234.38.pdf" Type="http://schemas.openxmlformats.org/officeDocument/2006/relationships/hyperlink" Id="rId17"/>
    <Relationship TargetMode="External" Target="https://www.legis.iowa.gov/docs/ico/chapter/232.102.pdf" Type="http://schemas.openxmlformats.org/officeDocument/2006/relationships/hyperlink" Id="rId18"/>
    <Relationship TargetMode="External" Target="https://www.legis.iowa.gov/docs/iac/rule/441.156.6.pdf" Type="http://schemas.openxmlformats.org/officeDocument/2006/relationships/hyperlink" Id="rId19"/>
    <Relationship TargetMode="External" Target="https://www.legis.iowa.gov/docs/iac/chapter/441.110.pdf" Type="http://schemas.openxmlformats.org/officeDocument/2006/relationships/hyperlink" Id="rId20"/>
    <Relationship TargetMode="External" Target="https://www.legis.iowa.gov/docs/iac/rule/441.170.4.pdf" Type="http://schemas.openxmlformats.org/officeDocument/2006/relationships/hyperlink" Id="rId21"/>
    <Relationship TargetMode="External" Target="https://www.legis.iowa.gov/docs/ico/chapter/234.35.pdf" Type="http://schemas.openxmlformats.org/officeDocument/2006/relationships/hyperlink" Id="rId22"/>
    <Relationship TargetMode="External" Target="https://www.legis.iowa.gov/docs/iac/rule/441.156.9.pdf" Type="http://schemas.openxmlformats.org/officeDocument/2006/relationships/hyperlink" Id="rId23"/>
    <Relationship TargetMode="External" Target="https://www.legis.iowa.gov/docs/iac/rule/441.156.9.pdf" Type="http://schemas.openxmlformats.org/officeDocument/2006/relationships/hyperlink" Id="rId24"/>
    <Relationship TargetMode="External" Target="https://www.legis.iowa.gov/docs/iac/rule/441.156.9.pdf" Type="http://schemas.openxmlformats.org/officeDocument/2006/relationships/hyperlink" Id="rId25"/>
    <Relationship TargetMode="External" Target="https://www.legis.iowa.gov/docs/ico/chapter/234.6.pdf" Type="http://schemas.openxmlformats.org/officeDocument/2006/relationships/hyperlink" Id="rId26"/>
    <Relationship TargetMode="External" Target="https://www.legis.iowa.gov/docs/ico/chapter/234.38.pdf" Type="http://schemas.openxmlformats.org/officeDocument/2006/relationships/hyperlink" Id="rId27"/>
    <Relationship TargetMode="External" Target="https://www.legis.iowa.gov/docs/ico/chapter/234.6.pdf" Type="http://schemas.openxmlformats.org/officeDocument/2006/relationships/hyperlink" Id="rId28"/>
    <Relationship TargetMode="External" Target="https://www.legis.iowa.gov/docs/ico/chapter/234.35.pdf" Type="http://schemas.openxmlformats.org/officeDocument/2006/relationships/hyperlink" Id="rId29"/>
    <Relationship TargetMode="External" Target="https://www.legis.iowa.gov/docs/ico/chapter/232.141.pdf" Type="http://schemas.openxmlformats.org/officeDocument/2006/relationships/hyperlink" Id="rId30"/>
    <Relationship TargetMode="External" Target="https://www.legis.iowa.gov/docs/ico/chapter/234.6.pdf" Type="http://schemas.openxmlformats.org/officeDocument/2006/relationships/hyperlink" Id="rId31"/>
    <Relationship TargetMode="External" Target="https://www.legis.iowa.gov/docs/ico/chapter/234.39.pdf" Type="http://schemas.openxmlformats.org/officeDocument/2006/relationships/hyperlink" Id="rId32"/>
    <Relationship TargetMode="External" Target="https://www.legis.iowa.gov/docs/ico/chapter/234.35.pdf" Type="http://schemas.openxmlformats.org/officeDocument/2006/relationships/hyperlink" Id="rId33"/>
    <Relationship TargetMode="External" Target="https://www.legis.iowa.gov/docs/ico/chapter/234.39.pdf" Type="http://schemas.openxmlformats.org/officeDocument/2006/relationships/hyperlink" Id="rId34"/>
    <Relationship TargetMode="External" Target="https://www.legis.iowa.gov/docs/ico/chapter/234.39.pdf" Type="http://schemas.openxmlformats.org/officeDocument/2006/relationships/hyperlink" Id="rId35"/>
    <Relationship TargetMode="External" Target="https://www.legis.iowa.gov/docs/ico/chapter/234.39.pdf" Type="http://schemas.openxmlformats.org/officeDocument/2006/relationships/hyperlink" Id="rId36"/>
    <Relationship TargetMode="External" Target="https://www.legis.iowa.gov/docs/iac/rule/441.201.5.pdf" Type="http://schemas.openxmlformats.org/officeDocument/2006/relationships/hyperlink" Id="rId37"/>
    <Relationship TargetMode="External" Target="https://www.legis.iowa.gov/docs/ico/chapter/234.38.pdf" Type="http://schemas.openxmlformats.org/officeDocument/2006/relationships/hyperlink" Id="rId38"/>
    <Relationship TargetMode="External" Target="https://www.legis.iowa.gov/docs/ico/chapter/232.52.pdf" Type="http://schemas.openxmlformats.org/officeDocument/2006/relationships/hyperlink" Id="rId39"/>
    <Relationship TargetMode="External" Target="https://www.legis.iowa.gov/docs/ico/chapter/232.102.pdf" Type="http://schemas.openxmlformats.org/officeDocument/2006/relationships/hyperlink" Id="rId40"/>
    <Relationship TargetMode="External" Target="https://www.legis.iowa.gov/docs/ico/chapter/232.117.pdf" Type="http://schemas.openxmlformats.org/officeDocument/2006/relationships/hyperlink" Id="rId41"/>
    <Relationship TargetMode="External" Target="https://www.legis.iowa.gov/docs/ico/chapter/232.182.pdf" Type="http://schemas.openxmlformats.org/officeDocument/2006/relationships/hyperlink" Id="rId42"/>
    <Relationship TargetMode="External" Target="https://www.legis.iowa.gov/docs/ico/chapter/232.20.pdf" Type="http://schemas.openxmlformats.org/officeDocument/2006/relationships/hyperlink" Id="rId43"/>
    <Relationship TargetMode="External" Target="https://www.legis.iowa.gov/docs/ico/chapter/232.21.pdf" Type="http://schemas.openxmlformats.org/officeDocument/2006/relationships/hyperlink" Id="rId44"/>
    <Relationship TargetMode="External" Target="https://www.legis.iowa.gov/docs/iac/rule/441.202.3.pdf" Type="http://schemas.openxmlformats.org/officeDocument/2006/relationships/hyperlink" Id="rId45"/>
    <Relationship TargetMode="External" Target="https://www.legis.iowa.gov/docs/iac/rule/441.202.17.pdf" Type="http://schemas.openxmlformats.org/officeDocument/2006/relationships/hyperlink" Id="rId46"/>
    <Relationship TargetMode="External" Target="https://www.legis.iowa.gov/docs/iac/rule/441.202.8.pdf" Type="http://schemas.openxmlformats.org/officeDocument/2006/relationships/hyperlink" Id="rId47"/>
    <Relationship TargetMode="External" Target="https://www.legis.iowa.gov/docs/iac/rule/441.202.1.pdf" Type="http://schemas.openxmlformats.org/officeDocument/2006/relationships/hyperlink" Id="rId48"/>
    <Relationship TargetMode="External" Target="https://www.legis.iowa.gov/docs/iac/rule/441.202.3.pdf" Type="http://schemas.openxmlformats.org/officeDocument/2006/relationships/hyperlink" Id="rId49"/>
    <Relationship TargetMode="External" Target="https://www.legis.iowa.gov/docs/iac/rule/441.156.20.pdf" Type="http://schemas.openxmlformats.org/officeDocument/2006/relationships/hyperlink" Id="rId50"/>
    <Relationship TargetMode="External" Target="https://www.legis.iowa.gov/docs/iac/rule/441.156.20.pdf" Type="http://schemas.openxmlformats.org/officeDocument/2006/relationships/hyperlink" Id="rId51"/>
    <Relationship TargetMode="External" Target="https://www.legis.iowa.gov/docs/ico/chapter/222.60.pdf" Type="http://schemas.openxmlformats.org/officeDocument/2006/relationships/hyperlink" Id="rId52"/>
    <Relationship TargetMode="External" Target="https://www.legis.iowa.gov/docs/iac/rule/441.156.9.pdf" Type="http://schemas.openxmlformats.org/officeDocument/2006/relationships/hyperlink" Id="rId53"/>
    <Relationship TargetMode="External" Target="https://www.legis.iowa.gov/docs/iac/chapter/441.152.pdf" Type="http://schemas.openxmlformats.org/officeDocument/2006/relationships/hyperlink" Id="rId54"/>
    <Relationship TargetMode="External" Target="https://www.legis.iowa.gov/docs/ico/chapter/232.143.pdf" Type="http://schemas.openxmlformats.org/officeDocument/2006/relationships/hyperlink" Id="rId55"/>
    <Relationship TargetMode="External" Target="https://www.legis.iowa.gov/docs/ico/chapter/234.35.pdf" Type="http://schemas.openxmlformats.org/officeDocument/2006/relationships/hyperlink" Id="rId56"/>
    <Relationship TargetMode="External" Target="https://www.legis.iowa.gov/docs/ico/chapter/234.38.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