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121</w:t>
      </w:r>
    </w:p>
    <w:p>
      <w:pPr>
        <w:spacing w:before="0" w:after="0"/>
        <w:ind w:left="120"/>
        <w:jc w:val="center"/>
      </w:pPr>
      <w:r>
        <w:rPr>
          <w:rFonts w:ascii="Times New Roman" w:hAnsi="Times New Roman"/>
          <w:b w:val="false"/>
          <w:i w:val="false"/>
          <w:color w:val="000000"/>
          <w:sz w:val="21"/>
        </w:rPr>
        <w:t>EARLY CHILDHOOD IOWA INITIATIVE</w:t>
      </w:r>
    </w:p>
    <w:p>
      <w:pPr>
        <w:spacing w:before="0" w:after="0"/>
        <w:ind w:left="120"/>
        <w:jc w:val="center"/>
      </w:pPr>
      <w:r>
        <w:rPr>
          <w:rFonts w:ascii="Times New Roman" w:hAnsi="Times New Roman"/>
          <w:b w:val="false"/>
          <w:i w:val="false"/>
          <w:color w:val="000000"/>
          <w:sz w:val="14"/>
        </w:rPr>
        <w:t>[Prior to 6/14/23, see Early Childhood Iowa State Board[249]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441—121.1</w:t>
      </w:r>
      <w:r>
        <w:rPr>
          <w:rFonts w:ascii="Times New Roman" w:hAnsi="Times New Roman"/>
          <w:b/>
          <w:i w:val="false"/>
          <w:color w:val="000000"/>
          <w:sz w:val="22"/>
        </w:rPr>
        <w:t xml:space="preserve">(256I)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establishes the early childhood Iowa initiative enacted by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9346B</w:t>
      </w:r>
      <w:r>
        <w:rPr>
          <w:rFonts w:ascii="Times New Roman" w:hAnsi="Times New Roman"/>
          <w:b w:val="false"/>
          <w:i w:val="false"/>
          <w:color w:val="000000"/>
          <w:sz w:val="16"/>
        </w:rPr>
        <w:t>, IAB 1/26/11, effective 3/2/11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441—121.2</w:t>
      </w:r>
      <w:r>
        <w:rPr>
          <w:rFonts w:ascii="Times New Roman" w:hAnsi="Times New Roman"/>
          <w:b/>
          <w:i w:val="false"/>
          <w:color w:val="000000"/>
          <w:sz w:val="22"/>
        </w:rPr>
        <w:t xml:space="preserve">(256I) </w:t>
      </w:r>
      <w:r>
        <w:rPr>
          <w:rFonts w:ascii="Times New Roman" w:hAnsi="Times New Roman"/>
          <w:b/>
          <w:i w:val="false"/>
          <w:color w:val="000000"/>
          <w:sz w:val="22"/>
        </w:rPr>
        <w:t xml:space="preserve">Scope of the rules. </w:t>
      </w:r>
      <w:r>
        <w:rPr>
          <w:rFonts w:ascii="Times New Roman" w:hAnsi="Times New Roman"/>
          <w:b w:val="false"/>
          <w:i w:val="false"/>
          <w:color w:val="000000"/>
          <w:sz w:val="22"/>
        </w:rPr>
        <w:t xml:space="preserve">The rules for the initiative are promulgated under Iowa Code section </w:t>
      </w:r>
      <w:hyperlink r:id="rId5">
        <w:r>
          <w:rPr>
            <w:rStyle w:val="Hyperlink"/>
            <w:rFonts w:ascii="Times New Roman" w:hAnsi="Times New Roman"/>
            <w:b w:val="false"/>
            <w:i w:val="false"/>
            <w:color w:val="000000"/>
            <w:sz w:val="22"/>
          </w:rPr>
          <w:t>256I.4</w:t>
        </w:r>
      </w:hyperlink>
      <w:r>
        <w:rPr>
          <w:rFonts w:ascii="Times New Roman" w:hAnsi="Times New Roman"/>
          <w:b w:val="false"/>
          <w:i w:val="false"/>
          <w:color w:val="000000"/>
          <w:sz w:val="22"/>
        </w:rPr>
        <w:t>. No rule shall, in any way, relieve a person affected by or subject to these rules, or any person affected by or subject to the rules promulgated by the early childhood Iowa initiative, from any duty under the laws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9346B</w:t>
      </w:r>
      <w:r>
        <w:rPr>
          <w:rFonts w:ascii="Times New Roman" w:hAnsi="Times New Roman"/>
          <w:b w:val="false"/>
          <w:i w:val="false"/>
          <w:color w:val="000000"/>
          <w:sz w:val="16"/>
        </w:rPr>
        <w:t>, IAB 1/26/11, effective 3/2/11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441—121.3</w:t>
      </w:r>
      <w:r>
        <w:rPr>
          <w:rFonts w:ascii="Times New Roman" w:hAnsi="Times New Roman"/>
          <w:b/>
          <w:i w:val="false"/>
          <w:color w:val="000000"/>
          <w:sz w:val="22"/>
        </w:rPr>
        <w:t xml:space="preserve">(256I)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“Alignment” </w:t>
      </w:r>
      <w:r>
        <w:rPr>
          <w:rFonts w:ascii="Times New Roman" w:hAnsi="Times New Roman"/>
          <w:b w:val="false"/>
          <w:i w:val="false"/>
          <w:color w:val="000000"/>
          <w:sz w:val="22"/>
        </w:rPr>
        <w:t>means state- and community-level efforts to integrate early care, health, and education systems and to enhance state and community partnerships through innovative approaches.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to identify for children and their families all formal and informal supports, assets and resources, as well as gaps, in an early childhood Iowa area. An assessment includes communitywide data, statistics, and facts upon which to base decisions to develop a community plan and to identify priorities to reach the desired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“Citizen representative” </w:t>
      </w:r>
      <w:r>
        <w:rPr>
          <w:rFonts w:ascii="Times New Roman" w:hAnsi="Times New Roman"/>
          <w:b w:val="false"/>
          <w:i w:val="false"/>
          <w:color w:val="000000"/>
          <w:sz w:val="22"/>
        </w:rPr>
        <w:t>means a member of an early childhood Iowa board who is not an elected official or a paid staff member of an agency whose services fall under the plan or purview of the area board either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partners” </w:t>
      </w:r>
      <w:r>
        <w:rPr>
          <w:rFonts w:ascii="Times New Roman" w:hAnsi="Times New Roman"/>
          <w:b w:val="false"/>
          <w:i w:val="false"/>
          <w:color w:val="000000"/>
          <w:sz w:val="22"/>
        </w:rPr>
        <w:t>means individuals, early childhood service providers, and staff of other programs or agencies that communicate, coordinate and collaborate with an area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plan” </w:t>
      </w:r>
      <w:r>
        <w:rPr>
          <w:rFonts w:ascii="Times New Roman" w:hAnsi="Times New Roman"/>
          <w:b w:val="false"/>
          <w:i w:val="false"/>
          <w:color w:val="000000"/>
          <w:sz w:val="22"/>
        </w:rPr>
        <w:t xml:space="preserve">means the local plan adopted by the area board following input from the community. The plan elements include a comprehensive analysis of needs, gaps, and strengths, and the goals, objectives and action steps to implement the plan in the early childhood Iowa area. The community plan is also referred to in Iowa Code chapter </w:t>
      </w:r>
      <w:hyperlink r:id="rId6">
        <w:r>
          <w:rPr>
            <w:rStyle w:val="Hyperlink"/>
            <w:rFonts w:ascii="Times New Roman" w:hAnsi="Times New Roman"/>
            <w:b w:val="false"/>
            <w:i w:val="false"/>
            <w:color w:val="000000"/>
            <w:sz w:val="22"/>
          </w:rPr>
          <w:t>256I</w:t>
        </w:r>
      </w:hyperlink>
      <w:r>
        <w:rPr>
          <w:rFonts w:ascii="Times New Roman" w:hAnsi="Times New Roman"/>
          <w:b w:val="false"/>
          <w:i w:val="false"/>
          <w:color w:val="000000"/>
          <w:sz w:val="22"/>
        </w:rPr>
        <w:t xml:space="preserve"> as the school ready children grant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“Decategorization project” </w:t>
      </w:r>
      <w:r>
        <w:rPr>
          <w:rFonts w:ascii="Times New Roman" w:hAnsi="Times New Roman"/>
          <w:b w:val="false"/>
          <w:i w:val="false"/>
          <w:color w:val="000000"/>
          <w:sz w:val="22"/>
        </w:rPr>
        <w:t xml:space="preserve">means the decategorization of child welfare and juvenile justice funding project operated under Iowa Code section </w:t>
      </w:r>
      <w:hyperlink r:id="rId7">
        <w:r>
          <w:rPr>
            <w:rStyle w:val="Hyperlink"/>
            <w:rFonts w:ascii="Times New Roman" w:hAnsi="Times New Roman"/>
            <w:b w:val="false"/>
            <w:i w:val="false"/>
            <w:color w:val="000000"/>
            <w:sz w:val="22"/>
          </w:rPr>
          <w:t>232.188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means the status awarded by the state board to an early childhood Iowa area meeting the criteria established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“area” </w:t>
      </w:r>
      <w:r>
        <w:rPr>
          <w:rFonts w:ascii="Times New Roman" w:hAnsi="Times New Roman"/>
          <w:b w:val="false"/>
          <w:i w:val="false"/>
          <w:color w:val="000000"/>
          <w:sz w:val="22"/>
        </w:rPr>
        <w:t>means a geographic area as defined by the local community and designated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area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“area board” </w:t>
      </w:r>
      <w:r>
        <w:rPr>
          <w:rFonts w:ascii="Times New Roman" w:hAnsi="Times New Roman"/>
          <w:b w:val="false"/>
          <w:i w:val="false"/>
          <w:color w:val="000000"/>
          <w:sz w:val="22"/>
        </w:rPr>
        <w:t>means the governing board for an early childhood Iowa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fund” </w:t>
      </w:r>
      <w:r>
        <w:rPr>
          <w:rFonts w:ascii="Times New Roman" w:hAnsi="Times New Roman"/>
          <w:b w:val="false"/>
          <w:i w:val="false"/>
          <w:color w:val="000000"/>
          <w:sz w:val="22"/>
        </w:rPr>
        <w:t>means a fund created in the state treasury from which moneys are distributed to early childhood Iowa areas for the purpose of supporting children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office” </w:t>
      </w:r>
      <w:r>
        <w:rPr>
          <w:rFonts w:ascii="Times New Roman" w:hAnsi="Times New Roman"/>
          <w:b w:val="false"/>
          <w:i w:val="false"/>
          <w:color w:val="000000"/>
          <w:sz w:val="22"/>
        </w:rPr>
        <w:t>means a state unit within the department to coordinate the early childhood Iowa initiative.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state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the state of Iowa’s early childhood Iowa board as appointed by the governor that meets the membership criteria of citizens and state agency directors as voting members and legislators as nonvoting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stakeholders alliance”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“early childhood Iowa stakeholders alliance” </w:t>
      </w:r>
      <w:r>
        <w:rPr>
          <w:rFonts w:ascii="Times New Roman" w:hAnsi="Times New Roman"/>
          <w:b w:val="false"/>
          <w:i w:val="false"/>
          <w:color w:val="000000"/>
          <w:sz w:val="22"/>
        </w:rPr>
        <w:t xml:space="preserve">means the early childhood stakeholders alliance created in Iowa Code chapter </w:t>
      </w:r>
      <w:hyperlink r:id="rId8">
        <w:r>
          <w:rPr>
            <w:rStyle w:val="Hyperlink"/>
            <w:rFonts w:ascii="Times New Roman" w:hAnsi="Times New Roman"/>
            <w:b w:val="false"/>
            <w:i w:val="false"/>
            <w:color w:val="000000"/>
            <w:sz w:val="22"/>
          </w:rPr>
          <w:t>256I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“Elected official” </w:t>
      </w:r>
      <w:r>
        <w:rPr>
          <w:rFonts w:ascii="Times New Roman" w:hAnsi="Times New Roman"/>
          <w:b w:val="false"/>
          <w:i w:val="false"/>
          <w:color w:val="000000"/>
          <w:sz w:val="22"/>
        </w:rPr>
        <w:t>means a member of a board or governing body elected through a public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“Evidence-based” </w:t>
      </w:r>
      <w:r>
        <w:rPr>
          <w:rFonts w:ascii="Times New Roman" w:hAnsi="Times New Roman"/>
          <w:b w:val="false"/>
          <w:i w:val="false"/>
          <w:color w:val="000000"/>
          <w:sz w:val="22"/>
        </w:rPr>
        <w:t>means that a program has completed a randomized control trial conducted by an independent researcher and has demonstrated positive results for children and families. “Evidence-based” may also include research conducted by the program that has been published in a peer-reviewed journal that also demonstrates positive results for children and families. To be evidence-based, the program must include stringent standards for program replication including standards for implementation and monitoring to ensure that the program is being operated with fidelity to the original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support programs” </w:t>
      </w:r>
      <w:r>
        <w:rPr>
          <w:rFonts w:ascii="Times New Roman" w:hAnsi="Times New Roman"/>
          <w:b w:val="false"/>
          <w:i w:val="false"/>
          <w:color w:val="000000"/>
          <w:sz w:val="22"/>
        </w:rPr>
        <w:t>includes group-based parent education or home visiting programs that are designed to strengthen protective factors, including parenting skills, increasing parental knowledge of child development, and increasing family functioning and problem solving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years first” </w:t>
      </w:r>
      <w:r>
        <w:rPr>
          <w:rFonts w:ascii="Times New Roman" w:hAnsi="Times New Roman"/>
          <w:b w:val="false"/>
          <w:i w:val="false"/>
          <w:color w:val="000000"/>
          <w:sz w:val="22"/>
        </w:rPr>
        <w:t>means a public-private partnership for early childhood in Iowa, which includes an account created in the early childhood Iowa fund under the authority of the department to be used for first years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agent,” </w:t>
      </w:r>
      <w:r>
        <w:rPr>
          <w:rFonts w:ascii="Times New Roman" w:hAnsi="Times New Roman"/>
          <w:b w:val="false"/>
          <w:i w:val="false"/>
          <w:color w:val="000000"/>
          <w:sz w:val="22"/>
        </w:rPr>
        <w:t xml:space="preserve">as designated by an area board, means a public agency as defined in Iowa Code section </w:t>
      </w:r>
      <w:hyperlink r:id="rId9">
        <w:r>
          <w:rPr>
            <w:rStyle w:val="Hyperlink"/>
            <w:rFonts w:ascii="Times New Roman" w:hAnsi="Times New Roman"/>
            <w:b w:val="false"/>
            <w:i w:val="false"/>
            <w:color w:val="000000"/>
            <w:sz w:val="22"/>
          </w:rPr>
          <w:t>28E.2</w:t>
        </w:r>
      </w:hyperlink>
      <w:r>
        <w:rPr>
          <w:rFonts w:ascii="Times New Roman" w:hAnsi="Times New Roman"/>
          <w:b w:val="false"/>
          <w:i w:val="false"/>
          <w:color w:val="000000"/>
          <w:sz w:val="22"/>
        </w:rPr>
        <w:t xml:space="preserve">; a community action agency as defined in Iowa Code section </w:t>
      </w:r>
      <w:hyperlink r:id="rId10">
        <w:r>
          <w:rPr>
            <w:rStyle w:val="Hyperlink"/>
            <w:rFonts w:ascii="Times New Roman" w:hAnsi="Times New Roman"/>
            <w:b w:val="false"/>
            <w:i w:val="false"/>
            <w:color w:val="000000"/>
            <w:sz w:val="22"/>
          </w:rPr>
          <w:t>216A.91</w:t>
        </w:r>
      </w:hyperlink>
      <w:r>
        <w:rPr>
          <w:rFonts w:ascii="Times New Roman" w:hAnsi="Times New Roman"/>
          <w:b w:val="false"/>
          <w:i w:val="false"/>
          <w:color w:val="000000"/>
          <w:sz w:val="22"/>
        </w:rPr>
        <w:t xml:space="preserve">; a nonprofit corporation; or an area education agency as defined in Iowa Code chapter </w:t>
      </w:r>
      <w:hyperlink r:id="rId11">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“Funding sources” </w:t>
      </w:r>
      <w:r>
        <w:rPr>
          <w:rFonts w:ascii="Times New Roman" w:hAnsi="Times New Roman"/>
          <w:b w:val="false"/>
          <w:i w:val="false"/>
          <w:color w:val="000000"/>
          <w:sz w:val="22"/>
        </w:rPr>
        <w:t>means a comprehensive fiscal assessment of identified sources and amounts to support children zero through five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visitation” </w:t>
      </w:r>
      <w:r>
        <w:rPr>
          <w:rFonts w:ascii="Times New Roman" w:hAnsi="Times New Roman"/>
          <w:b w:val="false"/>
          <w:i w:val="false"/>
          <w:color w:val="000000"/>
          <w:sz w:val="22"/>
        </w:rPr>
        <w:t>means a strategy to deliver family support or parent education services. A home visit is a face-to-face visit with a family in the family’s home or other alternate location to facilitate meeting the family’s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“Indicator” </w:t>
      </w:r>
      <w:r>
        <w:rPr>
          <w:rFonts w:ascii="Times New Roman" w:hAnsi="Times New Roman"/>
          <w:b w:val="false"/>
          <w:i w:val="false"/>
          <w:color w:val="000000"/>
          <w:sz w:val="22"/>
        </w:rPr>
        <w:t>means a measure that indirectly quantifies the achievement of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“Members of the public” </w:t>
      </w:r>
      <w:r>
        <w:rPr>
          <w:rFonts w:ascii="Times New Roman" w:hAnsi="Times New Roman"/>
          <w:b w:val="false"/>
          <w:i w:val="false"/>
          <w:color w:val="000000"/>
          <w:sz w:val="22"/>
        </w:rPr>
        <w:t xml:space="preserve">means individuals who meet the definition of citizen representative on an area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“grandparent” or “guardian” </w:t>
      </w:r>
      <w:r>
        <w:rPr>
          <w:rFonts w:ascii="Times New Roman" w:hAnsi="Times New Roman"/>
          <w:b w:val="false"/>
          <w:i w:val="false"/>
          <w:color w:val="000000"/>
          <w:sz w:val="22"/>
        </w:rPr>
        <w:t>means a parent or primary caregiver of a child from birth to kindergarten entry, including a grandparent, other relative of the child, or foster parent; or a noncustodial parent who has an ongoing relationship with, and at times provides physical care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measure” </w:t>
      </w:r>
      <w:r>
        <w:rPr>
          <w:rFonts w:ascii="Times New Roman" w:hAnsi="Times New Roman"/>
          <w:b w:val="false"/>
          <w:i w:val="false"/>
          <w:color w:val="000000"/>
          <w:sz w:val="22"/>
        </w:rPr>
        <w:t>means a measure that assesses a program, activity,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“Result” </w:t>
      </w:r>
      <w:r>
        <w:rPr>
          <w:rFonts w:ascii="Times New Roman" w:hAnsi="Times New Roman"/>
          <w:b w:val="false"/>
          <w:i w:val="false"/>
          <w:color w:val="000000"/>
          <w:sz w:val="22"/>
        </w:rPr>
        <w:t>means the effect desired for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means a department of the executive branch including, but not limited to, the departments of economic development, education, health and human services, and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“Technical assistance” </w:t>
      </w:r>
      <w:r>
        <w:rPr>
          <w:rFonts w:ascii="Times New Roman" w:hAnsi="Times New Roman"/>
          <w:b w:val="false"/>
          <w:i w:val="false"/>
          <w:color w:val="000000"/>
          <w:sz w:val="22"/>
        </w:rPr>
        <w:t>means an ongoing, systematic and interactive process that is designed to achieve results and that enables knowledge from research, policy and evidence-based practices to be shared in partnerships through a variety of strategies with specific groups, agencies, communities and other partners to use within their unique contexts.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“Technical assistance team” </w:t>
      </w:r>
      <w:r>
        <w:rPr>
          <w:rFonts w:ascii="Times New Roman" w:hAnsi="Times New Roman"/>
          <w:b w:val="false"/>
          <w:i w:val="false"/>
          <w:color w:val="000000"/>
          <w:sz w:val="22"/>
        </w:rPr>
        <w:t>means the early childhood Iowa office and identified personnel from the state departments of economic development, education, health and human services, and workforce development that provide the day-to-day operational work of local- and state-level early childhood Iowa and support to the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9346B</w:t>
      </w:r>
      <w:r>
        <w:rPr>
          <w:rFonts w:ascii="Times New Roman" w:hAnsi="Times New Roman"/>
          <w:b w:val="false"/>
          <w:i w:val="false"/>
          <w:color w:val="000000"/>
          <w:sz w:val="16"/>
        </w:rPr>
        <w:t>, IAB 1/26/11, effective 3/2/11</w:t>
      </w:r>
      <w:r>
        <w:rPr>
          <w:rFonts w:ascii="Times New Roman" w:hAnsi="Times New Roman"/>
          <w:b w:val="false"/>
          <w:i w:val="false"/>
          <w:color w:val="000000"/>
          <w:sz w:val="16"/>
        </w:rPr>
        <w:t xml:space="preserve">; </w:t>
      </w:r>
      <w:r>
        <w:rPr>
          <w:rFonts w:ascii="Times New Roman" w:hAnsi="Times New Roman"/>
          <w:b/>
          <w:i w:val="false"/>
          <w:color w:val="000000"/>
          <w:sz w:val="16"/>
        </w:rPr>
        <w:t>ARC 3249C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441—121.4</w:t>
      </w:r>
      <w:r>
        <w:rPr>
          <w:rFonts w:ascii="Times New Roman" w:hAnsi="Times New Roman"/>
          <w:b/>
          <w:i w:val="false"/>
          <w:color w:val="000000"/>
          <w:sz w:val="22"/>
        </w:rPr>
        <w:t xml:space="preserve">(256I) </w:t>
      </w:r>
      <w:r>
        <w:rPr>
          <w:rFonts w:ascii="Times New Roman" w:hAnsi="Times New Roman"/>
          <w:b/>
          <w:i w:val="false"/>
          <w:color w:val="000000"/>
          <w:sz w:val="22"/>
        </w:rPr>
        <w:t xml:space="preserve">Early childhood Iowa state board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shall provide leadership and coordination for the development of Iowa’s early care, health and education system in cooperation with area boards, community partners and other state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val="false"/>
          <w:color w:val="000000"/>
          <w:sz w:val="22"/>
        </w:rPr>
        <w:t>The state board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process for designating area boards. The state board shall review the process at the close of each designation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Adopt state-level indicators with input from area boards and the early childhood stakeholders alliance. The state board shall report on indicators each fiscal year and compare the data against baseline data and data from prior fiscal years as available. Indicators shall measure all result areas of the early care, health and education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 minimum standards to promote equal access to services subject to the authority of the area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Adopt guidelines and standards for services provided under a school ready children grant. All guidelines and standards shall be found in the online toolkit available on the official website of early childhood Iowa at </w:t>
      </w:r>
      <w:hyperlink r:id="rId12">
        <w:r>
          <w:rPr>
            <w:rStyle w:val="Hyperlink"/>
            <w:rFonts w:ascii="Times New Roman" w:hAnsi="Times New Roman"/>
            <w:b w:val="false"/>
            <w:i w:val="false"/>
            <w:color w:val="000000"/>
            <w:sz w:val="22"/>
            <w:u w:val="single"/>
          </w:rPr>
          <w:t>earlychildhood.iowa.gov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cooperation with the early childhood stakeholders alliance: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Further the development of an early childhood integrated data system across state agencies and other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 guidance to identify and improve the quality of services in early care, health and education programs, including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Promote other measures to advance the initiative.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9346B</w:t>
      </w:r>
      <w:r>
        <w:rPr>
          <w:rFonts w:ascii="Times New Roman" w:hAnsi="Times New Roman"/>
          <w:b w:val="false"/>
          <w:i w:val="false"/>
          <w:color w:val="000000"/>
          <w:sz w:val="16"/>
        </w:rPr>
        <w:t>, IAB 1/26/11, effective 3/2/11</w:t>
      </w:r>
      <w:r>
        <w:rPr>
          <w:rFonts w:ascii="Times New Roman" w:hAnsi="Times New Roman"/>
          <w:b w:val="false"/>
          <w:i w:val="false"/>
          <w:color w:val="000000"/>
          <w:sz w:val="16"/>
        </w:rPr>
        <w:t xml:space="preserve">; </w:t>
      </w:r>
      <w:r>
        <w:rPr>
          <w:rFonts w:ascii="Times New Roman" w:hAnsi="Times New Roman"/>
          <w:b/>
          <w:i w:val="false"/>
          <w:color w:val="000000"/>
          <w:sz w:val="16"/>
        </w:rPr>
        <w:t>ARC 0179C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3249C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441—121.5</w:t>
      </w:r>
      <w:r>
        <w:rPr>
          <w:rFonts w:ascii="Times New Roman" w:hAnsi="Times New Roman"/>
          <w:b/>
          <w:i w:val="false"/>
          <w:color w:val="000000"/>
          <w:sz w:val="22"/>
        </w:rPr>
        <w:t xml:space="preserve">(256I) </w:t>
      </w:r>
      <w:r>
        <w:rPr>
          <w:rFonts w:ascii="Times New Roman" w:hAnsi="Times New Roman"/>
          <w:b/>
          <w:i w:val="false"/>
          <w:color w:val="000000"/>
          <w:sz w:val="22"/>
        </w:rPr>
        <w:t xml:space="preserve">Early childhood Iowa coordination staff. </w:t>
      </w:r>
      <w:r>
        <w:rPr>
          <w:rFonts w:ascii="Times New Roman" w:hAnsi="Times New Roman"/>
          <w:b w:val="false"/>
          <w:i w:val="false"/>
          <w:color w:val="000000"/>
          <w:sz w:val="22"/>
        </w:rPr>
        <w:t xml:space="preserve">In consultation with the state board, the department shall provide fiscal oversight of the early childhood Iowa initiative. The fiscal oversight measures are defined in </w:t>
      </w:r>
      <w:hyperlink r:id="rId13">
        <w:r>
          <w:rPr>
            <w:rStyle w:val="Hyperlink"/>
            <w:rFonts w:ascii="Times New Roman" w:hAnsi="Times New Roman"/>
            <w:b w:val="false"/>
            <w:i w:val="false"/>
            <w:color w:val="000000"/>
            <w:sz w:val="22"/>
          </w:rPr>
          <w:t>441—Chapter 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9346B</w:t>
      </w:r>
      <w:r>
        <w:rPr>
          <w:rFonts w:ascii="Times New Roman" w:hAnsi="Times New Roman"/>
          <w:b w:val="false"/>
          <w:i w:val="false"/>
          <w:color w:val="000000"/>
          <w:sz w:val="16"/>
        </w:rPr>
        <w:t>, IAB 1/26/11, effective 3/2/11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441—121.6</w:t>
      </w:r>
      <w:r>
        <w:rPr>
          <w:rFonts w:ascii="Times New Roman" w:hAnsi="Times New Roman"/>
          <w:b/>
          <w:i w:val="false"/>
          <w:color w:val="000000"/>
          <w:sz w:val="22"/>
        </w:rPr>
        <w:t xml:space="preserve">(256I) </w:t>
      </w:r>
      <w:r>
        <w:rPr>
          <w:rFonts w:ascii="Times New Roman" w:hAnsi="Times New Roman"/>
          <w:b/>
          <w:i w:val="false"/>
          <w:color w:val="000000"/>
          <w:sz w:val="22"/>
        </w:rPr>
        <w:t xml:space="preserve">Early childhood Iowa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shall approve early childhood Iowa area boundaries and the creation of area boards. Minimum criteria for areas and approval of area boards are set forth in Iowa Code section </w:t>
      </w:r>
      <w:hyperlink r:id="rId14">
        <w:r>
          <w:rPr>
            <w:rStyle w:val="Hyperlink"/>
            <w:rFonts w:ascii="Times New Roman" w:hAnsi="Times New Roman"/>
            <w:b w:val="false"/>
            <w:i w:val="false"/>
            <w:color w:val="000000"/>
            <w:sz w:val="22"/>
          </w:rPr>
          <w:t>256I.6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may waive any of the minimum criteria referenced in Iowa Code section </w:t>
      </w:r>
      <w:hyperlink r:id="rId15">
        <w:r>
          <w:rPr>
            <w:rStyle w:val="Hyperlink"/>
            <w:rFonts w:ascii="Times New Roman" w:hAnsi="Times New Roman"/>
            <w:b w:val="false"/>
            <w:i w:val="false"/>
            <w:color w:val="000000"/>
            <w:sz w:val="22"/>
          </w:rPr>
          <w:t>256I.6</w:t>
        </w:r>
      </w:hyperlink>
      <w:r>
        <w:rPr>
          <w:rFonts w:ascii="Times New Roman" w:hAnsi="Times New Roman"/>
          <w:b w:val="false"/>
          <w:i w:val="false"/>
          <w:color w:val="000000"/>
          <w:sz w:val="22"/>
        </w:rPr>
        <w:t>, if it is determined that exceptional circumstances exist. The state board further defines exceptional circumstances to include when the proposed change of boundaries creates hardship that reduces performance or quality of services within the area. The area board must provide compelling documentation of the hardship and clearly document the impact to performance or quality of services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9346B</w:t>
      </w:r>
      <w:r>
        <w:rPr>
          <w:rFonts w:ascii="Times New Roman" w:hAnsi="Times New Roman"/>
          <w:b w:val="false"/>
          <w:i w:val="false"/>
          <w:color w:val="000000"/>
          <w:sz w:val="16"/>
        </w:rPr>
        <w:t>, IAB 1/26/11, effective 3/2/11</w:t>
      </w:r>
      <w:r>
        <w:rPr>
          <w:rFonts w:ascii="Times New Roman" w:hAnsi="Times New Roman"/>
          <w:b w:val="false"/>
          <w:i w:val="false"/>
          <w:color w:val="000000"/>
          <w:sz w:val="16"/>
        </w:rPr>
        <w:t xml:space="preserve">; </w:t>
      </w:r>
      <w:r>
        <w:rPr>
          <w:rFonts w:ascii="Times New Roman" w:hAnsi="Times New Roman"/>
          <w:b/>
          <w:i w:val="false"/>
          <w:color w:val="000000"/>
          <w:sz w:val="16"/>
        </w:rPr>
        <w:t>ARC 3249C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441—121.7</w:t>
      </w:r>
      <w:r>
        <w:rPr>
          <w:rFonts w:ascii="Times New Roman" w:hAnsi="Times New Roman"/>
          <w:b/>
          <w:i w:val="false"/>
          <w:color w:val="000000"/>
          <w:sz w:val="22"/>
        </w:rPr>
        <w:t xml:space="preserve">(256I) </w:t>
      </w:r>
      <w:r>
        <w:rPr>
          <w:rFonts w:ascii="Times New Roman" w:hAnsi="Times New Roman"/>
          <w:b/>
          <w:i w:val="false"/>
          <w:color w:val="000000"/>
          <w:sz w:val="22"/>
        </w:rPr>
        <w:t xml:space="preserve">Early childhood stakeholders alliance. </w:t>
      </w:r>
      <w:r>
        <w:rPr>
          <w:rFonts w:ascii="Times New Roman" w:hAnsi="Times New Roman"/>
          <w:b w:val="false"/>
          <w:i w:val="false"/>
          <w:color w:val="000000"/>
          <w:sz w:val="22"/>
        </w:rPr>
        <w:t>The early childhood stakeholders alliance shall assist the state board in the development and implementation of the state board’s strategic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9346B</w:t>
      </w:r>
      <w:r>
        <w:rPr>
          <w:rFonts w:ascii="Times New Roman" w:hAnsi="Times New Roman"/>
          <w:b w:val="false"/>
          <w:i w:val="false"/>
          <w:color w:val="000000"/>
          <w:sz w:val="16"/>
        </w:rPr>
        <w:t>, IAB 1/26/11, effective 3/2/11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441—121.8</w:t>
      </w:r>
      <w:r>
        <w:rPr>
          <w:rFonts w:ascii="Times New Roman" w:hAnsi="Times New Roman"/>
          <w:b/>
          <w:i w:val="false"/>
          <w:color w:val="000000"/>
          <w:sz w:val="22"/>
        </w:rPr>
        <w:t xml:space="preserve">(83GA,SF2088) </w:t>
      </w:r>
      <w:r>
        <w:rPr>
          <w:rFonts w:ascii="Times New Roman" w:hAnsi="Times New Roman"/>
          <w:b/>
          <w:i w:val="false"/>
          <w:color w:val="000000"/>
          <w:sz w:val="22"/>
        </w:rPr>
        <w:t xml:space="preserve">Transition.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3249C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8/2/17</w:t>
      </w:r>
      <w:r>
        <w:rPr>
          <w:rFonts w:ascii="Times New Roman" w:hAnsi="Times New Roman"/>
          <w:b w:val="false"/>
          <w:i w:val="false"/>
          <w:color w:val="000000"/>
          <w:sz w:val="22"/>
        </w:rPr>
        <w:t xml:space="preserve">, effective 9/6/17.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256I.1 to 256I.12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9346B</w:t>
      </w:r>
      <w:r>
        <w:rPr>
          <w:rFonts w:ascii="Times New Roman" w:hAnsi="Times New Roman"/>
          <w:b w:val="false"/>
          <w:i w:val="false"/>
          <w:color w:val="000000"/>
          <w:sz w:val="21"/>
        </w:rPr>
        <w:t xml:space="preserve"> (Notice ARC 9137B, IAB 10/6/10)</w:t>
      </w:r>
      <w:r>
        <w:rPr>
          <w:rFonts w:ascii="Times New Roman" w:hAnsi="Times New Roman"/>
          <w:b w:val="false"/>
          <w:i w:val="false"/>
          <w:color w:val="000000"/>
          <w:sz w:val="21"/>
        </w:rPr>
        <w:t>, IAB 1/26/11, effective 3/2/11]</w:t>
      </w:r>
    </w:p>
    <w:p>
      <w:pPr>
        <w:spacing w:before="0" w:after="0"/>
        <w:ind w:left="120"/>
        <w:jc w:val="center"/>
      </w:pPr>
      <w:r>
        <w:rPr>
          <w:rFonts w:ascii="Times New Roman" w:hAnsi="Times New Roman"/>
          <w:b w:val="false"/>
          <w:i w:val="false"/>
          <w:color w:val="000000"/>
          <w:sz w:val="21"/>
        </w:rPr>
        <w:t>[Filed ARC 0179C</w:t>
      </w:r>
      <w:r>
        <w:rPr>
          <w:rFonts w:ascii="Times New Roman" w:hAnsi="Times New Roman"/>
          <w:b w:val="false"/>
          <w:i w:val="false"/>
          <w:color w:val="000000"/>
          <w:sz w:val="21"/>
        </w:rPr>
        <w:t xml:space="preserve"> (Notice ARC 0058C, IAB 4/4/12)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[Filed ARC 3249C</w:t>
      </w:r>
      <w:r>
        <w:rPr>
          <w:rFonts w:ascii="Times New Roman" w:hAnsi="Times New Roman"/>
          <w:b w:val="false"/>
          <w:i w:val="false"/>
          <w:color w:val="000000"/>
          <w:sz w:val="21"/>
        </w:rPr>
        <w:t xml:space="preserve"> (Notice ARC 3011C,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[Editorial change: IAC Supplement 6/14/23]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I.4.pdf" Type="http://schemas.openxmlformats.org/officeDocument/2006/relationships/hyperlink" Id="rId5"/>
    <Relationship TargetMode="External" Target="https://www.legis.iowa.gov/docs/ico/chapter/256I.pdf" Type="http://schemas.openxmlformats.org/officeDocument/2006/relationships/hyperlink" Id="rId6"/>
    <Relationship TargetMode="External" Target="https://www.legis.iowa.gov/docs/ico/chapter/232.188.pdf" Type="http://schemas.openxmlformats.org/officeDocument/2006/relationships/hyperlink" Id="rId7"/>
    <Relationship TargetMode="External" Target="https://www.legis.iowa.gov/docs/ico/chapter/256I.pdf" Type="http://schemas.openxmlformats.org/officeDocument/2006/relationships/hyperlink" Id="rId8"/>
    <Relationship TargetMode="External" Target="https://www.legis.iowa.gov/docs/ico/chapter/28E.2.pdf" Type="http://schemas.openxmlformats.org/officeDocument/2006/relationships/hyperlink" Id="rId9"/>
    <Relationship TargetMode="External" Target="https://www.legis.iowa.gov/docs/ico/chapter/216A.91.pdf" Type="http://schemas.openxmlformats.org/officeDocument/2006/relationships/hyperlink" Id="rId10"/>
    <Relationship TargetMode="External" Target="https://www.legis.iowa.gov/docs/ico/chapter/273.pdf" Type="http://schemas.openxmlformats.org/officeDocument/2006/relationships/hyperlink" Id="rId11"/>
    <Relationship TargetMode="External" Target="http://earlychildhood.iowa.gov" Type="http://schemas.openxmlformats.org/officeDocument/2006/relationships/hyperlink" Id="rId12"/>
    <Relationship TargetMode="External" Target="https://www.legis.iowa.gov/docs/iac/chapter/441.122.pdf" Type="http://schemas.openxmlformats.org/officeDocument/2006/relationships/hyperlink" Id="rId13"/>
    <Relationship TargetMode="External" Target="https://www.legis.iowa.gov/docs/ico/chapter/256I.6.pdf" Type="http://schemas.openxmlformats.org/officeDocument/2006/relationships/hyperlink" Id="rId14"/>
    <Relationship TargetMode="External" Target="https://www.legis.iowa.gov/docs/ico/chapter/256I.6.pdf" Type="http://schemas.openxmlformats.org/officeDocument/2006/relationships/hyperlink" Id="rId15"/>
    <Relationship TargetMode="External" Target="https://www.legis.iowa.gov/docs/ico/chapter/256I.1-12.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