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 xml:space="preserve">RECORD CHECK EVALUATIONS FOR </w:t>
      </w:r>
      <w:r>
        <w:br/>
      </w:r>
      <w:r>
        <w:rPr>
          <w:rFonts w:ascii="Times New Roman" w:hAnsi="Times New Roman"/>
          <w:b w:val="false"/>
          <w:i w:val="false"/>
          <w:color w:val="000000"/>
          <w:sz w:val="21"/>
        </w:rPr>
        <w:t>CERTAIN EMPLOYERS AND EDUCATIONAL TRAINING PROGRAMS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establish procedures for the performance of record check evaluations by the department of human services for personnel employed by health care facilities and other programs and for students in educational training programs for nurses and certified nurse aides. Record check evaluations are performed, at the request of a prospective employer or training program, on persons who have been found to have been convicted of a crime under a law of any state or have a record of founded child or dependent adult abuse, to determine whether the crimes or founded abuses warrant prohibition of employment or enrollment in a training program.</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0486C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441—119.1</w:t>
      </w:r>
      <w:r>
        <w:rPr>
          <w:rFonts w:ascii="Times New Roman" w:hAnsi="Times New Roman"/>
          <w:b/>
          <w:i w:val="false"/>
          <w:color w:val="000000"/>
          <w:sz w:val="22"/>
        </w:rPr>
        <w:t xml:space="preserve">(135B,135C)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“Deferred judgment” </w:t>
      </w:r>
      <w:r>
        <w:rPr>
          <w:rFonts w:ascii="Times New Roman" w:hAnsi="Times New Roman"/>
          <w:b w:val="false"/>
          <w:i w:val="false"/>
          <w:color w:val="000000"/>
          <w:sz w:val="22"/>
        </w:rPr>
        <w:t xml:space="preserve">means deferred judgment as defined in Iowa Code section </w:t>
      </w:r>
      <w:hyperlink r:id="rId5">
        <w:r>
          <w:rPr>
            <w:rStyle w:val="Hyperlink"/>
            <w:rFonts w:ascii="Times New Roman" w:hAnsi="Times New Roman"/>
            <w:b w:val="false"/>
            <w:i w:val="false"/>
            <w:color w:val="000000"/>
            <w:sz w:val="22"/>
          </w:rPr>
          <w:t>907.1</w:t>
        </w:r>
      </w:hyperlink>
      <w:r>
        <w:rPr>
          <w:rFonts w:ascii="Times New Roman" w:hAnsi="Times New Roman"/>
          <w:b w:val="false"/>
          <w:i w:val="false"/>
          <w:color w:val="000000"/>
          <w:sz w:val="22"/>
        </w:rPr>
        <w:t xml:space="preserve"> and is considered an admission of committing an act. Under this chapter, the admission of committing an act must be considered a conviction for purposes of public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“Requesting entity” </w:t>
      </w:r>
      <w:r>
        <w:rPr>
          <w:rFonts w:ascii="Times New Roman" w:hAnsi="Times New Roman"/>
          <w:b w:val="false"/>
          <w:i w:val="false"/>
          <w:color w:val="000000"/>
          <w:sz w:val="22"/>
        </w:rPr>
        <w:t>means an entity covered by these rules that is requesting an evaluation to determine if the person being evaluated can be employed by the entity or participate in an educational training program and includes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Health care facilities as defined in Iowa Code section </w:t>
      </w:r>
      <w:hyperlink r:id="rId6">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Programs in which the provider is regulated by the state or receives any state or federal funding and the employee being evaluated provides direct services to consumers including but not limited to programs that employ homemakers or home health aides, programs that provide adult day services, hospices, federal home- and community-based services waiver providers, elder group homes, and assisted living programs.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Substance abuse programs for juveniles as described in Iowa Code section </w:t>
      </w:r>
      <w:hyperlink r:id="rId7">
        <w:r>
          <w:rPr>
            <w:rStyle w:val="Hyperlink"/>
            <w:rFonts w:ascii="Times New Roman" w:hAnsi="Times New Roman"/>
            <w:b w:val="false"/>
            <w:i w:val="false"/>
            <w:color w:val="000000"/>
            <w:sz w:val="22"/>
          </w:rPr>
          <w:t>125.14A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Hospitals as defined in Iowa Code section </w:t>
      </w:r>
      <w:hyperlink r:id="rId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Psychiatric medical institutions for children as defined in Iowa Code section </w:t>
      </w:r>
      <w:hyperlink r:id="rId9">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The department as described in Iowa Code section </w:t>
      </w:r>
      <w:hyperlink r:id="rId10">
        <w:r>
          <w:rPr>
            <w:rStyle w:val="Hyperlink"/>
            <w:rFonts w:ascii="Times New Roman" w:hAnsi="Times New Roman"/>
            <w:b w:val="false"/>
            <w:i w:val="false"/>
            <w:color w:val="000000"/>
            <w:sz w:val="22"/>
          </w:rPr>
          <w:t>217.44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Department institutions as defined in Iowa Code section </w:t>
      </w:r>
      <w:hyperlink r:id="rId11">
        <w:r>
          <w:rPr>
            <w:rStyle w:val="Hyperlink"/>
            <w:rFonts w:ascii="Times New Roman" w:hAnsi="Times New Roman"/>
            <w:b w:val="false"/>
            <w:i w:val="false"/>
            <w:color w:val="000000"/>
            <w:sz w:val="22"/>
          </w:rPr>
          <w:t>218.13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Child foster care facilities as defined in Iowa Code section </w:t>
      </w:r>
      <w:hyperlink r:id="rId12">
        <w:r>
          <w:rPr>
            <w:rStyle w:val="Hyperlink"/>
            <w:rFonts w:ascii="Times New Roman" w:hAnsi="Times New Roman"/>
            <w:b w:val="false"/>
            <w:i w:val="false"/>
            <w:color w:val="000000"/>
            <w:sz w:val="22"/>
          </w:rPr>
          <w:t>237.1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Medicaid home- and community-based services waiver providers as defined in Iowa Code section </w:t>
      </w:r>
      <w:hyperlink r:id="rId13">
        <w:r>
          <w:rPr>
            <w:rStyle w:val="Hyperlink"/>
            <w:rFonts w:ascii="Times New Roman" w:hAnsi="Times New Roman"/>
            <w:b w:val="false"/>
            <w:i w:val="false"/>
            <w:color w:val="000000"/>
            <w:sz w:val="22"/>
          </w:rPr>
          <w:t>249A.29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Certified nurse aide training programs as defined in Iowa Code section </w:t>
      </w:r>
      <w:hyperlink r:id="rId14">
        <w:r>
          <w:rPr>
            <w:rStyle w:val="Hyperlink"/>
            <w:rFonts w:ascii="Times New Roman" w:hAnsi="Times New Roman"/>
            <w:b w:val="false"/>
            <w:i w:val="false"/>
            <w:color w:val="000000"/>
            <w:sz w:val="22"/>
          </w:rPr>
          <w:t>135C.33(9)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 xml:space="preserve">Nursing training programs as described in Iowa Code chapter </w:t>
      </w:r>
      <w:hyperlink r:id="rId1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 xml:space="preserve">The department as described in Iowa Code section </w:t>
      </w:r>
      <w:hyperlink r:id="rId16">
        <w:r>
          <w:rPr>
            <w:rStyle w:val="Hyperlink"/>
            <w:rFonts w:ascii="Times New Roman" w:hAnsi="Times New Roman"/>
            <w:b w:val="false"/>
            <w:i w:val="false"/>
            <w:color w:val="000000"/>
            <w:sz w:val="22"/>
          </w:rPr>
          <w:t>217.45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1263C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2604C</w:t>
      </w:r>
      <w:r>
        <w:rPr>
          <w:rFonts w:ascii="Times New Roman" w:hAnsi="Times New Roman"/>
          <w:b w:val="false"/>
          <w:i w:val="false"/>
          <w:color w:val="000000"/>
          <w:sz w:val="16"/>
        </w:rPr>
        <w:t>, IAB 7/6/16, effective 9/1/16</w:t>
      </w:r>
      <w:r>
        <w:rPr>
          <w:rFonts w:ascii="Times New Roman" w:hAnsi="Times New Roman"/>
          <w:b w:val="false"/>
          <w:i w:val="false"/>
          <w:color w:val="000000"/>
          <w:sz w:val="16"/>
        </w:rPr>
        <w:t xml:space="preserve">; </w:t>
      </w:r>
      <w:r>
        <w:rPr>
          <w:rFonts w:ascii="Times New Roman" w:hAnsi="Times New Roman"/>
          <w:b/>
          <w:i w:val="false"/>
          <w:color w:val="000000"/>
          <w:sz w:val="16"/>
        </w:rPr>
        <w:t>ARC 3680C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441—119.2</w:t>
      </w:r>
      <w:r>
        <w:rPr>
          <w:rFonts w:ascii="Times New Roman" w:hAnsi="Times New Roman"/>
          <w:b/>
          <w:i w:val="false"/>
          <w:color w:val="000000"/>
          <w:sz w:val="22"/>
        </w:rPr>
        <w:t xml:space="preserve">(135B,135C) </w:t>
      </w:r>
      <w:r>
        <w:rPr>
          <w:rFonts w:ascii="Times New Roman" w:hAnsi="Times New Roman"/>
          <w:b/>
          <w:i w:val="false"/>
          <w:color w:val="000000"/>
          <w:sz w:val="22"/>
        </w:rPr>
        <w:t xml:space="preserve">When record check evaluations are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119.2(1)</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prospective employees and students. </w:t>
      </w:r>
      <w:r>
        <w:rPr>
          <w:rFonts w:ascii="Times New Roman" w:hAnsi="Times New Roman"/>
          <w:b w:val="false"/>
          <w:i w:val="false"/>
          <w:color w:val="000000"/>
          <w:sz w:val="22"/>
        </w:rPr>
        <w:t>A requesting entity shall request a record check evaluation prior to employment or enrollment of a person whose background check indicates a criminal or dependent adult abuse or child abuse record. Any deferred judgments will be considered in criminal background checks. Criminal, child abuse and dependent adult abuse background checks are required on all prospective employees or students, including employees or students who have terminated employment or participation in a training program for any reason or any length of time and wish to return to the same employment or training program, unless an exemption is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hospital or licensee of a health care facility may employ a person for up to 60 calendar days pending completion of the evaluation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employment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to be employed has been convicted of a simple misdemeanor offense (under Iowa Code section </w:t>
      </w:r>
      <w:hyperlink r:id="rId17">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1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1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to be employed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hospital or licensee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training program in a facility licensed under Iowa Code chapter </w:t>
      </w:r>
      <w:hyperlink r:id="rId20">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may allow a student who is applying for, enrolled in, or returning to a certified nurse aide training program to participate in the clinical education component of the training program for up to 60 calendar days pending completion of the evaluation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student’s clinical education component of the training program involves children or dependent adults;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program does not involve operation of a motor vehicle;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has been convicted of a simple misdemeanor offense (under Iowa Code section </w:t>
      </w:r>
      <w:hyperlink r:id="rId21">
        <w:r>
          <w:rPr>
            <w:rStyle w:val="Hyperlink"/>
            <w:rFonts w:ascii="Times New Roman" w:hAnsi="Times New Roman"/>
            <w:b w:val="false"/>
            <w:i w:val="false"/>
            <w:color w:val="000000"/>
            <w:sz w:val="22"/>
          </w:rPr>
          <w:t>123.47</w:t>
        </w:r>
      </w:hyperlink>
      <w:r>
        <w:rPr>
          <w:rFonts w:ascii="Times New Roman" w:hAnsi="Times New Roman"/>
          <w:b w:val="false"/>
          <w:i w:val="false"/>
          <w:color w:val="000000"/>
          <w:sz w:val="22"/>
        </w:rPr>
        <w:t xml:space="preserve"> or chapter </w:t>
      </w:r>
      <w:hyperlink r:id="rId22">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or a first offense of operating a motor vehicle while intoxicated (under Iowa Code section </w:t>
      </w:r>
      <w:hyperlink r:id="rId23">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student does not have a record of founded child or dependent adult abuse;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training program has requested an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119.2(2)</w:t>
      </w:r>
      <w:r>
        <w:rPr>
          <w:rFonts w:ascii="Times New Roman" w:hAnsi="Times New Roman"/>
          <w:b w:val="false"/>
          <w:i w:val="false"/>
          <w:color w:val="000000"/>
          <w:sz w:val="22"/>
        </w:rPr>
        <w:t> </w:t>
      </w:r>
      <w:r>
        <w:rPr>
          <w:rFonts w:ascii="Times New Roman" w:hAnsi="Times New Roman"/>
          <w:b w:val="false"/>
          <w:i/>
          <w:color w:val="000000"/>
          <w:sz w:val="22"/>
        </w:rPr>
        <w:t xml:space="preserve">Record check evaluations on current employees and students. </w:t>
      </w:r>
      <w:r>
        <w:rPr>
          <w:rFonts w:ascii="Times New Roman" w:hAnsi="Times New Roman"/>
          <w:b w:val="false"/>
          <w:i w:val="false"/>
          <w:color w:val="000000"/>
          <w:sz w:val="22"/>
        </w:rPr>
        <w:t xml:space="preserve">A requesting entity shall request a record check evaluation on current employees and students when a current employee or student background check indicates a criminal conviction (other than an Iowa Code chapter </w:t>
      </w:r>
      <w:hyperlink r:id="rId24">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simple misdemeanor or equivalent simple misdemeanor offense from another jurisdiction) or dependent adult or child abuse record and the requesting entity intends to continue to employ the employee or to continue the student’s enrollment in a training program. The requesting entity shall request a current criminal or dependent adult or child abuse record check when the entity receives credible information as determined by the entity that a current employee or student has a criminal or dependent adult or child abuse record that has not been previously considered by the requesting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119.2(3)</w:t>
      </w:r>
      <w:r>
        <w:rPr>
          <w:rFonts w:ascii="Times New Roman" w:hAnsi="Times New Roman"/>
          <w:b w:val="false"/>
          <w:i w:val="false"/>
          <w:color w:val="000000"/>
          <w:sz w:val="22"/>
        </w:rPr>
        <w:t> </w:t>
      </w:r>
      <w:r>
        <w:rPr>
          <w:rFonts w:ascii="Times New Roman" w:hAnsi="Times New Roman"/>
          <w:b w:val="false"/>
          <w:i/>
          <w:color w:val="000000"/>
          <w:sz w:val="22"/>
        </w:rPr>
        <w:t xml:space="preserve">Transfer of employee between facilities. </w:t>
      </w:r>
      <w:r>
        <w:rPr>
          <w:rFonts w:ascii="Times New Roman" w:hAnsi="Times New Roman"/>
          <w:b w:val="false"/>
          <w:i w:val="false"/>
          <w:color w:val="000000"/>
          <w:sz w:val="22"/>
        </w:rPr>
        <w:t>If a person owns or operates more than one facility, and an employee of one of the facilities is transferred to another facility without a lapse in employment, the facility is not required to request additional criminal or abuse record checks of the employee or obtain a new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119.2(4)</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employment under Iowa Code chapter </w:t>
      </w:r>
      <w:hyperlink r:id="rId25">
        <w:r>
          <w:rPr>
            <w:rStyle w:val="Hyperlink"/>
            <w:rFonts w:ascii="Times New Roman" w:hAnsi="Times New Roman"/>
            <w:b w:val="false"/>
            <w:i/>
            <w:color w:val="000000"/>
            <w:sz w:val="22"/>
          </w:rPr>
          <w:t>135B</w:t>
        </w:r>
      </w:hyperlink>
      <w:r>
        <w:rPr>
          <w:rFonts w:ascii="Times New Roman" w:hAnsi="Times New Roman"/>
          <w:b w:val="false"/>
          <w:i/>
          <w:color w:val="000000"/>
          <w:sz w:val="22"/>
        </w:rPr>
        <w:t xml:space="preserve"> or </w:t>
      </w:r>
      <w:hyperlink r:id="rId26">
        <w:r>
          <w:rPr>
            <w:rStyle w:val="Hyperlink"/>
            <w:rFonts w:ascii="Times New Roman" w:hAnsi="Times New Roman"/>
            <w:b w:val="false"/>
            <w:i/>
            <w:color w:val="000000"/>
            <w:sz w:val="22"/>
          </w:rPr>
          <w:t>135C</w:t>
        </w:r>
      </w:hyperlink>
      <w:r>
        <w:rPr>
          <w:rFonts w:ascii="Times New Roman" w:hAnsi="Times New Roman"/>
          <w:b w:val="false"/>
          <w:i/>
          <w:color w:val="000000"/>
          <w:sz w:val="22"/>
        </w:rPr>
        <w:t xml:space="preserve"> or participation in a training program in facilities licensed under Iowa Code chapter </w:t>
      </w:r>
      <w:hyperlink r:id="rId27">
        <w:r>
          <w:rPr>
            <w:rStyle w:val="Hyperlink"/>
            <w:rFonts w:ascii="Times New Roman" w:hAnsi="Times New Roman"/>
            <w:b w:val="false"/>
            <w:i/>
            <w:color w:val="000000"/>
            <w:sz w:val="22"/>
          </w:rPr>
          <w:t>135C</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If an evaluation was previously performed by the department and the department determined the person’s criminal and abuse background did not warrant prohibition of employment, the person who is or was employed by a hospital licensed under Iowa Code chapter </w:t>
      </w:r>
      <w:hyperlink r:id="rId2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and is hired by another hospital or the person who is or was employed by a facility licensed under Iowa Code section </w:t>
      </w:r>
      <w:hyperlink r:id="rId2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is hired by another facility licensed under Iowa Code section </w:t>
      </w:r>
      <w:hyperlink r:id="rId3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subsequent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position with the subsequent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subject to the record checks has maintained a copy of the previous evaluation and provides the evaluation to the subsequent employer, or the previous employer provides the previous evaluation from the person’s personnel file pursuant to the person’s authorization. If a physical copy of the previous evaluation is not provided to the subsequent employer,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subsequent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119.2(5)</w:t>
      </w:r>
      <w:r>
        <w:rPr>
          <w:rFonts w:ascii="Times New Roman" w:hAnsi="Times New Roman"/>
          <w:b w:val="false"/>
          <w:i w:val="false"/>
          <w:color w:val="000000"/>
          <w:sz w:val="22"/>
        </w:rPr>
        <w:t> </w:t>
      </w:r>
      <w:r>
        <w:rPr>
          <w:rFonts w:ascii="Times New Roman" w:hAnsi="Times New Roman"/>
          <w:b w:val="false"/>
          <w:i/>
          <w:color w:val="000000"/>
          <w:sz w:val="22"/>
        </w:rPr>
        <w:t xml:space="preserve">Exceptions to record check evaluation requirements for new employees under Iowa Code chapter </w:t>
      </w:r>
      <w:hyperlink r:id="rId31">
        <w:r>
          <w:rPr>
            <w:rStyle w:val="Hyperlink"/>
            <w:rFonts w:ascii="Times New Roman" w:hAnsi="Times New Roman"/>
            <w:b w:val="false"/>
            <w:i/>
            <w:color w:val="000000"/>
            <w:sz w:val="22"/>
          </w:rPr>
          <w:t>135B</w:t>
        </w:r>
      </w:hyperlink>
      <w:r>
        <w:rPr>
          <w:rFonts w:ascii="Times New Roman" w:hAnsi="Times New Roman"/>
          <w:b w:val="false"/>
          <w:i/>
          <w:color w:val="000000"/>
          <w:sz w:val="22"/>
        </w:rPr>
        <w:t xml:space="preserve"> or </w:t>
      </w:r>
      <w:hyperlink r:id="rId32">
        <w:r>
          <w:rPr>
            <w:rStyle w:val="Hyperlink"/>
            <w:rFonts w:ascii="Times New Roman" w:hAnsi="Times New Roman"/>
            <w:b w:val="false"/>
            <w:i/>
            <w:color w:val="000000"/>
            <w:sz w:val="22"/>
          </w:rPr>
          <w:t>135C</w:t>
        </w:r>
      </w:hyperlink>
      <w:r>
        <w:rPr>
          <w:rFonts w:ascii="Times New Roman" w:hAnsi="Times New Roman"/>
          <w:b w:val="false"/>
          <w:i/>
          <w:color w:val="000000"/>
          <w:sz w:val="22"/>
        </w:rPr>
        <w:t xml:space="preserve"> or participants in a training program in facilities licensed under Iowa Code chapter </w:t>
      </w:r>
      <w:hyperlink r:id="rId33">
        <w:r>
          <w:rPr>
            <w:rStyle w:val="Hyperlink"/>
            <w:rFonts w:ascii="Times New Roman" w:hAnsi="Times New Roman"/>
            <w:b w:val="false"/>
            <w:i/>
            <w:color w:val="000000"/>
            <w:sz w:val="22"/>
          </w:rPr>
          <w:t>135C</w:t>
        </w:r>
      </w:hyperlink>
      <w:r>
        <w:rPr>
          <w:rFonts w:ascii="Times New Roman" w:hAnsi="Times New Roman"/>
          <w:b w:val="false"/>
          <w:i/>
          <w:color w:val="000000"/>
          <w:sz w:val="22"/>
        </w:rPr>
        <w:t xml:space="preserve">. </w:t>
      </w:r>
      <w:r>
        <w:rPr>
          <w:rFonts w:ascii="Times New Roman" w:hAnsi="Times New Roman"/>
          <w:b w:val="false"/>
          <w:i w:val="false"/>
          <w:color w:val="000000"/>
          <w:sz w:val="22"/>
        </w:rPr>
        <w:t xml:space="preserve">If the person approved for employment or participation does not start employment or attend the training program, as defined in subrule </w:t>
      </w:r>
      <w:hyperlink r:id="rId34">
        <w:r>
          <w:rPr>
            <w:rStyle w:val="Hyperlink"/>
            <w:rFonts w:ascii="Times New Roman" w:hAnsi="Times New Roman"/>
            <w:b w:val="false"/>
            <w:i w:val="false"/>
            <w:color w:val="000000"/>
            <w:sz w:val="22"/>
          </w:rPr>
          <w:t>119.4(3)</w:t>
        </w:r>
      </w:hyperlink>
      <w:r>
        <w:rPr>
          <w:rFonts w:ascii="Times New Roman" w:hAnsi="Times New Roman"/>
          <w:b w:val="false"/>
          <w:i w:val="false"/>
          <w:color w:val="000000"/>
          <w:sz w:val="22"/>
        </w:rPr>
        <w:t>, within 30 days from the notice of decision approving the person, the requesting entity must perform a new record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evaluation was previously performed by the department and the department determined the person’s criminal and abuse background did not warrant prohibition of employment or participation in a training program, the person being considered for employment may commence employment without further action by the department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record check performed by the employer does not indicate that a crime was committed or that a founded abuse record was entered subsequent to the previous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position with the employer is substantially the same or has the same job responsibilities as the position for which the previous evaluation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restriction placed on the person’s employment in the previous evaluation by the department shall remain applicable in the person’s subsequent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or person subject to the record checks has maintained a copy of the previous evaluation. If a physical copy of the previous evaluation is not maintained, a new record check evaluation shall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Although an authorized new evaluation is not required, the subsequent employer may choose to request a reevaluation of the person’s criminal and abuse background and may employ the person while the reevaluation is being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employer must maintain the previous evaluation in the employee’s or student’s personnel file for verification of the exception to the requirement for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record check indicates that a crime was committed or that a founded abuse record was entered subsequent to the previous evaluation, a new record check evaluation shall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completed in accordance with paragraph </w:t>
      </w:r>
      <w:hyperlink r:id="rId35">
        <w:r>
          <w:rPr>
            <w:rStyle w:val="Hyperlink"/>
            <w:rFonts w:ascii="Times New Roman" w:hAnsi="Times New Roman"/>
            <w:b w:val="false"/>
            <w:i w:val="false"/>
            <w:color w:val="000000"/>
            <w:sz w:val="22"/>
          </w:rPr>
          <w:t>119.4(3)</w:t>
        </w:r>
        <w:r>
          <w:rPr>
            <w:rFonts w:ascii="Times New Roman" w:hAnsi="Times New Roman"/>
            <w:b w:val="false"/>
            <w:i/>
            <w:color w:val="000000"/>
            <w:sz w:val="22"/>
          </w:rPr>
          <w:t>“c”</w:t>
        </w:r>
      </w:hyperlink>
      <w:r>
        <w:rPr>
          <w:rFonts w:ascii="Times New Roman" w:hAnsi="Times New Roman"/>
          <w:b w:val="false"/>
          <w:i w:val="false"/>
          <w:color w:val="000000"/>
          <w:sz w:val="22"/>
        </w:rPr>
        <w:t xml:space="preserve">are valid for 30 days from the date the notice of decision is issued. If the person does not start employment or attend the training program within the 30-day time period, the conditions in subrule </w:t>
      </w:r>
      <w:hyperlink r:id="rId36">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 “Start employment or attend the training program” means to begin to receive a salary or take classes.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1263C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2604C</w:t>
      </w:r>
      <w:r>
        <w:rPr>
          <w:rFonts w:ascii="Times New Roman" w:hAnsi="Times New Roman"/>
          <w:b w:val="false"/>
          <w:i w:val="false"/>
          <w:color w:val="000000"/>
          <w:sz w:val="16"/>
        </w:rPr>
        <w:t>, IAB 7/6/16, effective 9/1/16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441—119.3</w:t>
      </w:r>
      <w:r>
        <w:rPr>
          <w:rFonts w:ascii="Times New Roman" w:hAnsi="Times New Roman"/>
          <w:b/>
          <w:i w:val="false"/>
          <w:color w:val="000000"/>
          <w:sz w:val="22"/>
        </w:rPr>
        <w:t xml:space="preserve">(135C) </w:t>
      </w:r>
      <w:r>
        <w:rPr>
          <w:rFonts w:ascii="Times New Roman" w:hAnsi="Times New Roman"/>
          <w:b/>
          <w:i w:val="false"/>
          <w:color w:val="000000"/>
          <w:sz w:val="22"/>
        </w:rPr>
        <w:t xml:space="preserve">Request for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color w:val="000000"/>
          <w:sz w:val="22"/>
        </w:rPr>
        <w:t xml:space="preserve">Required documentation. </w:t>
      </w:r>
      <w:r>
        <w:rPr>
          <w:rFonts w:ascii="Times New Roman" w:hAnsi="Times New Roman"/>
          <w:b w:val="false"/>
          <w:i w:val="false"/>
          <w:color w:val="000000"/>
          <w:sz w:val="22"/>
        </w:rPr>
        <w:t>The requesting entity and the prospective employee or student shall complete and submit Form 470-2310 to the department to request an evaluation. The requesting entity shall submit the form and required documentation to the Department of Human Services, Central Abuse Registry, by regular mail, electronic mail or facsimile. The department shall not process evaluations that are not signed by the prospective employee or student. The position sought or held must be clearly written on the first page of the record check evaluation form. The form shall be accompanied by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DCI criminal history database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Iowa criminal history data, if there is a history, as provided to the requesting entity by the division of criminal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dependent adult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documentation of the person’s status on the child abuse registry generated within 30 days of the date on which the request for evaluation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color w:val="000000"/>
          <w:sz w:val="22"/>
        </w:rPr>
        <w:t xml:space="preserve">Additional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requesting entity may provide or the department may request from the prospective employee or student or from the requesting entity information to assist in performance of the evaluation that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of criminal justice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employment references or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substance abuse education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Criminal history records, child abuse information, and dependent adult abuse information from other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Documentation of the applicant’s prior residences.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or agency that might have pertinent information regarding the criminal or abuse history and rehabilitation of a prospective employee or student may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1263C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 xml:space="preserve">; </w:t>
      </w:r>
      <w:r>
        <w:rPr>
          <w:rFonts w:ascii="Times New Roman" w:hAnsi="Times New Roman"/>
          <w:b/>
          <w:i w:val="false"/>
          <w:color w:val="000000"/>
          <w:sz w:val="16"/>
        </w:rPr>
        <w:t>ARC 6628C</w:t>
      </w:r>
      <w:r>
        <w:rPr>
          <w:rFonts w:ascii="Times New Roman" w:hAnsi="Times New Roman"/>
          <w:b w:val="false"/>
          <w:i w:val="false"/>
          <w:color w:val="000000"/>
          <w:sz w:val="16"/>
        </w:rPr>
        <w:t>, IAB 11/2/22, effective 1/1/23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441—119.4</w:t>
      </w:r>
      <w:r>
        <w:rPr>
          <w:rFonts w:ascii="Times New Roman" w:hAnsi="Times New Roman"/>
          <w:b/>
          <w:i w:val="false"/>
          <w:color w:val="000000"/>
          <w:sz w:val="22"/>
        </w:rPr>
        <w:t xml:space="preserve">(135B,135C) </w:t>
      </w:r>
      <w:r>
        <w:rPr>
          <w:rFonts w:ascii="Times New Roman" w:hAnsi="Times New Roman"/>
          <w:b/>
          <w:i w:val="false"/>
          <w:color w:val="000000"/>
          <w:sz w:val="22"/>
        </w:rPr>
        <w:t xml:space="preserve">Completion of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color w:val="000000"/>
          <w:sz w:val="22"/>
        </w:rPr>
        <w:t xml:space="preserve">Considerations. </w:t>
      </w:r>
      <w:r>
        <w:rPr>
          <w:rFonts w:ascii="Times New Roman" w:hAnsi="Times New Roman"/>
          <w:b w:val="false"/>
          <w:i w:val="false"/>
          <w:color w:val="000000"/>
          <w:sz w:val="22"/>
        </w:rPr>
        <w:t>The department shall consider the following when conducting a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child or dependent adult abuse in relation to the position sought or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child or dependent adult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a crime or founded child or dependent adult abuse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instances of founded child or dependent adult abuse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color w:val="000000"/>
          <w:sz w:val="22"/>
        </w:rPr>
        <w:t xml:space="preserve">Evaluation conclusions.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no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may be employed by the entity or enroll in the training program with restrictions specific to a position within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person may not be employed by the entity or enroll in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Restrictions on a person’s employment or enrollment status shall be based upon what is necessary for the protection of the person or persons receiving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waiver consumer-directed attendant care evaluations shall determine that either the person may work or the person may not work pursuant to Medicaid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The department shall issue a notice of decision in writing to the requesting entity. The requesting entity is responsible for providing a copy of the notice to the prospective employee or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be valid only for employment with the employer or enrollment in a training program that requested the record check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not be valid for employment with any other prospective employer or enrollment in another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 check evaluations are valid for 30 days from the date the notice of decision is issued. If the person does not start employment or attend the training program within the 30-day time period, the conditions in subrule </w:t>
      </w:r>
      <w:hyperlink r:id="rId37">
        <w:r>
          <w:rPr>
            <w:rStyle w:val="Hyperlink"/>
            <w:rFonts w:ascii="Times New Roman" w:hAnsi="Times New Roman"/>
            <w:b w:val="false"/>
            <w:i w:val="false"/>
            <w:color w:val="000000"/>
            <w:sz w:val="22"/>
          </w:rPr>
          <w:t>119.2(5)</w:t>
        </w:r>
      </w:hyperlink>
      <w:r>
        <w:rPr>
          <w:rFonts w:ascii="Times New Roman" w:hAnsi="Times New Roman"/>
          <w:b w:val="false"/>
          <w:i w:val="false"/>
          <w:color w:val="000000"/>
          <w:sz w:val="22"/>
        </w:rPr>
        <w:t xml:space="preserve"> shall apply. “Start employment or attend the training program” means to begin to receive a salary or take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notice of decision shall contain the notice of right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0486C</w:t>
      </w:r>
      <w:r>
        <w:rPr>
          <w:rFonts w:ascii="Times New Roman" w:hAnsi="Times New Roman"/>
          <w:b w:val="false"/>
          <w:i w:val="false"/>
          <w:color w:val="000000"/>
          <w:sz w:val="16"/>
        </w:rPr>
        <w:t>, IAB 12/12/12, effective 2/1/13</w:t>
      </w:r>
      <w:r>
        <w:rPr>
          <w:rFonts w:ascii="Times New Roman" w:hAnsi="Times New Roman"/>
          <w:b w:val="false"/>
          <w:i w:val="false"/>
          <w:color w:val="000000"/>
          <w:sz w:val="16"/>
        </w:rPr>
        <w:t xml:space="preserve">; </w:t>
      </w:r>
      <w:r>
        <w:rPr>
          <w:rFonts w:ascii="Times New Roman" w:hAnsi="Times New Roman"/>
          <w:b/>
          <w:i w:val="false"/>
          <w:color w:val="000000"/>
          <w:sz w:val="16"/>
        </w:rPr>
        <w:t>ARC 1263C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3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1263C</w:t>
      </w:r>
      <w:r>
        <w:rPr>
          <w:rFonts w:ascii="Times New Roman" w:hAnsi="Times New Roman"/>
          <w:b w:val="false"/>
          <w:i w:val="false"/>
          <w:color w:val="000000"/>
          <w:sz w:val="16"/>
        </w:rPr>
        <w:t>, IAB 1/8/14, effective 3/1/14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9">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ARC 0486C</w:t>
      </w:r>
      <w:r>
        <w:rPr>
          <w:rFonts w:ascii="Times New Roman" w:hAnsi="Times New Roman"/>
          <w:b w:val="false"/>
          <w:i w:val="false"/>
          <w:color w:val="000000"/>
          <w:sz w:val="21"/>
        </w:rPr>
        <w:t xml:space="preserve"> (Notice ARC 0324C, IAB 9/5/12)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1263C</w:t>
      </w:r>
      <w:r>
        <w:rPr>
          <w:rFonts w:ascii="Times New Roman" w:hAnsi="Times New Roman"/>
          <w:b w:val="false"/>
          <w:i w:val="false"/>
          <w:color w:val="000000"/>
          <w:sz w:val="21"/>
        </w:rPr>
        <w:t xml:space="preserve"> (Notice ARC 1046C, IAB 10/2/13)</w:t>
      </w:r>
      <w:r>
        <w:rPr>
          <w:rFonts w:ascii="Times New Roman" w:hAnsi="Times New Roman"/>
          <w:b w:val="false"/>
          <w:i w:val="false"/>
          <w:color w:val="000000"/>
          <w:sz w:val="21"/>
        </w:rPr>
        <w:t>, IAB 1/8/14, effective 3/1/14]</w:t>
      </w:r>
    </w:p>
    <w:p>
      <w:pPr>
        <w:spacing w:before="0" w:after="0"/>
        <w:ind w:left="120"/>
        <w:jc w:val="center"/>
      </w:pPr>
      <w:r>
        <w:rPr>
          <w:rFonts w:ascii="Times New Roman" w:hAnsi="Times New Roman"/>
          <w:b w:val="false"/>
          <w:i w:val="false"/>
          <w:color w:val="000000"/>
          <w:sz w:val="21"/>
        </w:rPr>
        <w:t>[Filed ARC 2604C</w:t>
      </w:r>
      <w:r>
        <w:rPr>
          <w:rFonts w:ascii="Times New Roman" w:hAnsi="Times New Roman"/>
          <w:b w:val="false"/>
          <w:i w:val="false"/>
          <w:color w:val="000000"/>
          <w:sz w:val="21"/>
        </w:rPr>
        <w:t xml:space="preserve"> (Notice ARC 2504C, IAB 4/27/16)</w:t>
      </w:r>
      <w:r>
        <w:rPr>
          <w:rFonts w:ascii="Times New Roman" w:hAnsi="Times New Roman"/>
          <w:b w:val="false"/>
          <w:i w:val="false"/>
          <w:color w:val="000000"/>
          <w:sz w:val="21"/>
        </w:rPr>
        <w:t>, IAB 7/6/16, effective 9/1/16]</w:t>
      </w:r>
    </w:p>
    <w:p>
      <w:pPr>
        <w:spacing w:before="0" w:after="0"/>
        <w:ind w:left="120"/>
        <w:jc w:val="center"/>
      </w:pPr>
      <w:r>
        <w:rPr>
          <w:rFonts w:ascii="Times New Roman" w:hAnsi="Times New Roman"/>
          <w:b w:val="false"/>
          <w:i w:val="false"/>
          <w:color w:val="000000"/>
          <w:sz w:val="21"/>
        </w:rPr>
        <w:t>[Filed ARC 3680C</w:t>
      </w:r>
      <w:r>
        <w:rPr>
          <w:rFonts w:ascii="Times New Roman" w:hAnsi="Times New Roman"/>
          <w:b w:val="false"/>
          <w:i w:val="false"/>
          <w:color w:val="000000"/>
          <w:sz w:val="21"/>
        </w:rPr>
        <w:t xml:space="preserve"> (Notice ARC 3515C, IAB 12/20/17)</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6628C</w:t>
      </w:r>
      <w:r>
        <w:rPr>
          <w:rFonts w:ascii="Times New Roman" w:hAnsi="Times New Roman"/>
          <w:b w:val="false"/>
          <w:i w:val="false"/>
          <w:color w:val="000000"/>
          <w:sz w:val="21"/>
        </w:rPr>
        <w:t xml:space="preserve"> (Notice ARC 6473C, IAB 8/24/22)</w:t>
      </w:r>
      <w:r>
        <w:rPr>
          <w:rFonts w:ascii="Times New Roman" w:hAnsi="Times New Roman"/>
          <w:b w:val="false"/>
          <w:i w:val="false"/>
          <w:color w:val="000000"/>
          <w:sz w:val="21"/>
        </w:rPr>
        <w:t>, IAB 11/2/22, effective 1/1/23]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7.1.pdf" Type="http://schemas.openxmlformats.org/officeDocument/2006/relationships/hyperlink" Id="rId5"/>
    <Relationship TargetMode="External" Target="https://www.legis.iowa.gov/docs/ico/chapter/135C.1.pdf" Type="http://schemas.openxmlformats.org/officeDocument/2006/relationships/hyperlink" Id="rId6"/>
    <Relationship TargetMode="External" Target="https://www.legis.iowa.gov/docs/ico/chapter/125.14A.pdf" Type="http://schemas.openxmlformats.org/officeDocument/2006/relationships/hyperlink" Id="rId7"/>
    <Relationship TargetMode="External" Target="https://www.legis.iowa.gov/docs/ico/chapter/135B.1.pdf" Type="http://schemas.openxmlformats.org/officeDocument/2006/relationships/hyperlink" Id="rId8"/>
    <Relationship TargetMode="External" Target="https://www.legis.iowa.gov/docs/ico/chapter/135H.1.pdf" Type="http://schemas.openxmlformats.org/officeDocument/2006/relationships/hyperlink" Id="rId9"/>
    <Relationship TargetMode="External" Target="https://www.legis.iowa.gov/docs/ico/chapter/217.44.pdf" Type="http://schemas.openxmlformats.org/officeDocument/2006/relationships/hyperlink" Id="rId10"/>
    <Relationship TargetMode="External" Target="https://www.legis.iowa.gov/docs/ico/chapter/218.13.pdf" Type="http://schemas.openxmlformats.org/officeDocument/2006/relationships/hyperlink" Id="rId11"/>
    <Relationship TargetMode="External" Target="https://www.legis.iowa.gov/docs/ico/chapter/237.1.pdf" Type="http://schemas.openxmlformats.org/officeDocument/2006/relationships/hyperlink" Id="rId12"/>
    <Relationship TargetMode="External" Target="https://www.legis.iowa.gov/docs/ico/chapter/249A.29.pdf" Type="http://schemas.openxmlformats.org/officeDocument/2006/relationships/hyperlink" Id="rId13"/>
    <Relationship TargetMode="External" Target="https://www.legis.iowa.gov/docs/ico/chapter/135C.33.pdf" Type="http://schemas.openxmlformats.org/officeDocument/2006/relationships/hyperlink" Id="rId14"/>
    <Relationship TargetMode="External" Target="https://www.legis.iowa.gov/docs/ico/chapter/152.pdf" Type="http://schemas.openxmlformats.org/officeDocument/2006/relationships/hyperlink" Id="rId15"/>
    <Relationship TargetMode="External" Target="https://www.legis.iowa.gov/docs/ico/chapter/217.45.pdf" Type="http://schemas.openxmlformats.org/officeDocument/2006/relationships/hyperlink" Id="rId16"/>
    <Relationship TargetMode="External" Target="https://www.legis.iowa.gov/docs/ico/chapter/123.47.pdf" Type="http://schemas.openxmlformats.org/officeDocument/2006/relationships/hyperlink" Id="rId17"/>
    <Relationship TargetMode="External" Target="https://www.legis.iowa.gov/docs/ico/chapter/321.pdf" Type="http://schemas.openxmlformats.org/officeDocument/2006/relationships/hyperlink" Id="rId18"/>
    <Relationship TargetMode="External" Target="https://www.legis.iowa.gov/docs/ico/chapter/321J.2.pdf" Type="http://schemas.openxmlformats.org/officeDocument/2006/relationships/hyperlink" Id="rId19"/>
    <Relationship TargetMode="External" Target="https://www.legis.iowa.gov/docs/ico/chapter/135C.pdf" Type="http://schemas.openxmlformats.org/officeDocument/2006/relationships/hyperlink" Id="rId20"/>
    <Relationship TargetMode="External" Target="https://www.legis.iowa.gov/docs/ico/chapter/123.47.pdf" Type="http://schemas.openxmlformats.org/officeDocument/2006/relationships/hyperlink" Id="rId21"/>
    <Relationship TargetMode="External" Target="https://www.legis.iowa.gov/docs/ico/chapter/321.pdf" Type="http://schemas.openxmlformats.org/officeDocument/2006/relationships/hyperlink" Id="rId22"/>
    <Relationship TargetMode="External" Target="https://www.legis.iowa.gov/docs/ico/chapter/321J.2.pdf" Type="http://schemas.openxmlformats.org/officeDocument/2006/relationships/hyperlink" Id="rId23"/>
    <Relationship TargetMode="External" Target="https://www.legis.iowa.gov/docs/ico/chapter/321.pdf" Type="http://schemas.openxmlformats.org/officeDocument/2006/relationships/hyperlink" Id="rId24"/>
    <Relationship TargetMode="External" Target="https://www.legis.iowa.gov/docs/ico/chapter/135B.pdf" Type="http://schemas.openxmlformats.org/officeDocument/2006/relationships/hyperlink" Id="rId25"/>
    <Relationship TargetMode="External" Target="https://www.legis.iowa.gov/docs/ico/chapter/135C.pdf" Type="http://schemas.openxmlformats.org/officeDocument/2006/relationships/hyperlink" Id="rId26"/>
    <Relationship TargetMode="External" Target="https://www.legis.iowa.gov/docs/ico/chapter/135C.pdf" Type="http://schemas.openxmlformats.org/officeDocument/2006/relationships/hyperlink" Id="rId27"/>
    <Relationship TargetMode="External" Target="https://www.legis.iowa.gov/docs/ico/chapter/135B.pdf" Type="http://schemas.openxmlformats.org/officeDocument/2006/relationships/hyperlink" Id="rId28"/>
    <Relationship TargetMode="External" Target="https://www.legis.iowa.gov/docs/ico/chapter/135C.33.pdf" Type="http://schemas.openxmlformats.org/officeDocument/2006/relationships/hyperlink" Id="rId29"/>
    <Relationship TargetMode="External" Target="https://www.legis.iowa.gov/docs/ico/chapter/135C.33.pdf" Type="http://schemas.openxmlformats.org/officeDocument/2006/relationships/hyperlink" Id="rId30"/>
    <Relationship TargetMode="External" Target="https://www.legis.iowa.gov/docs/ico/chapter/135B.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co/chapter/135C.pdf" Type="http://schemas.openxmlformats.org/officeDocument/2006/relationships/hyperlink" Id="rId33"/>
    <Relationship TargetMode="External" Target="https://www.legis.iowa.gov/docs/iac/rule/441.119.4.pdf" Type="http://schemas.openxmlformats.org/officeDocument/2006/relationships/hyperlink" Id="rId34"/>
    <Relationship TargetMode="External" Target="https://www.legis.iowa.gov/docs/iac/rule/441.119.4.pdf" Type="http://schemas.openxmlformats.org/officeDocument/2006/relationships/hyperlink" Id="rId35"/>
    <Relationship TargetMode="External" Target="https://www.legis.iowa.gov/docs/iac/rule/441.119.2.pdf" Type="http://schemas.openxmlformats.org/officeDocument/2006/relationships/hyperlink" Id="rId36"/>
    <Relationship TargetMode="External" Target="https://www.legis.iowa.gov/docs/iac/rule/441.119.2.pdf" Type="http://schemas.openxmlformats.org/officeDocument/2006/relationships/hyperlink" Id="rId37"/>
    <Relationship TargetMode="External" Target="https://www.legis.iowa.gov/docs/iac/chapter/441.7.pdf" Type="http://schemas.openxmlformats.org/officeDocument/2006/relationships/hyperlink" Id="rId38"/>
    <Relationship TargetMode="External" Target="https://www.legis.iowa.gov/docs/ico/chapter/135C.33.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