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LICENSING AND REGULATION OF</w:t>
      </w:r>
      <w:r>
        <w:br/>
      </w:r>
      <w:r>
        <w:rPr>
          <w:rFonts w:ascii="Times New Roman" w:hAnsi="Times New Roman"/>
          <w:b w:val="false"/>
          <w:i w:val="false"/>
          <w:color w:val="000000"/>
          <w:sz w:val="21"/>
        </w:rPr>
        <w:t>COMPREHENSIVE RESIDENTIAL FACILITIES FOR CHILDREN</w:t>
      </w:r>
    </w:p>
    <w:p>
      <w:pPr>
        <w:spacing w:before="0" w:after="0"/>
        <w:ind w:left="120"/>
        <w:jc w:val="center"/>
      </w:pPr>
      <w:r>
        <w:rPr>
          <w:rFonts w:ascii="Times New Roman" w:hAnsi="Times New Roman"/>
          <w:b w:val="false"/>
          <w:i w:val="false"/>
          <w:color w:val="000000"/>
          <w:sz w:val="14"/>
        </w:rPr>
        <w:t>[Prior to 7/1/83, Social Services[770] Ch 115]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441—115.1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relates specifically to the licensing and regulation of comprehensive residential care facilities. Refer to </w:t>
      </w:r>
      <w:hyperlink r:id="rId5">
        <w:r>
          <w:rPr>
            <w:rStyle w:val="Hyperlink"/>
            <w:rFonts w:ascii="Times New Roman" w:hAnsi="Times New Roman"/>
            <w:b w:val="false"/>
            <w:i w:val="false"/>
            <w:color w:val="000000"/>
            <w:sz w:val="22"/>
          </w:rPr>
          <w:t>441—Chapter 112</w:t>
        </w:r>
      </w:hyperlink>
      <w:r>
        <w:rPr>
          <w:rFonts w:ascii="Times New Roman" w:hAnsi="Times New Roman"/>
          <w:b w:val="false"/>
          <w:i w:val="false"/>
          <w:color w:val="000000"/>
          <w:sz w:val="22"/>
        </w:rPr>
        <w:t xml:space="preserve"> for the basic licensing and regulation of all foster care facilities and </w:t>
      </w:r>
      <w:hyperlink r:id="rId6">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 xml:space="preserve"> for definitions and minimum standards for all group living foster care facilities.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441—115.2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residential facility” </w:t>
      </w:r>
      <w:r>
        <w:rPr>
          <w:rFonts w:ascii="Times New Roman" w:hAnsi="Times New Roman"/>
          <w:b w:val="false"/>
          <w:i w:val="false"/>
          <w:color w:val="000000"/>
          <w:sz w:val="22"/>
        </w:rPr>
        <w:t>means a facility which provides care and treatment for children who are unable to live in a family situation due to social, emotional, or physical disabilities and who require varying degrees of supervision as indicated in the individual service plan. Care includes room and board. Services include the internal capacity for individual, family, and group treatment. These services and others provided to the child shall be under the administrative control of the facility. Community resources may be used for medical, recreational, and educational needs. Comprehensive residential facilities have higher staff to client ratios than community residential facilities and may use control rooms, locked cottages, and mechanical restraints when these controls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“Locked cottage” </w:t>
      </w:r>
      <w:r>
        <w:rPr>
          <w:rFonts w:ascii="Times New Roman" w:hAnsi="Times New Roman"/>
          <w:b w:val="false"/>
          <w:i w:val="false"/>
          <w:color w:val="000000"/>
          <w:sz w:val="22"/>
        </w:rPr>
        <w:t xml:space="preserve">means an occupied comprehensive residential facility or an occupied unit of a comprehensive residential facility which is physically restrictive because of the continual locking of doors to prevent the children in care from leaving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“Nonsecure facility” </w:t>
      </w:r>
      <w:r>
        <w:rPr>
          <w:rFonts w:ascii="Times New Roman" w:hAnsi="Times New Roman"/>
          <w:b w:val="false"/>
          <w:i w:val="false"/>
          <w:color w:val="000000"/>
          <w:sz w:val="22"/>
        </w:rPr>
        <w:t>means any facility which does not meet the definition of a secure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 facility” </w:t>
      </w:r>
      <w:r>
        <w:rPr>
          <w:rFonts w:ascii="Times New Roman" w:hAnsi="Times New Roman"/>
          <w:b w:val="false"/>
          <w:i w:val="false"/>
          <w:color w:val="000000"/>
          <w:sz w:val="22"/>
        </w:rPr>
        <w:t xml:space="preserve">means any comprehensive residential facility which employs, on a regular basis, locked doors or other building characteristics intended to prevent children in care from leaving the facility without authorization. Secure facilities may only be used for children who have been adjudicated delinquent or placed pursuant to provisions of Iowa Code chapter </w:t>
      </w:r>
      <w:hyperlink r:id="rId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441—115.3</w:t>
      </w:r>
      <w:r>
        <w:rPr>
          <w:rFonts w:ascii="Times New Roman" w:hAnsi="Times New Roman"/>
          <w:b/>
          <w:i w:val="false"/>
          <w:color w:val="000000"/>
          <w:sz w:val="22"/>
        </w:rPr>
        <w:t xml:space="preserve">(237) </w:t>
      </w:r>
      <w:r>
        <w:rPr>
          <w:rFonts w:ascii="Times New Roman" w:hAnsi="Times New Roman"/>
          <w:b/>
          <w:i w:val="false"/>
          <w:color w:val="000000"/>
          <w:sz w:val="22"/>
        </w:rPr>
        <w:t xml:space="preserve">Information upon admission. </w:t>
      </w:r>
      <w:r>
        <w:rPr>
          <w:rFonts w:ascii="Times New Roman" w:hAnsi="Times New Roman"/>
          <w:b w:val="false"/>
          <w:i w:val="false"/>
          <w:color w:val="000000"/>
          <w:sz w:val="22"/>
        </w:rPr>
        <w:t xml:space="preserve">In addition to the requirements in </w:t>
      </w:r>
      <w:hyperlink r:id="rId10">
        <w:r>
          <w:rPr>
            <w:rStyle w:val="Hyperlink"/>
            <w:rFonts w:ascii="Times New Roman" w:hAnsi="Times New Roman"/>
            <w:b w:val="false"/>
            <w:i w:val="false"/>
            <w:color w:val="000000"/>
            <w:sz w:val="22"/>
          </w:rPr>
          <w:t>114.9(4)</w:t>
        </w:r>
        <w:r>
          <w:rPr>
            <w:rFonts w:ascii="Times New Roman" w:hAnsi="Times New Roman"/>
            <w:b w:val="false"/>
            <w:i/>
            <w:color w:val="000000"/>
            <w:sz w:val="22"/>
          </w:rPr>
          <w:t>“b,”</w:t>
        </w:r>
      </w:hyperlink>
      <w:r>
        <w:rPr>
          <w:rFonts w:ascii="Times New Roman" w:hAnsi="Times New Roman"/>
          <w:b w:val="false"/>
          <w:i w:val="false"/>
          <w:color w:val="000000"/>
          <w:sz w:val="22"/>
        </w:rPr>
        <w:t xml:space="preserve"> parents or guardians shall be provided with information on conditions for the use of restraints.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441—115.4</w:t>
      </w:r>
      <w:r>
        <w:rPr>
          <w:rFonts w:ascii="Times New Roman" w:hAnsi="Times New Roman"/>
          <w:b/>
          <w:i w:val="false"/>
          <w:color w:val="000000"/>
          <w:sz w:val="22"/>
        </w:rPr>
        <w:t xml:space="preserve">(237)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the staff will vary depending on the needs of the children. There shall be at least a one to eight staff-to-child ratio at all times children are awake and present in the facility and during supervised outings.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person shall be in each living unit at all times when children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casework supervisor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per week per caseworker of in-person case specific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On-site supervision at least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contact as needed with each caseworker in other related duties including case intake discussions, staffings of cases, evaluations of the caseworker, teaching, and administrative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Casework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at least weekly group or individually scheduled in-person conferences with each resident for whom the caseworker is responsible. More frequent in-person contact shall be provided if required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supportive and therapeutic atmosphere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and employ appropriate treatment approaches to different types of children.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441—115.5</w:t>
      </w:r>
      <w:r>
        <w:rPr>
          <w:rFonts w:ascii="Times New Roman" w:hAnsi="Times New Roman"/>
          <w:b/>
          <w:i w:val="false"/>
          <w:color w:val="000000"/>
          <w:sz w:val="22"/>
        </w:rPr>
        <w:t xml:space="preserve">(237) </w:t>
      </w:r>
      <w:r>
        <w:rPr>
          <w:rFonts w:ascii="Times New Roman" w:hAnsi="Times New Roman"/>
          <w:b/>
          <w:i w:val="false"/>
          <w:color w:val="000000"/>
          <w:sz w:val="22"/>
        </w:rPr>
        <w:t xml:space="preserve">Casework services. </w:t>
      </w:r>
      <w:r>
        <w:rPr>
          <w:rFonts w:ascii="Times New Roman" w:hAnsi="Times New Roman"/>
          <w:b w:val="false"/>
          <w:i w:val="false"/>
          <w:color w:val="000000"/>
          <w:sz w:val="22"/>
        </w:rPr>
        <w:t>The facility shall have the internal capacity to provide individual, family and group counseling and shall provide, but not be limited to, casework dealing with crisis intervention, daily living skills, peer relationships, future planning and preparation for discharge.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441—115.6</w:t>
      </w:r>
      <w:r>
        <w:rPr>
          <w:rFonts w:ascii="Times New Roman" w:hAnsi="Times New Roman"/>
          <w:b/>
          <w:i w:val="false"/>
          <w:color w:val="000000"/>
          <w:sz w:val="22"/>
        </w:rPr>
        <w:t xml:space="preserve">(237) </w:t>
      </w:r>
      <w:r>
        <w:rPr>
          <w:rFonts w:ascii="Times New Roman" w:hAnsi="Times New Roman"/>
          <w:b/>
          <w:i w:val="false"/>
          <w:color w:val="000000"/>
          <w:sz w:val="22"/>
        </w:rPr>
        <w:t xml:space="preserve">Restraints.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Nonsecure facilities. </w:t>
      </w:r>
      <w:r>
        <w:rPr>
          <w:rFonts w:ascii="Times New Roman" w:hAnsi="Times New Roman"/>
          <w:b w:val="false"/>
          <w:i w:val="false"/>
          <w:color w:val="000000"/>
          <w:sz w:val="22"/>
        </w:rPr>
        <w:t>Physical restraints and a control room are permitted in nonsecure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Secure facilities. </w:t>
      </w:r>
      <w:r>
        <w:rPr>
          <w:rFonts w:ascii="Times New Roman" w:hAnsi="Times New Roman"/>
          <w:b w:val="false"/>
          <w:i w:val="false"/>
          <w:color w:val="000000"/>
          <w:sz w:val="22"/>
        </w:rPr>
        <w:t>Secure facilities may use physical restraints, a control room, locked cottages, and mechanical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115.6(3)</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A facility which uses restraints shall have a written policy on their use. This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specifically identifying each form of restraint in use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use of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staff authorized to approve and use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in the child’s individual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for application or administration of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Maximum time limit for use of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115.6(4)</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shall not use, apply, or administer restraint in any manner which causes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not use restraint as a disciplinary or punitive measure, for staff convenience, or as a substitute for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secure facility which uses restraint permitted by licensing standards, other than physical restraint, shall ensure that all direct service staff are adequately trained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 use and application or administration of each permitted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and procedures related to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management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secure facility shall continually review any use of a restraint on a child, other than physical restraint. The facility shall release the child from restraint immediately when the situation precipitating restraint no longer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441—115.7</w:t>
      </w:r>
      <w:r>
        <w:rPr>
          <w:rFonts w:ascii="Times New Roman" w:hAnsi="Times New Roman"/>
          <w:b/>
          <w:i w:val="false"/>
          <w:color w:val="000000"/>
          <w:sz w:val="22"/>
        </w:rPr>
        <w:t xml:space="preserve">(237) </w:t>
      </w:r>
      <w:r>
        <w:rPr>
          <w:rFonts w:ascii="Times New Roman" w:hAnsi="Times New Roman"/>
          <w:b/>
          <w:i w:val="false"/>
          <w:color w:val="000000"/>
          <w:sz w:val="22"/>
        </w:rPr>
        <w:t xml:space="preserve">Control room.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control room shall be used for treatment purposes only. A facility shall be approved by the licensing authority as meeting the requirements of this chapter regarding control rooms before control rooms can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When a comprehensive residential facility uses a control room as part of its treatment program, the facility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which may result in control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Delineate the staff members who may authorize its use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documentation in writing of the types of behaviors leading to control room placement and the conditions that will allow the child to return to the living unit. The child shall be informed of these conditions. Documentation of control room use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use of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that required the resident to be put in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staff involved in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 the utilization of the control room to one of the following two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service plan includes and explains how this use of the control room fits into the service plan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placement in an emergency without a service plan outlining the rationale for its use. This treatment shall be included in the service plan for a second placement of a child in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115.7(3)</w:t>
      </w:r>
      <w:r>
        <w:rPr>
          <w:rFonts w:ascii="Times New Roman" w:hAnsi="Times New Roman"/>
          <w:b w:val="false"/>
          <w:i w:val="false"/>
          <w:color w:val="000000"/>
          <w:sz w:val="22"/>
        </w:rPr>
        <w:t> </w:t>
      </w:r>
      <w:r>
        <w:rPr>
          <w:rFonts w:ascii="Times New Roman" w:hAnsi="Times New Roman"/>
          <w:b w:val="false"/>
          <w:i/>
          <w:color w:val="000000"/>
          <w:sz w:val="22"/>
        </w:rPr>
        <w:t xml:space="preserve">Physical requirements. </w:t>
      </w:r>
      <w:r>
        <w:rPr>
          <w:rFonts w:ascii="Times New Roman" w:hAnsi="Times New Roman"/>
          <w:b w:val="false"/>
          <w:i w:val="false"/>
          <w:color w:val="000000"/>
          <w:sz w:val="22"/>
        </w:rPr>
        <w:t>The control room shall be designed to ensure a physically safe environment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switches controlling lights and ventilation outside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Allowance for observation of the child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Protected recessed ceiling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electrical outlets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heating, cooling, and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window secured and protected in a manner to prevent harm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minimum of 54 square feet in floor space with at least a 7-foot ceiling.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115.7(4)</w:t>
      </w:r>
      <w:r>
        <w:rPr>
          <w:rFonts w:ascii="Times New Roman" w:hAnsi="Times New Roman"/>
          <w:b w:val="false"/>
          <w:i w:val="false"/>
          <w:color w:val="000000"/>
          <w:sz w:val="22"/>
        </w:rPr>
        <w:t> </w:t>
      </w:r>
      <w:r>
        <w:rPr>
          <w:rFonts w:ascii="Times New Roman" w:hAnsi="Times New Roman"/>
          <w:b w:val="false"/>
          <w:i/>
          <w:color w:val="000000"/>
          <w:sz w:val="22"/>
        </w:rPr>
        <w:t xml:space="preserve">Use of control room. </w:t>
      </w:r>
      <w:r>
        <w:rPr>
          <w:rFonts w:ascii="Times New Roman" w:hAnsi="Times New Roman"/>
          <w:b w:val="false"/>
          <w:i w:val="false"/>
          <w:color w:val="000000"/>
          <w:sz w:val="22"/>
        </w:rPr>
        <w:t>The control room shall be used only when a less restrictive alternative to quiet the child or allowing the child to gain control has failed and when it is in the service plan. The following policies shall apply to the use of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one child shall be in a control room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provisions for visual observation of the child at all times, regardless of the child’s position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control room shall be checked thoroughly for safety and the absence of contraband prior to placing the child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thoroughly checked before placement in the control room and all potentially injurious objects removed including shoes, belts, and pocket items. The staff member placing the child in the control room shall document each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case shall all clothing or underwear be removed and the child shall be provided sufficient clothing to meet seasonal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positioned outside of the control room. Visual and auditory observations of the child’s behavior and condition shall be recorded at five-minute intervals, and a complete written report shall be documented in the child’s file by the end of the staff person’s work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shall remain in the control room longer than one hour only with consultation and approval from the supervisor. Documentation in the child’s case record shall include the time in the control room, the reasons for the control, and the reasons for the extension of time. Use of the control room for a total of more than 12 hours in any 24-hour period shall occur only after authorization of the psychiatrist or upon court order. In no case shall a child be in a control room for a period longer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child’s parents or guardian and the referring worker shall be aware of the control room as a part of the treatment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441—115.8</w:t>
      </w:r>
      <w:r>
        <w:rPr>
          <w:rFonts w:ascii="Times New Roman" w:hAnsi="Times New Roman"/>
          <w:b/>
          <w:i w:val="false"/>
          <w:color w:val="000000"/>
          <w:sz w:val="22"/>
        </w:rPr>
        <w:t xml:space="preserve">(237) </w:t>
      </w:r>
      <w:r>
        <w:rPr>
          <w:rFonts w:ascii="Times New Roman" w:hAnsi="Times New Roman"/>
          <w:b/>
          <w:i w:val="false"/>
          <w:color w:val="000000"/>
          <w:sz w:val="22"/>
        </w:rPr>
        <w:t xml:space="preserve">Locked cottages.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 facility shall be approved by the licensing authority as meeting the requirements of this chapter regarding locked cottages before locked cottages can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Nighttime staff. </w:t>
      </w:r>
      <w:r>
        <w:rPr>
          <w:rFonts w:ascii="Times New Roman" w:hAnsi="Times New Roman"/>
          <w:b w:val="false"/>
          <w:i w:val="false"/>
          <w:color w:val="000000"/>
          <w:sz w:val="22"/>
        </w:rPr>
        <w:t>Awake nighttime staff is required in each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 Policies. </w:t>
      </w:r>
      <w:r>
        <w:rPr>
          <w:rFonts w:ascii="Times New Roman" w:hAnsi="Times New Roman"/>
          <w:b w:val="false"/>
          <w:i w:val="false"/>
          <w:color w:val="000000"/>
          <w:sz w:val="22"/>
        </w:rPr>
        <w:t>Licensees utilizing a locked cottage shall have and follow written policies for the locked cottage. The policies shall be provided to the child, the child’s parents or guardian and, when the child has an attorney, the child’s attorney at the time of admission. The policies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behavior which may result in locked cottage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members who may authorize placement in the locked cottage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documentation in writing of particular behaviors of a particular child that led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of the conditions that will allow the child to return to an unlocked cottage. These conditions shall be shared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of the use of the locked cottage as a part of the treatment plan for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Specific policies as to the length of stay in the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Requirements for notification of the child’s parents or guardian, the court, and the referring agency of a child’s placement in the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Requirement for written documentation of placements in the locked cottage in the child’s case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441—115.9</w:t>
      </w:r>
      <w:r>
        <w:rPr>
          <w:rFonts w:ascii="Times New Roman" w:hAnsi="Times New Roman"/>
          <w:b/>
          <w:i w:val="false"/>
          <w:color w:val="000000"/>
          <w:sz w:val="22"/>
        </w:rPr>
        <w:t xml:space="preserve">(237) </w:t>
      </w:r>
      <w:r>
        <w:rPr>
          <w:rFonts w:ascii="Times New Roman" w:hAnsi="Times New Roman"/>
          <w:b/>
          <w:i w:val="false"/>
          <w:color w:val="000000"/>
          <w:sz w:val="22"/>
        </w:rPr>
        <w:t xml:space="preserve">Mechanical restraint. </w:t>
      </w:r>
      <w:r>
        <w:rPr>
          <w:rFonts w:ascii="Times New Roman" w:hAnsi="Times New Roman"/>
          <w:b w:val="false"/>
          <w:i w:val="false"/>
          <w:color w:val="000000"/>
          <w:sz w:val="22"/>
        </w:rPr>
        <w:t>When a facility uses mechanical restraints as a part of its treatment program, the facility shall have and follow written policies regarding their use. These policies shall be approved by the licensor prior to their use. The policies shall be available to clients, parents or guardians, and referral sources at the time of admission. Policies shall also be available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mechanical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Mechanical restraints shall not inflict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use of mechanical restraint shall be authorized by the administrator or case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authorization of mechanical restraint shall not exceed one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kept in mechanical restraint for more than two hours in a 12-hour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time that a child is placed in mechanical restraint a staff person shall be assigned to monitor the placement with no duties other than to ensure that the child’s physical needs are properly met. The staff person shall remain in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child shall be released from mechanical restraint as soon as the restraints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Continued use of mechanical restraints. </w:t>
      </w:r>
      <w:r>
        <w:rPr>
          <w:rFonts w:ascii="Times New Roman" w:hAnsi="Times New Roman"/>
          <w:b w:val="false"/>
          <w:i w:val="false"/>
          <w:color w:val="000000"/>
          <w:sz w:val="22"/>
        </w:rPr>
        <w:t>When a child requires mechanical restraint on more than four occasions during any 30-day period, the facility shall hold an immediate emergency meeting to discuss the appropriateness of the child’s continued placement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In transporting children. </w:t>
      </w:r>
      <w:r>
        <w:rPr>
          <w:rFonts w:ascii="Times New Roman" w:hAnsi="Times New Roman"/>
          <w:b w:val="false"/>
          <w:i w:val="false"/>
          <w:color w:val="000000"/>
          <w:sz w:val="22"/>
        </w:rPr>
        <w:t>Notwithstanding paragraph 115.9(1)</w:t>
      </w:r>
      <w:r>
        <w:rPr>
          <w:rFonts w:ascii="Times New Roman" w:hAnsi="Times New Roman"/>
          <w:b w:val="false"/>
          <w:i/>
          <w:color w:val="000000"/>
          <w:sz w:val="22"/>
        </w:rPr>
        <w:t>“d,”</w:t>
      </w:r>
      <w:r>
        <w:rPr>
          <w:rFonts w:ascii="Times New Roman" w:hAnsi="Times New Roman"/>
          <w:b w:val="false"/>
          <w:i w:val="false"/>
          <w:color w:val="000000"/>
          <w:sz w:val="22"/>
        </w:rPr>
        <w:t xml:space="preserve"> mechanical restraint of a child in case of a secure facility while that child is being transported to a point outside the facility is permitted when there is a serious risk of the child exiting the vehicle while the vehicle is in motion. The facility shall place a written report on each use in the child’s case record. This report shall document the necessity for the use of restraint. Seat belts are not considered mechanical restraints. Agency policies should encourage the use of seat belts while transporting children and comply with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441—115.10</w:t>
      </w:r>
      <w:r>
        <w:rPr>
          <w:rFonts w:ascii="Times New Roman" w:hAnsi="Times New Roman"/>
          <w:b/>
          <w:i w:val="false"/>
          <w:color w:val="000000"/>
          <w:sz w:val="22"/>
        </w:rPr>
        <w:t xml:space="preserve">(237) </w:t>
      </w:r>
      <w:r>
        <w:rPr>
          <w:rFonts w:ascii="Times New Roman" w:hAnsi="Times New Roman"/>
          <w:b/>
          <w:i w:val="false"/>
          <w:color w:val="000000"/>
          <w:sz w:val="22"/>
        </w:rPr>
        <w:t xml:space="preserve">Restraint and control room use debriefing.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Initial discussion. </w:t>
      </w:r>
      <w:r>
        <w:rPr>
          <w:rFonts w:ascii="Times New Roman" w:hAnsi="Times New Roman"/>
          <w:b w:val="false"/>
          <w:i w:val="false"/>
          <w:color w:val="000000"/>
          <w:sz w:val="22"/>
        </w:rPr>
        <w:t>Within a short time after the use of the restraint or control room, staff involved in an intervention and the resident must have a face-to-face discussion except when the presence of a particular staff person may jeopardize the well-being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staff and the resident’s parent(s) or legal guardian(s) may participate in the discussion when it is deemed appropriate by the facility. The facility must conduct such discussion in a language that is understood by the resident’s parent(s) or legal guardian(s).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discussion must provide both the resident and staff the opportunity to discuss the circumstances resulting in the use of the restraint or control room and strategies to be used by the staff, the resident, or others that could prevent the future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Staff discussion. </w:t>
      </w:r>
      <w:r>
        <w:rPr>
          <w:rFonts w:ascii="Times New Roman" w:hAnsi="Times New Roman"/>
          <w:b w:val="false"/>
          <w:i w:val="false"/>
          <w:color w:val="000000"/>
          <w:sz w:val="22"/>
        </w:rPr>
        <w:t>Within 24 hours after the use of the restraint or control room, all staff involved in the intervention, and appropriate supervisory and administrative staff, must conduct a debriefing session that includes, at a minimum, a review and discussion of the intervention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the intervention, including discussion of the precipitating factors that led up to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techniques that might have prevented the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procedures, if any, that staff are to implement to prevent any recurrence of the use of the restraint or control 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outcome of the intervention, including any injuries that may have resulted from the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Staff must document in the resident’s record that both debriefing sessions took place and must include in that documentation the names of staff who were present for the debriefing, the names of staff who were excused from the debriefing, and any reasons that are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273C.3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441—115.11</w:t>
      </w:r>
      <w:r>
        <w:rPr>
          <w:rFonts w:ascii="Times New Roman" w:hAnsi="Times New Roman"/>
          <w:b/>
          <w:i w:val="false"/>
          <w:color w:val="000000"/>
          <w:sz w:val="22"/>
        </w:rPr>
        <w:t xml:space="preserve">(237) </w:t>
      </w:r>
      <w:r>
        <w:rPr>
          <w:rFonts w:ascii="Times New Roman" w:hAnsi="Times New Roman"/>
          <w:b/>
          <w:i w:val="false"/>
          <w:color w:val="000000"/>
          <w:sz w:val="22"/>
        </w:rPr>
        <w:t xml:space="preserve">Chemical restraint. </w:t>
      </w:r>
      <w:r>
        <w:rPr>
          <w:rFonts w:ascii="Times New Roman" w:hAnsi="Times New Roman"/>
          <w:b w:val="false"/>
          <w:i w:val="false"/>
          <w:color w:val="000000"/>
          <w:sz w:val="22"/>
        </w:rPr>
        <w:t>Chemical restraint shall not be utilized in a comprehensive residential facility and each comprehensive residential facility shall have written policies that clearly prohibit the use of chemical restraint.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273C.3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8/27/81, Notice 7/8/81—published 9/16/81, effective 11/1/81]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6963C</w:t>
      </w:r>
      <w:r>
        <w:rPr>
          <w:rFonts w:ascii="Times New Roman" w:hAnsi="Times New Roman"/>
          <w:b w:val="false"/>
          <w:i w:val="false"/>
          <w:color w:val="000000"/>
          <w:sz w:val="21"/>
        </w:rPr>
        <w:t xml:space="preserve"> (Notice ARC 6838C, IAB 1/25/23)</w:t>
      </w:r>
      <w:r>
        <w:rPr>
          <w:rFonts w:ascii="Times New Roman" w:hAnsi="Times New Roman"/>
          <w:b w:val="false"/>
          <w:i w:val="false"/>
          <w:color w:val="000000"/>
          <w:sz w:val="21"/>
        </w:rPr>
        <w:t>, IAB 4/5/23, effective 6/1/23]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2.pdf" Type="http://schemas.openxmlformats.org/officeDocument/2006/relationships/hyperlink" Id="rId5"/>
    <Relationship TargetMode="External" Target="https://www.legis.iowa.gov/docs/iac/chapter/441.114.pdf" Type="http://schemas.openxmlformats.org/officeDocument/2006/relationships/hyperlink" Id="rId6"/>
    <Relationship TargetMode="External" Target="https://www.legis.iowa.gov/docs/ico/chapter/237.pdf" Type="http://schemas.openxmlformats.org/officeDocument/2006/relationships/hyperlink" Id="rId7"/>
    <Relationship TargetMode="External" Target="https://www.legis.iowa.gov/docs/ico/chapter/229.pdf" Type="http://schemas.openxmlformats.org/officeDocument/2006/relationships/hyperlink" Id="rId8"/>
    <Relationship TargetMode="External" Target="https://www.legis.iowa.gov/docs/ico/chapter/237.pdf" Type="http://schemas.openxmlformats.org/officeDocument/2006/relationships/hyperlink" Id="rId9"/>
    <Relationship TargetMode="External" Target="https://www.legis.iowa.gov/docs/iac/rule/441.114.9.pdf" Type="http://schemas.openxmlformats.org/officeDocument/2006/relationships/hyperlink" Id="rId10"/>
    <Relationship TargetMode="External" Target="https://www.legis.iowa.gov/docs/ico/chapter/237.3.pdf" Type="http://schemas.openxmlformats.org/officeDocument/2006/relationships/hyperlink" Id="rId11"/>
    <Relationship TargetMode="External" Target="https://www.legis.iowa.gov/docs/ico/chapter/237.3.pdf" Type="http://schemas.openxmlformats.org/officeDocument/2006/relationships/hyperlink" Id="rId12"/>
    <Relationship TargetMode="External" Target="https://www.legis.iowa.gov/docs/ico/chapter/237.3.pdf" Type="http://schemas.openxmlformats.org/officeDocument/2006/relationships/hyperlink" Id="rId13"/>
    <Relationship TargetMode="External" Target="https://www.legis.iowa.gov/docs/ico/chapter/237.4.pdf" Type="http://schemas.openxmlformats.org/officeDocument/2006/relationships/hyperlink" Id="rId14"/>
    <Relationship TargetMode="External" Target="https://www.legis.iowa.gov/docs/ico/chapter/237.4.pdf" Type="http://schemas.openxmlformats.org/officeDocument/2006/relationships/hyperlink" Id="rId15"/>
    <Relationship TargetMode="External" Target="https://www.legis.iowa.gov/docs/ico/chapter/237.4.pdf" Type="http://schemas.openxmlformats.org/officeDocument/2006/relationships/hyperlink" Id="rId16"/>
    <Relationship TargetMode="External" Target="https://www.legis.iowa.gov/docs/ico/chapter/237.4.pdf" Type="http://schemas.openxmlformats.org/officeDocument/2006/relationships/hyperlink" Id="rId17"/>
    <Relationship TargetMode="External" Target="https://www.legis.iowa.gov/docs/ico/chapter/237C.3.pdf" Type="http://schemas.openxmlformats.org/officeDocument/2006/relationships/hyperlink" Id="rId18"/>
    <Relationship TargetMode="External" Target="https://www.legis.iowa.gov/docs/ico/chapter/237C.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